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149860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177800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00" w:lineRule="exact"/>
        <w:rPr>
          <w:sz w:val="24"/>
          <w:szCs w:val="24"/>
          <w:color w:val="auto"/>
        </w:rPr>
      </w:pPr>
    </w:p>
    <w:p>
      <w:pPr>
        <w:ind w:left="4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171450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RxSIGHT, INC.</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1640" w:type="dxa"/>
        <w:tblCellMar>
          <w:top w:w="0" w:type="dxa"/>
          <w:left w:w="0" w:type="dxa"/>
          <w:bottom w:w="0" w:type="dxa"/>
          <w:right w:w="0" w:type="dxa"/>
        </w:tblCellMar>
      </w:tblPr>
      <w:tr>
        <w:trPr>
          <w:trHeight w:val="175"/>
        </w:trPr>
        <w:tc>
          <w:tcPr>
            <w:tcW w:w="4300" w:type="dxa"/>
            <w:vAlign w:val="bottom"/>
          </w:tcPr>
          <w:p>
            <w:pPr>
              <w:jc w:val="center"/>
              <w:ind w:right="1888"/>
              <w:spacing w:after="0"/>
              <w:rPr>
                <w:sz w:val="20"/>
                <w:szCs w:val="20"/>
                <w:color w:val="auto"/>
              </w:rPr>
            </w:pPr>
            <w:r>
              <w:rPr>
                <w:rFonts w:ascii="Arial" w:cs="Arial" w:eastAsia="Arial" w:hAnsi="Arial"/>
                <w:sz w:val="14"/>
                <w:szCs w:val="14"/>
                <w:b w:val="1"/>
                <w:bCs w:val="1"/>
                <w:color w:val="auto"/>
                <w:w w:val="94"/>
              </w:rPr>
              <w:t>Delaware</w:t>
            </w:r>
          </w:p>
        </w:tc>
        <w:tc>
          <w:tcPr>
            <w:tcW w:w="3060" w:type="dxa"/>
            <w:vAlign w:val="bottom"/>
          </w:tcPr>
          <w:p>
            <w:pPr>
              <w:jc w:val="right"/>
              <w:ind w:right="148"/>
              <w:spacing w:after="0"/>
              <w:rPr>
                <w:sz w:val="20"/>
                <w:szCs w:val="20"/>
                <w:color w:val="auto"/>
              </w:rPr>
            </w:pPr>
            <w:r>
              <w:rPr>
                <w:rFonts w:ascii="Arial" w:cs="Arial" w:eastAsia="Arial" w:hAnsi="Arial"/>
                <w:sz w:val="14"/>
                <w:szCs w:val="14"/>
                <w:b w:val="1"/>
                <w:bCs w:val="1"/>
                <w:color w:val="auto"/>
              </w:rPr>
              <w:t>94-3268801</w:t>
            </w:r>
          </w:p>
        </w:tc>
      </w:tr>
      <w:tr>
        <w:trPr>
          <w:trHeight w:val="158"/>
        </w:trPr>
        <w:tc>
          <w:tcPr>
            <w:tcW w:w="4300" w:type="dxa"/>
            <w:vAlign w:val="bottom"/>
          </w:tcPr>
          <w:p>
            <w:pPr>
              <w:jc w:val="center"/>
              <w:ind w:right="1868"/>
              <w:spacing w:after="0" w:line="157"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8"/>
              <w:spacing w:after="0" w:line="157" w:lineRule="exact"/>
              <w:rPr>
                <w:sz w:val="20"/>
                <w:szCs w:val="20"/>
                <w:color w:val="auto"/>
              </w:rPr>
            </w:pPr>
            <w:r>
              <w:rPr>
                <w:rFonts w:ascii="Arial" w:cs="Arial" w:eastAsia="Arial" w:hAnsi="Arial"/>
                <w:sz w:val="14"/>
                <w:szCs w:val="14"/>
                <w:b w:val="1"/>
                <w:bCs w:val="1"/>
                <w:color w:val="auto"/>
                <w:w w:val="96"/>
              </w:rPr>
              <w:t>(I.R.S. Employer</w:t>
            </w:r>
          </w:p>
        </w:tc>
      </w:tr>
      <w:tr>
        <w:trPr>
          <w:trHeight w:val="190"/>
        </w:trPr>
        <w:tc>
          <w:tcPr>
            <w:tcW w:w="4300" w:type="dxa"/>
            <w:vAlign w:val="bottom"/>
          </w:tcPr>
          <w:p>
            <w:pPr>
              <w:jc w:val="center"/>
              <w:ind w:right="1868"/>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68"/>
              <w:spacing w:after="0"/>
              <w:rPr>
                <w:sz w:val="20"/>
                <w:szCs w:val="20"/>
                <w:color w:val="auto"/>
              </w:rPr>
            </w:pPr>
            <w:r>
              <w:rPr>
                <w:rFonts w:ascii="Arial" w:cs="Arial" w:eastAsia="Arial" w:hAnsi="Arial"/>
                <w:sz w:val="14"/>
                <w:szCs w:val="14"/>
                <w:b w:val="1"/>
                <w:bCs w:val="1"/>
                <w:color w:val="auto"/>
                <w:w w:val="94"/>
              </w:rPr>
              <w:t>Identification No.)</w:t>
            </w:r>
          </w:p>
        </w:tc>
      </w:tr>
      <w:tr>
        <w:trPr>
          <w:trHeight w:val="259"/>
        </w:trPr>
        <w:tc>
          <w:tcPr>
            <w:tcW w:w="4300" w:type="dxa"/>
            <w:vAlign w:val="bottom"/>
          </w:tcPr>
          <w:p>
            <w:pPr>
              <w:jc w:val="center"/>
              <w:ind w:right="1868"/>
              <w:spacing w:after="0"/>
              <w:rPr>
                <w:sz w:val="20"/>
                <w:szCs w:val="20"/>
                <w:color w:val="auto"/>
              </w:rPr>
            </w:pPr>
            <w:r>
              <w:rPr>
                <w:rFonts w:ascii="Arial" w:cs="Arial" w:eastAsia="Arial" w:hAnsi="Arial"/>
                <w:sz w:val="14"/>
                <w:szCs w:val="14"/>
                <w:b w:val="1"/>
                <w:bCs w:val="1"/>
                <w:color w:val="auto"/>
                <w:w w:val="92"/>
              </w:rPr>
              <w:t>100 Columbia</w:t>
            </w:r>
          </w:p>
        </w:tc>
        <w:tc>
          <w:tcPr>
            <w:tcW w:w="3060" w:type="dxa"/>
            <w:vAlign w:val="bottom"/>
          </w:tcPr>
          <w:p>
            <w:pPr>
              <w:spacing w:after="0"/>
              <w:rPr>
                <w:sz w:val="22"/>
                <w:szCs w:val="22"/>
                <w:color w:val="auto"/>
              </w:rPr>
            </w:pPr>
          </w:p>
        </w:tc>
      </w:tr>
      <w:tr>
        <w:trPr>
          <w:trHeight w:val="175"/>
        </w:trPr>
        <w:tc>
          <w:tcPr>
            <w:tcW w:w="4300" w:type="dxa"/>
            <w:vAlign w:val="bottom"/>
          </w:tcPr>
          <w:p>
            <w:pPr>
              <w:jc w:val="center"/>
              <w:ind w:right="1908"/>
              <w:spacing w:after="0"/>
              <w:rPr>
                <w:sz w:val="20"/>
                <w:szCs w:val="20"/>
                <w:color w:val="auto"/>
              </w:rPr>
            </w:pPr>
            <w:r>
              <w:rPr>
                <w:rFonts w:ascii="Arial" w:cs="Arial" w:eastAsia="Arial" w:hAnsi="Arial"/>
                <w:sz w:val="14"/>
                <w:szCs w:val="14"/>
                <w:b w:val="1"/>
                <w:bCs w:val="1"/>
                <w:color w:val="auto"/>
                <w:w w:val="96"/>
              </w:rPr>
              <w:t>Aliso Viejo, CA</w:t>
            </w:r>
          </w:p>
        </w:tc>
        <w:tc>
          <w:tcPr>
            <w:tcW w:w="3060" w:type="dxa"/>
            <w:vAlign w:val="bottom"/>
          </w:tcPr>
          <w:p>
            <w:pPr>
              <w:jc w:val="right"/>
              <w:ind w:right="308"/>
              <w:spacing w:after="0"/>
              <w:rPr>
                <w:sz w:val="20"/>
                <w:szCs w:val="20"/>
                <w:color w:val="auto"/>
              </w:rPr>
            </w:pPr>
            <w:r>
              <w:rPr>
                <w:rFonts w:ascii="Arial" w:cs="Arial" w:eastAsia="Arial" w:hAnsi="Arial"/>
                <w:sz w:val="14"/>
                <w:szCs w:val="14"/>
                <w:b w:val="1"/>
                <w:bCs w:val="1"/>
                <w:color w:val="auto"/>
              </w:rPr>
              <w:t>92656</w:t>
            </w:r>
          </w:p>
        </w:tc>
      </w:tr>
      <w:tr>
        <w:trPr>
          <w:trHeight w:val="186"/>
        </w:trPr>
        <w:tc>
          <w:tcPr>
            <w:tcW w:w="4300" w:type="dxa"/>
            <w:vAlign w:val="bottom"/>
          </w:tcPr>
          <w:p>
            <w:pPr>
              <w:jc w:val="center"/>
              <w:ind w:right="1868"/>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060" w:type="dxa"/>
            <w:vAlign w:val="bottom"/>
          </w:tcPr>
          <w:p>
            <w:pPr>
              <w:jc w:val="center"/>
              <w:ind w:left="1848"/>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154305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8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2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6"/>
              </w:rPr>
              <w:t>RXST</w:t>
            </w:r>
          </w:p>
        </w:tc>
        <w:tc>
          <w:tcPr>
            <w:tcW w:w="100" w:type="dxa"/>
            <w:vAlign w:val="bottom"/>
          </w:tcPr>
          <w:p>
            <w:pPr>
              <w:spacing w:after="0"/>
              <w:rPr>
                <w:sz w:val="15"/>
                <w:szCs w:val="15"/>
                <w:color w:val="auto"/>
              </w:rPr>
            </w:pPr>
          </w:p>
        </w:tc>
        <w:tc>
          <w:tcPr>
            <w:tcW w:w="450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right="20" w:firstLine="50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firstLine="50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ind w:right="260" w:firstLine="509"/>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1"/>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jc w:val="both"/>
        <w:ind w:right="80" w:firstLine="50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520" w:right="2120"/>
        <w:spacing w:after="0" w:line="26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31, 2022, the registrant had 27,721,632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88"/>
              </w:rPr>
              <w:t>Condensed Consolidated Balance</w:t>
            </w:r>
          </w:p>
        </w:tc>
        <w:tc>
          <w:tcPr>
            <w:tcW w:w="6880" w:type="dxa"/>
            <w:vAlign w:val="bottom"/>
            <w:gridSpan w:val="10"/>
          </w:tcPr>
          <w:p>
            <w:pPr>
              <w:ind w:left="40"/>
              <w:spacing w:after="0" w:line="182" w:lineRule="exact"/>
              <w:rPr>
                <w:sz w:val="20"/>
                <w:szCs w:val="20"/>
                <w:color w:val="auto"/>
              </w:rPr>
            </w:pPr>
            <w:r>
              <w:rPr>
                <w:rFonts w:ascii="Arial" w:cs="Arial" w:eastAsia="Arial" w:hAnsi="Arial"/>
                <w:sz w:val="18"/>
                <w:szCs w:val="18"/>
                <w:color w:val="0000FF"/>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1"/>
              </w:rPr>
              <w:t>Condensed Consolidated Statements of</w:t>
            </w:r>
          </w:p>
        </w:tc>
        <w:tc>
          <w:tcPr>
            <w:tcW w:w="6360" w:type="dxa"/>
            <w:vAlign w:val="bottom"/>
            <w:gridSpan w:val="9"/>
          </w:tcPr>
          <w:p>
            <w:pPr>
              <w:spacing w:after="0" w:line="182" w:lineRule="exact"/>
              <w:rPr>
                <w:sz w:val="20"/>
                <w:szCs w:val="20"/>
                <w:color w:val="auto"/>
              </w:rPr>
            </w:pPr>
            <w:r>
              <w:rPr>
                <w:rFonts w:ascii="Arial" w:cs="Arial" w:eastAsia="Arial" w:hAnsi="Arial"/>
                <w:sz w:val="18"/>
                <w:szCs w:val="18"/>
                <w:color w:val="0000FF"/>
              </w:rPr>
              <w:t>Operations and Comprehensive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89"/>
              </w:rPr>
              <w:t>Condensed Consolidated Statements of Equity</w:t>
            </w:r>
          </w:p>
        </w:tc>
        <w:tc>
          <w:tcPr>
            <w:tcW w:w="20" w:type="dxa"/>
            <w:vAlign w:val="bottom"/>
            <w:tcBorders>
              <w:top w:val="single" w:sz="8" w:color="0000FF"/>
              <w:bottom w:val="single" w:sz="8" w:color="0000EE"/>
            </w:tcBorders>
          </w:tcPr>
          <w:p>
            <w:pPr>
              <w:spacing w:after="0"/>
              <w:rPr>
                <w:sz w:val="15"/>
                <w:szCs w:val="15"/>
                <w:color w:val="auto"/>
              </w:rPr>
            </w:pPr>
          </w:p>
        </w:tc>
        <w:tc>
          <w:tcPr>
            <w:tcW w:w="2140" w:type="dxa"/>
            <w:vAlign w:val="bottom"/>
            <w:tcBorders>
              <w:top w:val="single" w:sz="8" w:color="0000FF"/>
            </w:tcBorders>
            <w:gridSpan w:val="5"/>
          </w:tcPr>
          <w:p>
            <w:pPr>
              <w:spacing w:after="0"/>
              <w:rPr>
                <w:sz w:val="15"/>
                <w:szCs w:val="15"/>
                <w:color w:val="auto"/>
              </w:rPr>
            </w:pPr>
          </w:p>
        </w:tc>
        <w:tc>
          <w:tcPr>
            <w:tcW w:w="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8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1"/>
              </w:rPr>
              <w:t>Condensed Consolidated Statements of Cash</w:t>
            </w:r>
          </w:p>
        </w:tc>
        <w:tc>
          <w:tcPr>
            <w:tcW w:w="340" w:type="dxa"/>
            <w:vAlign w:val="bottom"/>
            <w:tcBorders>
              <w:bottom w:val="single" w:sz="8" w:color="0000FF"/>
            </w:tcBorders>
          </w:tcPr>
          <w:p>
            <w:pPr>
              <w:spacing w:after="0" w:line="182" w:lineRule="exact"/>
              <w:rPr>
                <w:sz w:val="20"/>
                <w:szCs w:val="20"/>
                <w:color w:val="auto"/>
              </w:rPr>
            </w:pPr>
            <w:r>
              <w:rPr>
                <w:rFonts w:ascii="Arial" w:cs="Arial" w:eastAsia="Arial" w:hAnsi="Arial"/>
                <w:sz w:val="17"/>
                <w:szCs w:val="17"/>
                <w:color w:val="0000FF"/>
                <w:w w:val="71"/>
              </w:rPr>
              <w:t>Flows</w:t>
            </w:r>
          </w:p>
        </w:tc>
        <w:tc>
          <w:tcPr>
            <w:tcW w:w="558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8"/>
          </w:tcPr>
          <w:p>
            <w:pPr>
              <w:spacing w:after="0"/>
              <w:rPr>
                <w:sz w:val="15"/>
                <w:szCs w:val="15"/>
                <w:color w:val="auto"/>
              </w:rPr>
            </w:pPr>
          </w:p>
        </w:tc>
        <w:tc>
          <w:tcPr>
            <w:tcW w:w="49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PART II.</w:t>
            </w:r>
          </w:p>
        </w:tc>
        <w:tc>
          <w:tcPr>
            <w:tcW w:w="1800" w:type="dxa"/>
            <w:vAlign w:val="bottom"/>
            <w:gridSpan w:val="7"/>
          </w:tcPr>
          <w:p>
            <w:pPr>
              <w:spacing w:after="0" w:line="195" w:lineRule="exact"/>
              <w:rPr>
                <w:sz w:val="20"/>
                <w:szCs w:val="20"/>
                <w:color w:val="auto"/>
              </w:rPr>
            </w:pPr>
            <w:r>
              <w:rPr>
                <w:rFonts w:ascii="Arial" w:cs="Arial" w:eastAsia="Arial" w:hAnsi="Arial"/>
                <w:sz w:val="18"/>
                <w:szCs w:val="18"/>
                <w:color w:val="auto"/>
                <w:w w:val="91"/>
              </w:rPr>
              <w:t>OTHER INFORMATION</w:t>
            </w:r>
          </w:p>
        </w:tc>
        <w:tc>
          <w:tcPr>
            <w:tcW w:w="520" w:type="dxa"/>
            <w:vAlign w:val="bottom"/>
          </w:tcPr>
          <w:p>
            <w:pPr>
              <w:spacing w:after="0"/>
              <w:rPr>
                <w:sz w:val="16"/>
                <w:szCs w:val="16"/>
                <w:color w:val="auto"/>
              </w:rPr>
            </w:pPr>
          </w:p>
        </w:tc>
        <w:tc>
          <w:tcPr>
            <w:tcW w:w="2020" w:type="dxa"/>
            <w:vAlign w:val="bottom"/>
            <w:gridSpan w:val="6"/>
          </w:tcPr>
          <w:p>
            <w:pPr>
              <w:spacing w:after="0"/>
              <w:rPr>
                <w:sz w:val="16"/>
                <w:szCs w:val="16"/>
                <w:color w:val="auto"/>
              </w:rPr>
            </w:pPr>
          </w:p>
        </w:tc>
        <w:tc>
          <w:tcPr>
            <w:tcW w:w="4960" w:type="dxa"/>
            <w:vAlign w:val="bottom"/>
            <w:gridSpan w:val="5"/>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gridSpan w:val="2"/>
          </w:tcPr>
          <w:p>
            <w:pPr>
              <w:spacing w:after="0" w:line="189" w:lineRule="exact"/>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line="189" w:lineRule="exact"/>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3"/>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Unregistered</w:t>
            </w:r>
          </w:p>
        </w:tc>
        <w:tc>
          <w:tcPr>
            <w:tcW w:w="8360" w:type="dxa"/>
            <w:vAlign w:val="bottom"/>
            <w:gridSpan w:val="16"/>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9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Mine Safety Disclosures</w:t>
            </w:r>
          </w:p>
        </w:tc>
        <w:tc>
          <w:tcPr>
            <w:tcW w:w="698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520" w:type="dxa"/>
            <w:vAlign w:val="bottom"/>
            <w:gridSpan w:val="1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8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715"/>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374"/>
        <w:spacing w:after="0" w:line="283" w:lineRule="auto"/>
        <w:rPr>
          <w:sz w:val="20"/>
          <w:szCs w:val="20"/>
          <w:color w:val="auto"/>
        </w:rPr>
      </w:pPr>
      <w:r>
        <w:rPr>
          <w:rFonts w:ascii="Arial" w:cs="Arial" w:eastAsia="Arial" w:hAnsi="Arial"/>
          <w:sz w:val="16"/>
          <w:szCs w:val="16"/>
          <w:color w:val="auto"/>
        </w:rPr>
        <w:t>The following discussion and analysis should be read together with our condensed consolidated financial statements and the condensed notes to those statements included elsewhere in this Quarterly Report on Form 10-Q. 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quarterly Report on Form 10-Q, “we,” “us” and “our” refer to RxSight, Inc., a Delaware corporation, and its consolidated subsidiaries.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Forward-looking statements include, but are not limited to, statements concerning the following:</w:t>
      </w:r>
    </w:p>
    <w:p>
      <w:pPr>
        <w:spacing w:after="0" w:line="117"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conduct further clinical trials and any expectations related to the timing or outcomes of such trials;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expected timelines related to our products, or developing new products, to address additional indications or otherwise;</w:t>
      </w:r>
    </w:p>
    <w:p>
      <w:pPr>
        <w:spacing w:after="0" w:line="114"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acceptance and use of our products by doctors;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maintain and expand regulatory clearances for our products and any new products we create;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growth of our business and our organization;</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regarding investment in our business as we pursue growth;</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uses of our existing resources;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regarding government and third-party payer coverage and reimbursement;</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key personnel, including the continued development of a sales and marketing infrastructure;</w:t>
      </w:r>
    </w:p>
    <w:p>
      <w:pPr>
        <w:spacing w:after="0" w:line="103" w:lineRule="exact"/>
        <w:rPr>
          <w:rFonts w:ascii="Arial" w:cs="Arial" w:eastAsia="Arial" w:hAnsi="Arial"/>
          <w:sz w:val="18"/>
          <w:szCs w:val="18"/>
          <w:color w:val="auto"/>
        </w:rPr>
      </w:pPr>
    </w:p>
    <w:p>
      <w:pPr>
        <w:ind w:left="1020" w:right="24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 adequate supply of materials and components for our products from our third-party suppliers, including single- and sole-source suppliers;</w:t>
      </w:r>
    </w:p>
    <w:p>
      <w:pPr>
        <w:spacing w:after="0" w:line="48"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products with appropriate quality;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maintain and enforce intellectual property protection for our products and protect our intellectual property rights;</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business into new geographic markets;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applicable SEC rules and Nasdaq continued listing requirements;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existing and future government laws, rules and regulations both in the United States and internationally;</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allocation of resources toward expenses associated with being a public company;</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 for, or ability to obtain, additional financing;</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new and planned products and/or acquire new products;</w:t>
      </w:r>
    </w:p>
    <w:p>
      <w:pPr>
        <w:spacing w:after="0" w:line="103" w:lineRule="exact"/>
        <w:rPr>
          <w:rFonts w:ascii="Arial" w:cs="Arial" w:eastAsia="Arial" w:hAnsi="Arial"/>
          <w:sz w:val="18"/>
          <w:szCs w:val="18"/>
          <w:color w:val="auto"/>
        </w:rPr>
      </w:pPr>
    </w:p>
    <w:p>
      <w:pPr>
        <w:ind w:left="1020" w:right="20" w:hanging="504"/>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and projections relating to our competitors or our industry, including anticipated growth rates for the conventional and premium IOL markets;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3" w:name="page4"/>
    <w:bookmarkEnd w:id="3"/>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the COVID-19 pandemic, including currently known and unknown coronavirus variants, on our business or personnel.</w:t>
      </w:r>
    </w:p>
    <w:p>
      <w:pPr>
        <w:spacing w:after="0" w:line="155" w:lineRule="exact"/>
        <w:rPr>
          <w:sz w:val="20"/>
          <w:szCs w:val="20"/>
          <w:color w:val="auto"/>
        </w:rPr>
      </w:pPr>
    </w:p>
    <w:p>
      <w:pPr>
        <w:ind w:right="80" w:firstLine="374"/>
        <w:spacing w:after="0" w:line="247"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116" w:lineRule="exact"/>
        <w:rPr>
          <w:sz w:val="20"/>
          <w:szCs w:val="20"/>
          <w:color w:val="auto"/>
        </w:rPr>
      </w:pPr>
    </w:p>
    <w:p>
      <w:pPr>
        <w:ind w:right="20" w:firstLine="374"/>
        <w:spacing w:after="0" w:line="277"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95" w:lineRule="exact"/>
        <w:rPr>
          <w:sz w:val="20"/>
          <w:szCs w:val="20"/>
          <w:color w:val="auto"/>
        </w:rPr>
      </w:pPr>
    </w:p>
    <w:p>
      <w:pPr>
        <w:ind w:right="280" w:firstLine="374"/>
        <w:spacing w:after="0" w:line="277"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8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DISCUSSION AND ANALYSIS OF OUR FINANCIAL CONDITION</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discussion and analysis of our financial condition and results of operations is based upon our Unaudited Condensed Consolidated Financial</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Statements, which have been prepared in accordance with generally accepted accounting principles in the United States, or (“GAAP”). The preparation of these financial statements requires us to make estimates and judgments that affect the reported amounts of assets, liabilities, revenues and expenses. On an ongoing basis, we evaluate our estimates including those related to revenue recognition; valuation of the Company’s warrants and other equity awards; estimated probability and timing of redemption of equity instruments,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 Our critical accounting policies and estimates are discussed in in the Company’s Annual Report on Form 10-K filed with the SEC on March 8, 2022.</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BUSINESS AND MARKET DATA</w:t>
      </w:r>
    </w:p>
    <w:p>
      <w:pPr>
        <w:spacing w:after="0" w:line="129" w:lineRule="exact"/>
        <w:rPr>
          <w:sz w:val="20"/>
          <w:szCs w:val="20"/>
          <w:color w:val="auto"/>
        </w:rPr>
      </w:pPr>
    </w:p>
    <w:p>
      <w:pPr>
        <w:ind w:right="140" w:firstLine="374"/>
        <w:spacing w:after="0" w:line="243"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1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48" w:lineRule="exact"/>
        <w:rPr>
          <w:sz w:val="20"/>
          <w:szCs w:val="20"/>
          <w:color w:val="auto"/>
        </w:rPr>
      </w:pPr>
    </w:p>
    <w:p>
      <w:pPr>
        <w:ind w:firstLine="374"/>
        <w:spacing w:after="0" w:line="245"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Item 1: Financial Statements (Unaudited)</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RxSIGHT,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8"/>
              <w:spacing w:after="0"/>
              <w:rPr>
                <w:sz w:val="20"/>
                <w:szCs w:val="20"/>
                <w:color w:val="auto"/>
              </w:rPr>
            </w:pPr>
            <w:r>
              <w:rPr>
                <w:rFonts w:ascii="Arial" w:cs="Arial" w:eastAsia="Arial" w:hAnsi="Arial"/>
                <w:sz w:val="14"/>
                <w:szCs w:val="14"/>
                <w:color w:val="auto"/>
                <w:w w:val="95"/>
              </w:rPr>
              <w:t>(Unaudited)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9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8,912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24,361</w:t>
            </w:r>
          </w:p>
        </w:tc>
        <w:tc>
          <w:tcPr>
            <w:tcW w:w="100" w:type="dxa"/>
            <w:vAlign w:val="bottom"/>
            <w:shd w:val="clear" w:color="auto" w:fill="CFF0FC"/>
          </w:tcPr>
          <w:p>
            <w:pPr>
              <w:spacing w:after="0"/>
              <w:rPr>
                <w:sz w:val="15"/>
                <w:szCs w:val="15"/>
                <w:color w:val="auto"/>
              </w:rPr>
            </w:pPr>
          </w:p>
        </w:tc>
      </w:tr>
      <w:tr>
        <w:trPr>
          <w:trHeight w:val="175"/>
        </w:trPr>
        <w:tc>
          <w:tcPr>
            <w:tcW w:w="792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103,923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134,971</w:t>
            </w:r>
          </w:p>
        </w:tc>
        <w:tc>
          <w:tcPr>
            <w:tcW w:w="100" w:type="dxa"/>
            <w:vAlign w:val="bottom"/>
          </w:tcPr>
          <w:p>
            <w:pPr>
              <w:spacing w:after="0"/>
              <w:rPr>
                <w:sz w:val="15"/>
                <w:szCs w:val="15"/>
                <w:color w:val="auto"/>
              </w:rPr>
            </w:pPr>
          </w:p>
        </w:tc>
      </w:tr>
      <w:tr>
        <w:trPr>
          <w:trHeight w:val="175"/>
        </w:trPr>
        <w:tc>
          <w:tcPr>
            <w:tcW w:w="7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4,862</w:t>
            </w:r>
          </w:p>
        </w:tc>
        <w:tc>
          <w:tcPr>
            <w:tcW w:w="100" w:type="dxa"/>
            <w:vAlign w:val="bottom"/>
            <w:shd w:val="clear" w:color="auto" w:fill="CFF0FC"/>
          </w:tcPr>
          <w:p>
            <w:pPr>
              <w:spacing w:after="0"/>
              <w:rPr>
                <w:sz w:val="15"/>
                <w:szCs w:val="15"/>
                <w:color w:val="auto"/>
              </w:rPr>
            </w:pPr>
          </w:p>
        </w:tc>
      </w:tr>
      <w:tr>
        <w:trPr>
          <w:trHeight w:val="175"/>
        </w:trPr>
        <w:tc>
          <w:tcPr>
            <w:tcW w:w="792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15,336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8,032</w:t>
            </w:r>
          </w:p>
        </w:tc>
        <w:tc>
          <w:tcPr>
            <w:tcW w:w="100" w:type="dxa"/>
            <w:vAlign w:val="bottom"/>
          </w:tcPr>
          <w:p>
            <w:pPr>
              <w:spacing w:after="0"/>
              <w:rPr>
                <w:sz w:val="15"/>
                <w:szCs w:val="15"/>
                <w:color w:val="auto"/>
              </w:rPr>
            </w:pPr>
          </w:p>
        </w:tc>
      </w:tr>
      <w:tr>
        <w:trPr>
          <w:trHeight w:val="175"/>
        </w:trPr>
        <w:tc>
          <w:tcPr>
            <w:tcW w:w="7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and other current assets</w:t>
            </w:r>
          </w:p>
        </w:tc>
        <w:tc>
          <w:tcPr>
            <w:tcW w:w="2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1,971</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4,069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92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139,162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176,295</w:t>
            </w:r>
          </w:p>
        </w:tc>
        <w:tc>
          <w:tcPr>
            <w:tcW w:w="100" w:type="dxa"/>
            <w:vAlign w:val="bottom"/>
          </w:tcPr>
          <w:p>
            <w:pPr>
              <w:spacing w:after="0"/>
              <w:rPr>
                <w:sz w:val="14"/>
                <w:szCs w:val="14"/>
                <w:color w:val="auto"/>
              </w:rPr>
            </w:pPr>
          </w:p>
        </w:tc>
      </w:tr>
      <w:tr>
        <w:trPr>
          <w:trHeight w:val="175"/>
        </w:trPr>
        <w:tc>
          <w:tcPr>
            <w:tcW w:w="7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10,620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11,217</w:t>
            </w:r>
          </w:p>
        </w:tc>
        <w:tc>
          <w:tcPr>
            <w:tcW w:w="100" w:type="dxa"/>
            <w:vAlign w:val="bottom"/>
            <w:shd w:val="clear" w:color="auto" w:fill="CFF0FC"/>
          </w:tcPr>
          <w:p>
            <w:pPr>
              <w:spacing w:after="0"/>
              <w:rPr>
                <w:sz w:val="15"/>
                <w:szCs w:val="15"/>
                <w:color w:val="auto"/>
              </w:rPr>
            </w:pPr>
          </w:p>
        </w:tc>
      </w:tr>
      <w:tr>
        <w:trPr>
          <w:trHeight w:val="175"/>
        </w:trPr>
        <w:tc>
          <w:tcPr>
            <w:tcW w:w="7920" w:type="dxa"/>
            <w:vAlign w:val="bottom"/>
          </w:tcPr>
          <w:p>
            <w:pPr>
              <w:ind w:left="20"/>
              <w:spacing w:after="0"/>
              <w:rPr>
                <w:sz w:val="20"/>
                <w:szCs w:val="20"/>
                <w:color w:val="auto"/>
              </w:rPr>
            </w:pPr>
            <w:r>
              <w:rPr>
                <w:rFonts w:ascii="Arial" w:cs="Arial" w:eastAsia="Arial" w:hAnsi="Arial"/>
                <w:sz w:val="14"/>
                <w:szCs w:val="14"/>
                <w:color w:val="auto"/>
              </w:rPr>
              <w:t>Operating leases right-of-use assets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4,331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4,284</w:t>
            </w:r>
          </w:p>
        </w:tc>
        <w:tc>
          <w:tcPr>
            <w:tcW w:w="100" w:type="dxa"/>
            <w:vAlign w:val="bottom"/>
          </w:tcPr>
          <w:p>
            <w:pPr>
              <w:spacing w:after="0"/>
              <w:rPr>
                <w:sz w:val="15"/>
                <w:szCs w:val="15"/>
                <w:color w:val="auto"/>
              </w:rPr>
            </w:pPr>
          </w:p>
        </w:tc>
      </w:tr>
      <w:tr>
        <w:trPr>
          <w:trHeight w:val="175"/>
        </w:trPr>
        <w:tc>
          <w:tcPr>
            <w:tcW w:w="7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FF0FC"/>
          </w:tcPr>
          <w:p>
            <w:pPr>
              <w:spacing w:after="0"/>
              <w:rPr>
                <w:sz w:val="15"/>
                <w:szCs w:val="15"/>
                <w:color w:val="auto"/>
              </w:rPr>
            </w:pPr>
          </w:p>
        </w:tc>
      </w:tr>
      <w:tr>
        <w:trPr>
          <w:trHeight w:val="175"/>
        </w:trPr>
        <w:tc>
          <w:tcPr>
            <w:tcW w:w="79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r>
      <w:tr>
        <w:trPr>
          <w:trHeight w:val="209"/>
        </w:trPr>
        <w:tc>
          <w:tcPr>
            <w:tcW w:w="7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155,706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192,721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9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92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4,172</w:t>
            </w:r>
          </w:p>
        </w:tc>
        <w:tc>
          <w:tcPr>
            <w:tcW w:w="2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15"/>
                <w:szCs w:val="15"/>
                <w:color w:val="auto"/>
              </w:rPr>
            </w:pPr>
          </w:p>
        </w:tc>
      </w:tr>
      <w:tr>
        <w:trPr>
          <w:trHeight w:val="175"/>
        </w:trPr>
        <w:tc>
          <w:tcPr>
            <w:tcW w:w="7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10,248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7,859</w:t>
            </w:r>
          </w:p>
        </w:tc>
        <w:tc>
          <w:tcPr>
            <w:tcW w:w="100" w:type="dxa"/>
            <w:vAlign w:val="bottom"/>
            <w:shd w:val="clear" w:color="auto" w:fill="CFF0FC"/>
          </w:tcPr>
          <w:p>
            <w:pPr>
              <w:spacing w:after="0"/>
              <w:rPr>
                <w:sz w:val="15"/>
                <w:szCs w:val="15"/>
                <w:color w:val="auto"/>
              </w:rPr>
            </w:pPr>
          </w:p>
        </w:tc>
      </w:tr>
      <w:tr>
        <w:trPr>
          <w:trHeight w:val="175"/>
        </w:trPr>
        <w:tc>
          <w:tcPr>
            <w:tcW w:w="7920" w:type="dxa"/>
            <w:vAlign w:val="bottom"/>
          </w:tcPr>
          <w:p>
            <w:pPr>
              <w:ind w:left="200"/>
              <w:spacing w:after="0"/>
              <w:rPr>
                <w:sz w:val="20"/>
                <w:szCs w:val="20"/>
                <w:color w:val="auto"/>
              </w:rPr>
            </w:pPr>
            <w:r>
              <w:rPr>
                <w:rFonts w:ascii="Arial" w:cs="Arial" w:eastAsia="Arial" w:hAnsi="Arial"/>
                <w:sz w:val="14"/>
                <w:szCs w:val="14"/>
                <w:color w:val="auto"/>
              </w:rPr>
              <w:t>Lease liabilities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5"/>
                <w:szCs w:val="15"/>
                <w:color w:val="auto"/>
              </w:rPr>
            </w:pPr>
          </w:p>
        </w:tc>
      </w:tr>
      <w:tr>
        <w:trPr>
          <w:trHeight w:val="169"/>
        </w:trPr>
        <w:tc>
          <w:tcPr>
            <w:tcW w:w="79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16,368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11,077</w:t>
            </w:r>
          </w:p>
        </w:tc>
        <w:tc>
          <w:tcPr>
            <w:tcW w:w="100" w:type="dxa"/>
            <w:vAlign w:val="bottom"/>
            <w:shd w:val="clear" w:color="auto" w:fill="CFF0FC"/>
          </w:tcPr>
          <w:p>
            <w:pPr>
              <w:spacing w:after="0"/>
              <w:rPr>
                <w:sz w:val="14"/>
                <w:szCs w:val="14"/>
                <w:color w:val="auto"/>
              </w:rPr>
            </w:pPr>
          </w:p>
        </w:tc>
      </w:tr>
      <w:tr>
        <w:trPr>
          <w:trHeight w:val="175"/>
        </w:trPr>
        <w:tc>
          <w:tcPr>
            <w:tcW w:w="7920" w:type="dxa"/>
            <w:vAlign w:val="bottom"/>
          </w:tcPr>
          <w:p>
            <w:pPr>
              <w:ind w:left="20"/>
              <w:spacing w:after="0"/>
              <w:rPr>
                <w:sz w:val="20"/>
                <w:szCs w:val="20"/>
                <w:color w:val="auto"/>
              </w:rPr>
            </w:pPr>
            <w:r>
              <w:rPr>
                <w:rFonts w:ascii="Arial" w:cs="Arial" w:eastAsia="Arial" w:hAnsi="Arial"/>
                <w:sz w:val="14"/>
                <w:szCs w:val="14"/>
                <w:color w:val="auto"/>
              </w:rPr>
              <w:t>Long-term lease liabilities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3,354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3,642</w:t>
            </w:r>
          </w:p>
        </w:tc>
        <w:tc>
          <w:tcPr>
            <w:tcW w:w="100" w:type="dxa"/>
            <w:vAlign w:val="bottom"/>
          </w:tcPr>
          <w:p>
            <w:pPr>
              <w:spacing w:after="0"/>
              <w:rPr>
                <w:sz w:val="15"/>
                <w:szCs w:val="15"/>
                <w:color w:val="auto"/>
              </w:rPr>
            </w:pPr>
          </w:p>
        </w:tc>
      </w:tr>
      <w:tr>
        <w:trPr>
          <w:trHeight w:val="175"/>
        </w:trPr>
        <w:tc>
          <w:tcPr>
            <w:tcW w:w="7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Term loan, net</w:t>
            </w:r>
          </w:p>
        </w:tc>
        <w:tc>
          <w:tcPr>
            <w:tcW w:w="2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40,025</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39,760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920" w:type="dxa"/>
            <w:vAlign w:val="bottom"/>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59,747</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54,479</w:t>
            </w:r>
          </w:p>
        </w:tc>
        <w:tc>
          <w:tcPr>
            <w:tcW w:w="100" w:type="dxa"/>
            <w:vAlign w:val="bottom"/>
          </w:tcPr>
          <w:p>
            <w:pPr>
              <w:spacing w:after="0"/>
              <w:rPr>
                <w:sz w:val="14"/>
                <w:szCs w:val="14"/>
                <w:color w:val="auto"/>
              </w:rPr>
            </w:pPr>
          </w:p>
        </w:tc>
      </w:tr>
      <w:tr>
        <w:trPr>
          <w:trHeight w:val="169"/>
        </w:trPr>
        <w:tc>
          <w:tcPr>
            <w:tcW w:w="7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w:t>
            </w:r>
            <w:r>
              <w:rPr>
                <w:rFonts w:ascii="Arial" w:cs="Arial" w:eastAsia="Arial" w:hAnsi="Arial"/>
                <w:sz w:val="14"/>
                <w:szCs w:val="14"/>
                <w:i w:val="1"/>
                <w:iCs w:val="1"/>
                <w:color w:val="auto"/>
              </w:rPr>
              <w:t>Note 9)</w:t>
            </w: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9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9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$0.001 par value, 900,000,000 shares authorized, 27,719,132 shares issued and</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920" w:type="dxa"/>
            <w:vAlign w:val="bottom"/>
            <w:shd w:val="clear" w:color="auto" w:fill="CFF0FC"/>
          </w:tcPr>
          <w:p>
            <w:pPr>
              <w:ind w:left="280"/>
              <w:spacing w:after="0" w:line="149" w:lineRule="exact"/>
              <w:rPr>
                <w:sz w:val="20"/>
                <w:szCs w:val="20"/>
                <w:color w:val="auto"/>
              </w:rPr>
            </w:pPr>
            <w:r>
              <w:rPr>
                <w:rFonts w:ascii="Arial" w:cs="Arial" w:eastAsia="Arial" w:hAnsi="Arial"/>
                <w:sz w:val="14"/>
                <w:szCs w:val="14"/>
                <w:color w:val="auto"/>
              </w:rPr>
              <w:t>outstanding as of September 30, 2022 and 27,366,746 shares issued and</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94"/>
        </w:trPr>
        <w:tc>
          <w:tcPr>
            <w:tcW w:w="79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outstanding as of December 31, 2021</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FF0FC"/>
          </w:tcPr>
          <w:p>
            <w:pPr>
              <w:spacing w:after="0"/>
              <w:rPr>
                <w:sz w:val="16"/>
                <w:szCs w:val="16"/>
                <w:color w:val="auto"/>
              </w:rPr>
            </w:pPr>
          </w:p>
        </w:tc>
      </w:tr>
      <w:tr>
        <w:trPr>
          <w:trHeight w:val="143"/>
        </w:trPr>
        <w:tc>
          <w:tcPr>
            <w:tcW w:w="7920" w:type="dxa"/>
            <w:vAlign w:val="bottom"/>
          </w:tcPr>
          <w:p>
            <w:pPr>
              <w:ind w:left="200"/>
              <w:spacing w:after="0" w:line="143" w:lineRule="exact"/>
              <w:rPr>
                <w:sz w:val="20"/>
                <w:szCs w:val="20"/>
                <w:color w:val="auto"/>
              </w:rPr>
            </w:pPr>
            <w:r>
              <w:rPr>
                <w:rFonts w:ascii="Arial" w:cs="Arial" w:eastAsia="Arial" w:hAnsi="Arial"/>
                <w:sz w:val="14"/>
                <w:szCs w:val="14"/>
                <w:color w:val="auto"/>
              </w:rPr>
              <w:t>Preferred stock, $0.001 par value, 100,000,000 shares authorized, no shares issued</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920" w:type="dxa"/>
            <w:vAlign w:val="bottom"/>
          </w:tcPr>
          <w:p>
            <w:pPr>
              <w:ind w:left="280"/>
              <w:spacing w:after="0"/>
              <w:rPr>
                <w:sz w:val="20"/>
                <w:szCs w:val="20"/>
                <w:color w:val="auto"/>
              </w:rPr>
            </w:pPr>
            <w:r>
              <w:rPr>
                <w:rFonts w:ascii="Arial" w:cs="Arial" w:eastAsia="Arial" w:hAnsi="Arial"/>
                <w:sz w:val="14"/>
                <w:szCs w:val="14"/>
                <w:color w:val="auto"/>
              </w:rPr>
              <w:t>and outstanding</w:t>
            </w:r>
          </w:p>
        </w:tc>
        <w:tc>
          <w:tcPr>
            <w:tcW w:w="20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626,491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617,511</w:t>
            </w:r>
          </w:p>
        </w:tc>
        <w:tc>
          <w:tcPr>
            <w:tcW w:w="100" w:type="dxa"/>
            <w:vAlign w:val="bottom"/>
            <w:shd w:val="clear" w:color="auto" w:fill="CFF0FC"/>
          </w:tcPr>
          <w:p>
            <w:pPr>
              <w:spacing w:after="0"/>
              <w:rPr>
                <w:sz w:val="15"/>
                <w:szCs w:val="15"/>
                <w:color w:val="auto"/>
              </w:rPr>
            </w:pPr>
          </w:p>
        </w:tc>
      </w:tr>
      <w:tr>
        <w:trPr>
          <w:trHeight w:val="175"/>
        </w:trPr>
        <w:tc>
          <w:tcPr>
            <w:tcW w:w="792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(138 )</w:t>
            </w:r>
          </w:p>
        </w:tc>
        <w:tc>
          <w:tcPr>
            <w:tcW w:w="20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(20 )</w:t>
            </w:r>
          </w:p>
        </w:tc>
      </w:tr>
      <w:tr>
        <w:trPr>
          <w:trHeight w:val="175"/>
        </w:trPr>
        <w:tc>
          <w:tcPr>
            <w:tcW w:w="7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2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(530,422 )</w:t>
            </w:r>
          </w:p>
        </w:tc>
        <w:tc>
          <w:tcPr>
            <w:tcW w:w="2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(479,276 )</w:t>
            </w:r>
          </w:p>
        </w:tc>
      </w:tr>
      <w:tr>
        <w:trPr>
          <w:trHeight w:val="169"/>
        </w:trPr>
        <w:tc>
          <w:tcPr>
            <w:tcW w:w="7920" w:type="dxa"/>
            <w:vAlign w:val="bottom"/>
            <w:tcBorders>
              <w:top w:val="single" w:sz="8" w:color="CFF0FC"/>
            </w:tcBorders>
          </w:tcPr>
          <w:p>
            <w:pPr>
              <w:ind w:left="38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95,959</w:t>
            </w: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138,242</w:t>
            </w:r>
          </w:p>
        </w:tc>
        <w:tc>
          <w:tcPr>
            <w:tcW w:w="100" w:type="dxa"/>
            <w:vAlign w:val="bottom"/>
            <w:tcBorders>
              <w:top w:val="single" w:sz="8" w:color="CFF0FC"/>
            </w:tcBorders>
          </w:tcPr>
          <w:p>
            <w:pPr>
              <w:spacing w:after="0"/>
              <w:rPr>
                <w:sz w:val="14"/>
                <w:szCs w:val="14"/>
                <w:color w:val="auto"/>
              </w:rPr>
            </w:pPr>
          </w:p>
        </w:tc>
      </w:tr>
      <w:tr>
        <w:trPr>
          <w:trHeight w:val="209"/>
        </w:trPr>
        <w:tc>
          <w:tcPr>
            <w:tcW w:w="7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155,706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192,721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-3073400</wp:posOffset>
            </wp:positionV>
            <wp:extent cx="685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-2388235</wp:posOffset>
            </wp:positionV>
            <wp:extent cx="115570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55700" cy="1371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-1463675</wp:posOffset>
            </wp:positionV>
            <wp:extent cx="6858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-264795</wp:posOffset>
            </wp:positionV>
            <wp:extent cx="68580"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48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248285"/>
                    </a:xfrm>
                    <a:prstGeom prst="rect">
                      <a:avLst/>
                    </a:prstGeom>
                    <a:noFill/>
                  </pic:spPr>
                </pic:pic>
              </a:graphicData>
            </a:graphic>
          </wp:anchor>
        </w:drawing>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 w:name="page6"/>
    <w:bookmarkEnd w:id="5"/>
    <w:p>
      <w:pPr>
        <w:ind w:left="5000"/>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w w:val="99"/>
              </w:rPr>
              <w:t>Three Months Ended September 30,</w:t>
            </w:r>
          </w:p>
        </w:tc>
        <w:tc>
          <w:tcPr>
            <w:tcW w:w="340" w:type="dxa"/>
            <w:vAlign w:val="bottom"/>
          </w:tcPr>
          <w:p>
            <w:pPr>
              <w:spacing w:after="0"/>
              <w:rPr>
                <w:sz w:val="16"/>
                <w:szCs w:val="16"/>
                <w:color w:val="auto"/>
              </w:rPr>
            </w:pPr>
          </w:p>
        </w:tc>
        <w:tc>
          <w:tcPr>
            <w:tcW w:w="3100" w:type="dxa"/>
            <w:vAlign w:val="bottom"/>
            <w:gridSpan w:val="5"/>
          </w:tcPr>
          <w:p>
            <w:pPr>
              <w:jc w:val="right"/>
              <w:ind w:right="628"/>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45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5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Sales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12,615</w:t>
            </w:r>
          </w:p>
        </w:tc>
        <w:tc>
          <w:tcPr>
            <w:tcW w:w="3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5,786</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32,917</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14,167</w:t>
            </w:r>
          </w:p>
        </w:tc>
        <w:tc>
          <w:tcPr>
            <w:tcW w:w="100" w:type="dxa"/>
            <w:vAlign w:val="bottom"/>
            <w:shd w:val="clear" w:color="auto" w:fill="CFF0FC"/>
          </w:tcPr>
          <w:p>
            <w:pPr>
              <w:spacing w:after="0"/>
              <w:rPr>
                <w:sz w:val="14"/>
                <w:szCs w:val="14"/>
                <w:color w:val="auto"/>
              </w:rPr>
            </w:pPr>
          </w:p>
        </w:tc>
      </w:tr>
      <w:tr>
        <w:trPr>
          <w:trHeight w:val="175"/>
        </w:trPr>
        <w:tc>
          <w:tcPr>
            <w:tcW w:w="4520" w:type="dxa"/>
            <w:vAlign w:val="bottom"/>
          </w:tcPr>
          <w:p>
            <w:pPr>
              <w:ind w:left="200"/>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7,259</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4,445</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19,011</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12,519</w:t>
            </w:r>
          </w:p>
        </w:tc>
        <w:tc>
          <w:tcPr>
            <w:tcW w:w="100" w:type="dxa"/>
            <w:vAlign w:val="bottom"/>
          </w:tcPr>
          <w:p>
            <w:pPr>
              <w:spacing w:after="0"/>
              <w:rPr>
                <w:sz w:val="15"/>
                <w:szCs w:val="15"/>
                <w:color w:val="auto"/>
              </w:rPr>
            </w:pPr>
          </w:p>
        </w:tc>
      </w:tr>
      <w:tr>
        <w:trPr>
          <w:trHeight w:val="169"/>
        </w:trPr>
        <w:tc>
          <w:tcPr>
            <w:tcW w:w="4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5,356</w:t>
            </w:r>
          </w:p>
        </w:tc>
        <w:tc>
          <w:tcPr>
            <w:tcW w:w="3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1,341</w:t>
            </w:r>
          </w:p>
        </w:tc>
        <w:tc>
          <w:tcPr>
            <w:tcW w:w="2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13,906</w:t>
            </w:r>
          </w:p>
        </w:tc>
        <w:tc>
          <w:tcPr>
            <w:tcW w:w="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4520" w:type="dxa"/>
            <w:vAlign w:val="bottom"/>
          </w:tcPr>
          <w:p>
            <w:pPr>
              <w:ind w:left="20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5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14,926</w:t>
            </w: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9,076</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42,934</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21,189</w:t>
            </w:r>
          </w:p>
        </w:tc>
        <w:tc>
          <w:tcPr>
            <w:tcW w:w="100" w:type="dxa"/>
            <w:vAlign w:val="bottom"/>
            <w:shd w:val="clear" w:color="auto" w:fill="CFF0FC"/>
          </w:tcPr>
          <w:p>
            <w:pPr>
              <w:spacing w:after="0"/>
              <w:rPr>
                <w:sz w:val="15"/>
                <w:szCs w:val="15"/>
                <w:color w:val="auto"/>
              </w:rPr>
            </w:pPr>
          </w:p>
        </w:tc>
      </w:tr>
      <w:tr>
        <w:trPr>
          <w:trHeight w:val="175"/>
        </w:trPr>
        <w:tc>
          <w:tcPr>
            <w:tcW w:w="452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6,388</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5,377</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19,300</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18,583</w:t>
            </w:r>
          </w:p>
        </w:tc>
        <w:tc>
          <w:tcPr>
            <w:tcW w:w="100" w:type="dxa"/>
            <w:vAlign w:val="bottom"/>
          </w:tcPr>
          <w:p>
            <w:pPr>
              <w:spacing w:after="0"/>
              <w:rPr>
                <w:sz w:val="15"/>
                <w:szCs w:val="15"/>
                <w:color w:val="auto"/>
              </w:rPr>
            </w:pPr>
          </w:p>
        </w:tc>
      </w:tr>
      <w:tr>
        <w:trPr>
          <w:trHeight w:val="169"/>
        </w:trPr>
        <w:tc>
          <w:tcPr>
            <w:tcW w:w="45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21,314</w:t>
            </w:r>
          </w:p>
        </w:tc>
        <w:tc>
          <w:tcPr>
            <w:tcW w:w="3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14,453</w:t>
            </w:r>
          </w:p>
        </w:tc>
        <w:tc>
          <w:tcPr>
            <w:tcW w:w="2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62,234</w:t>
            </w:r>
          </w:p>
        </w:tc>
        <w:tc>
          <w:tcPr>
            <w:tcW w:w="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39,772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4520" w:type="dxa"/>
            <w:vAlign w:val="bottom"/>
          </w:tcPr>
          <w:p>
            <w:pPr>
              <w:ind w:left="560"/>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(15,958 )</w:t>
            </w:r>
          </w:p>
        </w:tc>
        <w:tc>
          <w:tcPr>
            <w:tcW w:w="300" w:type="dxa"/>
            <w:vAlign w:val="bottom"/>
          </w:tcPr>
          <w:p>
            <w:pPr>
              <w:spacing w:after="0"/>
              <w:rPr>
                <w:sz w:val="14"/>
                <w:szCs w:val="14"/>
                <w:color w:val="auto"/>
              </w:rPr>
            </w:pPr>
          </w:p>
        </w:tc>
        <w:tc>
          <w:tcPr>
            <w:tcW w:w="1280" w:type="dxa"/>
            <w:vAlign w:val="bottom"/>
            <w:gridSpan w:val="2"/>
          </w:tcPr>
          <w:p>
            <w:pPr>
              <w:jc w:val="right"/>
              <w:ind w:right="128"/>
              <w:spacing w:after="0"/>
              <w:rPr>
                <w:sz w:val="20"/>
                <w:szCs w:val="20"/>
                <w:color w:val="auto"/>
              </w:rPr>
            </w:pPr>
            <w:r>
              <w:rPr>
                <w:rFonts w:ascii="Arial" w:cs="Arial" w:eastAsia="Arial" w:hAnsi="Arial"/>
                <w:sz w:val="14"/>
                <w:szCs w:val="14"/>
                <w:color w:val="auto"/>
              </w:rPr>
              <w:t>(13,112 )</w:t>
            </w:r>
          </w:p>
        </w:tc>
        <w:tc>
          <w:tcPr>
            <w:tcW w:w="340" w:type="dxa"/>
            <w:vAlign w:val="bottom"/>
          </w:tcPr>
          <w:p>
            <w:pPr>
              <w:spacing w:after="0"/>
              <w:rPr>
                <w:sz w:val="14"/>
                <w:szCs w:val="14"/>
                <w:color w:val="auto"/>
              </w:rPr>
            </w:pPr>
          </w:p>
        </w:tc>
        <w:tc>
          <w:tcPr>
            <w:tcW w:w="1400" w:type="dxa"/>
            <w:vAlign w:val="bottom"/>
            <w:gridSpan w:val="2"/>
          </w:tcPr>
          <w:p>
            <w:pPr>
              <w:jc w:val="right"/>
              <w:ind w:right="88"/>
              <w:spacing w:after="0"/>
              <w:rPr>
                <w:sz w:val="20"/>
                <w:szCs w:val="20"/>
                <w:color w:val="auto"/>
              </w:rPr>
            </w:pPr>
            <w:r>
              <w:rPr>
                <w:rFonts w:ascii="Arial" w:cs="Arial" w:eastAsia="Arial" w:hAnsi="Arial"/>
                <w:sz w:val="14"/>
                <w:szCs w:val="14"/>
                <w:color w:val="auto"/>
              </w:rPr>
              <w:t>(48,328 )</w:t>
            </w:r>
          </w:p>
        </w:tc>
        <w:tc>
          <w:tcPr>
            <w:tcW w:w="3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(38,124 )</w:t>
            </w:r>
          </w:p>
        </w:tc>
      </w:tr>
      <w:tr>
        <w:trPr>
          <w:trHeight w:val="175"/>
        </w:trPr>
        <w:tc>
          <w:tcPr>
            <w:tcW w:w="45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4520" w:type="dxa"/>
            <w:vAlign w:val="bottom"/>
          </w:tcPr>
          <w:p>
            <w:pPr>
              <w:ind w:left="380"/>
              <w:spacing w:after="0"/>
              <w:rPr>
                <w:sz w:val="20"/>
                <w:szCs w:val="20"/>
                <w:color w:val="auto"/>
              </w:rPr>
            </w:pPr>
            <w:r>
              <w:rPr>
                <w:rFonts w:ascii="Arial" w:cs="Arial" w:eastAsia="Arial" w:hAnsi="Arial"/>
                <w:sz w:val="14"/>
                <w:szCs w:val="14"/>
                <w:color w:val="auto"/>
              </w:rPr>
              <w:t>Change in fair value of warrants</w:t>
            </w:r>
          </w:p>
        </w:tc>
        <w:tc>
          <w:tcPr>
            <w:tcW w:w="240" w:type="dxa"/>
            <w:vAlign w:val="bottom"/>
          </w:tcPr>
          <w:p>
            <w:pPr>
              <w:spacing w:after="0"/>
              <w:rPr>
                <w:sz w:val="15"/>
                <w:szCs w:val="15"/>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1,503</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2,717</w:t>
            </w:r>
          </w:p>
        </w:tc>
        <w:tc>
          <w:tcPr>
            <w:tcW w:w="100" w:type="dxa"/>
            <w:vAlign w:val="bottom"/>
          </w:tcPr>
          <w:p>
            <w:pPr>
              <w:spacing w:after="0"/>
              <w:rPr>
                <w:sz w:val="15"/>
                <w:szCs w:val="15"/>
                <w:color w:val="auto"/>
              </w:rPr>
            </w:pPr>
          </w:p>
        </w:tc>
      </w:tr>
      <w:tr>
        <w:trPr>
          <w:trHeight w:val="175"/>
        </w:trPr>
        <w:tc>
          <w:tcPr>
            <w:tcW w:w="45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Expiration of warrant</w:t>
            </w:r>
          </w:p>
        </w:tc>
        <w:tc>
          <w:tcPr>
            <w:tcW w:w="2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5,018</w:t>
            </w:r>
          </w:p>
        </w:tc>
        <w:tc>
          <w:tcPr>
            <w:tcW w:w="100" w:type="dxa"/>
            <w:vAlign w:val="bottom"/>
            <w:shd w:val="clear" w:color="auto" w:fill="CFF0FC"/>
          </w:tcPr>
          <w:p>
            <w:pPr>
              <w:spacing w:after="0"/>
              <w:rPr>
                <w:sz w:val="15"/>
                <w:szCs w:val="15"/>
                <w:color w:val="auto"/>
              </w:rPr>
            </w:pPr>
          </w:p>
        </w:tc>
      </w:tr>
      <w:tr>
        <w:trPr>
          <w:trHeight w:val="175"/>
        </w:trPr>
        <w:tc>
          <w:tcPr>
            <w:tcW w:w="452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(1,299 )</w:t>
            </w:r>
          </w:p>
        </w:tc>
        <w:tc>
          <w:tcPr>
            <w:tcW w:w="300" w:type="dxa"/>
            <w:vAlign w:val="bottom"/>
          </w:tcPr>
          <w:p>
            <w:pPr>
              <w:spacing w:after="0"/>
              <w:rPr>
                <w:sz w:val="15"/>
                <w:szCs w:val="15"/>
                <w:color w:val="auto"/>
              </w:rPr>
            </w:pPr>
          </w:p>
        </w:tc>
        <w:tc>
          <w:tcPr>
            <w:tcW w:w="1280" w:type="dxa"/>
            <w:vAlign w:val="bottom"/>
            <w:gridSpan w:val="2"/>
          </w:tcPr>
          <w:p>
            <w:pPr>
              <w:jc w:val="right"/>
              <w:ind w:right="128"/>
              <w:spacing w:after="0"/>
              <w:rPr>
                <w:sz w:val="20"/>
                <w:szCs w:val="20"/>
                <w:color w:val="auto"/>
              </w:rPr>
            </w:pPr>
            <w:r>
              <w:rPr>
                <w:rFonts w:ascii="Arial" w:cs="Arial" w:eastAsia="Arial" w:hAnsi="Arial"/>
                <w:sz w:val="14"/>
                <w:szCs w:val="14"/>
                <w:color w:val="auto"/>
              </w:rPr>
              <w:t>(1,079 )</w:t>
            </w:r>
          </w:p>
        </w:tc>
        <w:tc>
          <w:tcPr>
            <w:tcW w:w="340" w:type="dxa"/>
            <w:vAlign w:val="bottom"/>
          </w:tcPr>
          <w:p>
            <w:pPr>
              <w:spacing w:after="0"/>
              <w:rPr>
                <w:sz w:val="15"/>
                <w:szCs w:val="15"/>
                <w:color w:val="auto"/>
              </w:rPr>
            </w:pPr>
          </w:p>
        </w:tc>
        <w:tc>
          <w:tcPr>
            <w:tcW w:w="1400" w:type="dxa"/>
            <w:vAlign w:val="bottom"/>
            <w:gridSpan w:val="2"/>
          </w:tcPr>
          <w:p>
            <w:pPr>
              <w:jc w:val="right"/>
              <w:ind w:right="88"/>
              <w:spacing w:after="0"/>
              <w:rPr>
                <w:sz w:val="20"/>
                <w:szCs w:val="20"/>
                <w:color w:val="auto"/>
              </w:rPr>
            </w:pPr>
            <w:r>
              <w:rPr>
                <w:rFonts w:ascii="Arial" w:cs="Arial" w:eastAsia="Arial" w:hAnsi="Arial"/>
                <w:sz w:val="14"/>
                <w:szCs w:val="14"/>
                <w:color w:val="auto"/>
              </w:rPr>
              <w:t>(3,495 )</w:t>
            </w:r>
          </w:p>
        </w:tc>
        <w:tc>
          <w:tcPr>
            <w:tcW w:w="3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(2,603 )</w:t>
            </w:r>
          </w:p>
        </w:tc>
      </w:tr>
      <w:tr>
        <w:trPr>
          <w:trHeight w:val="175"/>
        </w:trPr>
        <w:tc>
          <w:tcPr>
            <w:tcW w:w="45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Interest and other income</w:t>
            </w:r>
          </w:p>
        </w:tc>
        <w:tc>
          <w:tcPr>
            <w:tcW w:w="2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439</w:t>
            </w:r>
          </w:p>
        </w:tc>
        <w:tc>
          <w:tcPr>
            <w:tcW w:w="3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681</w:t>
            </w:r>
          </w:p>
        </w:tc>
        <w:tc>
          <w:tcPr>
            <w:tcW w:w="2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4520" w:type="dxa"/>
            <w:vAlign w:val="bottom"/>
          </w:tcPr>
          <w:p>
            <w:pPr>
              <w:ind w:left="200"/>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(16,818 )</w:t>
            </w:r>
          </w:p>
        </w:tc>
        <w:tc>
          <w:tcPr>
            <w:tcW w:w="300" w:type="dxa"/>
            <w:vAlign w:val="bottom"/>
          </w:tcPr>
          <w:p>
            <w:pPr>
              <w:spacing w:after="0"/>
              <w:rPr>
                <w:sz w:val="14"/>
                <w:szCs w:val="14"/>
                <w:color w:val="auto"/>
              </w:rPr>
            </w:pPr>
          </w:p>
        </w:tc>
        <w:tc>
          <w:tcPr>
            <w:tcW w:w="1280" w:type="dxa"/>
            <w:vAlign w:val="bottom"/>
            <w:gridSpan w:val="2"/>
          </w:tcPr>
          <w:p>
            <w:pPr>
              <w:jc w:val="right"/>
              <w:ind w:right="128"/>
              <w:spacing w:after="0"/>
              <w:rPr>
                <w:sz w:val="20"/>
                <w:szCs w:val="20"/>
                <w:color w:val="auto"/>
              </w:rPr>
            </w:pPr>
            <w:r>
              <w:rPr>
                <w:rFonts w:ascii="Arial" w:cs="Arial" w:eastAsia="Arial" w:hAnsi="Arial"/>
                <w:sz w:val="14"/>
                <w:szCs w:val="14"/>
                <w:color w:val="auto"/>
              </w:rPr>
              <w:t>(12,677 )</w:t>
            </w:r>
          </w:p>
        </w:tc>
        <w:tc>
          <w:tcPr>
            <w:tcW w:w="340" w:type="dxa"/>
            <w:vAlign w:val="bottom"/>
          </w:tcPr>
          <w:p>
            <w:pPr>
              <w:spacing w:after="0"/>
              <w:rPr>
                <w:sz w:val="14"/>
                <w:szCs w:val="14"/>
                <w:color w:val="auto"/>
              </w:rPr>
            </w:pPr>
          </w:p>
        </w:tc>
        <w:tc>
          <w:tcPr>
            <w:tcW w:w="1400" w:type="dxa"/>
            <w:vAlign w:val="bottom"/>
            <w:gridSpan w:val="2"/>
          </w:tcPr>
          <w:p>
            <w:pPr>
              <w:jc w:val="right"/>
              <w:ind w:right="88"/>
              <w:spacing w:after="0"/>
              <w:rPr>
                <w:sz w:val="20"/>
                <w:szCs w:val="20"/>
                <w:color w:val="auto"/>
              </w:rPr>
            </w:pPr>
            <w:r>
              <w:rPr>
                <w:rFonts w:ascii="Arial" w:cs="Arial" w:eastAsia="Arial" w:hAnsi="Arial"/>
                <w:sz w:val="14"/>
                <w:szCs w:val="14"/>
                <w:color w:val="auto"/>
              </w:rPr>
              <w:t>(51,142 )</w:t>
            </w:r>
          </w:p>
        </w:tc>
        <w:tc>
          <w:tcPr>
            <w:tcW w:w="3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(32,948 )</w:t>
            </w:r>
          </w:p>
        </w:tc>
      </w:tr>
      <w:tr>
        <w:trPr>
          <w:trHeight w:val="175"/>
        </w:trPr>
        <w:tc>
          <w:tcPr>
            <w:tcW w:w="45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 (benefit) expense</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(4 )</w:t>
            </w: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5"/>
                <w:szCs w:val="15"/>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4520" w:type="dxa"/>
            <w:vAlign w:val="bottom"/>
          </w:tcPr>
          <w:p>
            <w:pPr>
              <w:ind w:left="560"/>
              <w:spacing w:after="0" w:line="155" w:lineRule="exact"/>
              <w:rPr>
                <w:sz w:val="20"/>
                <w:szCs w:val="20"/>
                <w:color w:val="auto"/>
              </w:rPr>
            </w:pPr>
            <w:r>
              <w:rPr>
                <w:rFonts w:ascii="Arial" w:cs="Arial" w:eastAsia="Arial" w:hAnsi="Arial"/>
                <w:sz w:val="14"/>
                <w:szCs w:val="14"/>
                <w:color w:val="auto"/>
              </w:rPr>
              <w:t>Net loss</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(16,818 )</w:t>
            </w: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(12,673 )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(51,146 )</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(32,954 )</w:t>
            </w:r>
          </w:p>
        </w:tc>
      </w:tr>
      <w:tr>
        <w:trPr>
          <w:trHeight w:val="20"/>
        </w:trPr>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452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5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Unrealized gain (loss) on short-term investments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(5 )</w:t>
            </w:r>
          </w:p>
        </w:tc>
        <w:tc>
          <w:tcPr>
            <w:tcW w:w="3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(95 )</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(2 )</w:t>
            </w:r>
          </w:p>
        </w:tc>
      </w:tr>
      <w:tr>
        <w:trPr>
          <w:trHeight w:val="175"/>
        </w:trPr>
        <w:tc>
          <w:tcPr>
            <w:tcW w:w="4520" w:type="dxa"/>
            <w:vAlign w:val="bottom"/>
          </w:tcPr>
          <w:p>
            <w:pPr>
              <w:ind w:left="380"/>
              <w:spacing w:after="0"/>
              <w:rPr>
                <w:sz w:val="20"/>
                <w:szCs w:val="20"/>
                <w:color w:val="auto"/>
              </w:rPr>
            </w:pPr>
            <w:r>
              <w:rPr>
                <w:rFonts w:ascii="Arial" w:cs="Arial" w:eastAsia="Arial" w:hAnsi="Arial"/>
                <w:sz w:val="14"/>
                <w:szCs w:val="14"/>
                <w:color w:val="auto"/>
              </w:rPr>
              <w:t>Foreign currency translation loss</w:t>
            </w:r>
          </w:p>
        </w:tc>
        <w:tc>
          <w:tcPr>
            <w:tcW w:w="24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(10 )</w:t>
            </w:r>
          </w:p>
        </w:tc>
        <w:tc>
          <w:tcPr>
            <w:tcW w:w="300" w:type="dxa"/>
            <w:vAlign w:val="bottom"/>
          </w:tcPr>
          <w:p>
            <w:pPr>
              <w:spacing w:after="0"/>
              <w:rPr>
                <w:sz w:val="15"/>
                <w:szCs w:val="15"/>
                <w:color w:val="auto"/>
              </w:rPr>
            </w:pPr>
          </w:p>
        </w:tc>
        <w:tc>
          <w:tcPr>
            <w:tcW w:w="1280" w:type="dxa"/>
            <w:vAlign w:val="bottom"/>
            <w:gridSpan w:val="2"/>
          </w:tcPr>
          <w:p>
            <w:pPr>
              <w:jc w:val="right"/>
              <w:ind w:right="128"/>
              <w:spacing w:after="0"/>
              <w:rPr>
                <w:sz w:val="20"/>
                <w:szCs w:val="20"/>
                <w:color w:val="auto"/>
              </w:rPr>
            </w:pPr>
            <w:r>
              <w:rPr>
                <w:rFonts w:ascii="Arial" w:cs="Arial" w:eastAsia="Arial" w:hAnsi="Arial"/>
                <w:sz w:val="14"/>
                <w:szCs w:val="14"/>
                <w:color w:val="auto"/>
              </w:rPr>
              <w:t>(3 )</w:t>
            </w:r>
          </w:p>
        </w:tc>
        <w:tc>
          <w:tcPr>
            <w:tcW w:w="340" w:type="dxa"/>
            <w:vAlign w:val="bottom"/>
          </w:tcPr>
          <w:p>
            <w:pPr>
              <w:spacing w:after="0"/>
              <w:rPr>
                <w:sz w:val="15"/>
                <w:szCs w:val="15"/>
                <w:color w:val="auto"/>
              </w:rPr>
            </w:pPr>
          </w:p>
        </w:tc>
        <w:tc>
          <w:tcPr>
            <w:tcW w:w="1400" w:type="dxa"/>
            <w:vAlign w:val="bottom"/>
            <w:gridSpan w:val="2"/>
          </w:tcPr>
          <w:p>
            <w:pPr>
              <w:jc w:val="right"/>
              <w:ind w:right="88"/>
              <w:spacing w:after="0"/>
              <w:rPr>
                <w:sz w:val="20"/>
                <w:szCs w:val="20"/>
                <w:color w:val="auto"/>
              </w:rPr>
            </w:pPr>
            <w:r>
              <w:rPr>
                <w:rFonts w:ascii="Arial" w:cs="Arial" w:eastAsia="Arial" w:hAnsi="Arial"/>
                <w:sz w:val="14"/>
                <w:szCs w:val="14"/>
                <w:color w:val="auto"/>
              </w:rPr>
              <w:t>(23 )</w:t>
            </w:r>
          </w:p>
        </w:tc>
        <w:tc>
          <w:tcPr>
            <w:tcW w:w="3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(6 )</w:t>
            </w:r>
          </w:p>
        </w:tc>
      </w:tr>
      <w:tr>
        <w:trPr>
          <w:trHeight w:val="169"/>
        </w:trPr>
        <w:tc>
          <w:tcPr>
            <w:tcW w:w="4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other comprehensive income (loss)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3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452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(16,773 )</w:t>
            </w: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(12,681 )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(51,264 )</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(32,962 )</w:t>
            </w:r>
          </w:p>
        </w:tc>
      </w:tr>
      <w:tr>
        <w:trPr>
          <w:trHeight w:val="20"/>
        </w:trPr>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520" w:type="dxa"/>
            <w:vAlign w:val="bottom"/>
            <w:shd w:val="clear" w:color="auto" w:fill="CFF0FC"/>
          </w:tcPr>
          <w:p>
            <w:pPr>
              <w:ind w:left="200"/>
              <w:spacing w:after="0" w:line="156" w:lineRule="exact"/>
              <w:rPr>
                <w:sz w:val="20"/>
                <w:szCs w:val="20"/>
                <w:color w:val="auto"/>
              </w:rPr>
            </w:pPr>
            <w:r>
              <w:rPr>
                <w:rFonts w:ascii="Arial" w:cs="Arial" w:eastAsia="Arial" w:hAnsi="Arial"/>
                <w:sz w:val="14"/>
                <w:szCs w:val="14"/>
                <w:color w:val="auto"/>
              </w:rPr>
              <w:t>Net loss per share:</w:t>
            </w: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4520" w:type="dxa"/>
            <w:vAlign w:val="bottom"/>
          </w:tcPr>
          <w:p>
            <w:pPr>
              <w:ind w:left="380"/>
              <w:spacing w:after="0"/>
              <w:rPr>
                <w:sz w:val="20"/>
                <w:szCs w:val="20"/>
                <w:color w:val="auto"/>
              </w:rPr>
            </w:pPr>
            <w:r>
              <w:rPr>
                <w:rFonts w:ascii="Arial" w:cs="Arial" w:eastAsia="Arial" w:hAnsi="Arial"/>
                <w:sz w:val="14"/>
                <w:szCs w:val="14"/>
                <w:color w:val="auto"/>
              </w:rPr>
              <w:t>Attributable to common stock, basic &amp; 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(0.61 )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28"/>
              <w:spacing w:after="0"/>
              <w:rPr>
                <w:sz w:val="20"/>
                <w:szCs w:val="20"/>
                <w:color w:val="auto"/>
              </w:rPr>
            </w:pPr>
            <w:r>
              <w:rPr>
                <w:rFonts w:ascii="Arial" w:cs="Arial" w:eastAsia="Arial" w:hAnsi="Arial"/>
                <w:sz w:val="14"/>
                <w:szCs w:val="14"/>
                <w:color w:val="auto"/>
              </w:rPr>
              <w:t>(0.68 )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88"/>
              <w:spacing w:after="0"/>
              <w:rPr>
                <w:sz w:val="20"/>
                <w:szCs w:val="20"/>
                <w:color w:val="auto"/>
              </w:rPr>
            </w:pPr>
            <w:r>
              <w:rPr>
                <w:rFonts w:ascii="Arial" w:cs="Arial" w:eastAsia="Arial" w:hAnsi="Arial"/>
                <w:sz w:val="14"/>
                <w:szCs w:val="14"/>
                <w:color w:val="auto"/>
              </w:rPr>
              <w:t>(1.86 )</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(3.66 )</w:t>
            </w:r>
          </w:p>
        </w:tc>
      </w:tr>
      <w:tr>
        <w:trPr>
          <w:trHeight w:val="175"/>
        </w:trPr>
        <w:tc>
          <w:tcPr>
            <w:tcW w:w="45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Weighted-average shares used in computing net loss per share:</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4520" w:type="dxa"/>
            <w:vAlign w:val="bottom"/>
          </w:tcPr>
          <w:p>
            <w:pPr>
              <w:ind w:left="200"/>
              <w:spacing w:after="0"/>
              <w:rPr>
                <w:sz w:val="20"/>
                <w:szCs w:val="20"/>
                <w:color w:val="auto"/>
              </w:rPr>
            </w:pPr>
            <w:r>
              <w:rPr>
                <w:rFonts w:ascii="Arial" w:cs="Arial" w:eastAsia="Arial" w:hAnsi="Arial"/>
                <w:sz w:val="14"/>
                <w:szCs w:val="14"/>
                <w:color w:val="auto"/>
              </w:rPr>
              <w:t>Attributable to common stock, basic &amp; diluted</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27,665,842</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18,732,459</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27,551,333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8,998,895</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-2675255</wp:posOffset>
            </wp:positionV>
            <wp:extent cx="7683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-2675255</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-2675255</wp:posOffset>
            </wp:positionV>
            <wp:extent cx="6858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-2675255</wp:posOffset>
            </wp:positionV>
            <wp:extent cx="685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-2212975</wp:posOffset>
            </wp:positionV>
            <wp:extent cx="76835"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-2212975</wp:posOffset>
            </wp:positionV>
            <wp:extent cx="6858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-2212975</wp:posOffset>
            </wp:positionV>
            <wp:extent cx="6858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-2212975</wp:posOffset>
            </wp:positionV>
            <wp:extent cx="6858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-1536065</wp:posOffset>
            </wp:positionV>
            <wp:extent cx="7683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-1536065</wp:posOffset>
            </wp:positionV>
            <wp:extent cx="6858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-1536065</wp:posOffset>
            </wp:positionV>
            <wp:extent cx="6858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-1536065</wp:posOffset>
            </wp:positionV>
            <wp:extent cx="6858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-1304925</wp:posOffset>
            </wp:positionV>
            <wp:extent cx="7683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-1304925</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-1304925</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-1304925</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-594360</wp:posOffset>
            </wp:positionV>
            <wp:extent cx="7683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-594360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-594360</wp:posOffset>
            </wp:positionV>
            <wp:extent cx="6858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-594360</wp:posOffset>
            </wp:positionV>
            <wp:extent cx="685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ind w:left="5120"/>
        <w:spacing w:after="0"/>
        <w:rPr>
          <w:sz w:val="20"/>
          <w:szCs w:val="20"/>
          <w:color w:val="auto"/>
        </w:rPr>
      </w:pPr>
      <w:r>
        <w:rPr>
          <w:rFonts w:ascii="Arial" w:cs="Arial" w:eastAsia="Arial" w:hAnsi="Arial"/>
          <w:sz w:val="14"/>
          <w:szCs w:val="14"/>
          <w:b w:val="1"/>
          <w:bCs w:val="1"/>
          <w:color w:val="auto"/>
        </w:rPr>
        <w:t>RxSIGHT, INC.</w:t>
      </w:r>
    </w:p>
    <w:p>
      <w:pPr>
        <w:spacing w:after="0" w:line="25"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2"/>
                <w:szCs w:val="12"/>
                <w:b w:val="1"/>
                <w:bCs w:val="1"/>
                <w:color w:val="auto"/>
              </w:rPr>
              <w:t>Nine Months Ended September 30, 2022</w:t>
            </w: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3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368"/>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w w:val="97"/>
              </w:rPr>
              <w:t>Additional</w:t>
            </w:r>
          </w:p>
        </w:tc>
        <w:tc>
          <w:tcPr>
            <w:tcW w:w="120" w:type="dxa"/>
            <w:vAlign w:val="bottom"/>
          </w:tcPr>
          <w:p>
            <w:pPr>
              <w:spacing w:after="0"/>
              <w:rPr>
                <w:sz w:val="18"/>
                <w:szCs w:val="18"/>
                <w:color w:val="auto"/>
              </w:rPr>
            </w:pPr>
          </w:p>
        </w:tc>
        <w:tc>
          <w:tcPr>
            <w:tcW w:w="1440" w:type="dxa"/>
            <w:vAlign w:val="bottom"/>
            <w:gridSpan w:val="2"/>
          </w:tcPr>
          <w:p>
            <w:pPr>
              <w:jc w:val="center"/>
              <w:ind w:right="268"/>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4"/>
        </w:trPr>
        <w:tc>
          <w:tcPr>
            <w:tcW w:w="3260" w:type="dxa"/>
            <w:vAlign w:val="bottom"/>
          </w:tcPr>
          <w:p>
            <w:pPr>
              <w:spacing w:after="0"/>
              <w:rPr>
                <w:sz w:val="13"/>
                <w:szCs w:val="13"/>
                <w:color w:val="auto"/>
              </w:rPr>
            </w:pPr>
          </w:p>
        </w:tc>
        <w:tc>
          <w:tcPr>
            <w:tcW w:w="2160" w:type="dxa"/>
            <w:vAlign w:val="bottom"/>
            <w:gridSpan w:val="4"/>
            <w:vMerge w:val="restart"/>
          </w:tcPr>
          <w:p>
            <w:pPr>
              <w:jc w:val="right"/>
              <w:ind w:right="488"/>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jc w:val="center"/>
              <w:ind w:right="268"/>
              <w:spacing w:after="0"/>
              <w:rPr>
                <w:sz w:val="20"/>
                <w:szCs w:val="20"/>
                <w:color w:val="auto"/>
              </w:rPr>
            </w:pPr>
            <w:r>
              <w:rPr>
                <w:rFonts w:ascii="Arial" w:cs="Arial" w:eastAsia="Arial" w:hAnsi="Arial"/>
                <w:sz w:val="16"/>
                <w:szCs w:val="16"/>
                <w:b w:val="1"/>
                <w:bCs w:val="1"/>
                <w:color w:val="auto"/>
                <w:w w:val="86"/>
              </w:rPr>
              <w:t>comprehensive</w:t>
            </w:r>
          </w:p>
        </w:tc>
        <w:tc>
          <w:tcPr>
            <w:tcW w:w="120" w:type="dxa"/>
            <w:vAlign w:val="bottom"/>
          </w:tcPr>
          <w:p>
            <w:pPr>
              <w:spacing w:after="0"/>
              <w:rPr>
                <w:sz w:val="13"/>
                <w:szCs w:val="13"/>
                <w:color w:val="auto"/>
              </w:rPr>
            </w:pPr>
          </w:p>
        </w:tc>
        <w:tc>
          <w:tcPr>
            <w:tcW w:w="1320" w:type="dxa"/>
            <w:vAlign w:val="bottom"/>
            <w:gridSpan w:val="3"/>
            <w:vMerge w:val="restart"/>
          </w:tcPr>
          <w:p>
            <w:pPr>
              <w:jc w:val="center"/>
              <w:ind w:right="34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260" w:type="dxa"/>
            <w:vAlign w:val="bottom"/>
          </w:tcPr>
          <w:p>
            <w:pPr>
              <w:spacing w:after="0"/>
              <w:rPr>
                <w:sz w:val="16"/>
                <w:szCs w:val="16"/>
                <w:color w:val="auto"/>
              </w:rPr>
            </w:pPr>
          </w:p>
        </w:tc>
        <w:tc>
          <w:tcPr>
            <w:tcW w:w="2160" w:type="dxa"/>
            <w:vAlign w:val="bottom"/>
            <w:tcBorders>
              <w:bottom w:val="single" w:sz="8" w:color="auto"/>
            </w:tcBorders>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7"/>
                <w:szCs w:val="17"/>
                <w:color w:val="auto"/>
              </w:rPr>
            </w:pPr>
          </w:p>
        </w:tc>
        <w:tc>
          <w:tcPr>
            <w:tcW w:w="1440" w:type="dxa"/>
            <w:vAlign w:val="bottom"/>
            <w:gridSpan w:val="2"/>
          </w:tcPr>
          <w:p>
            <w:pPr>
              <w:jc w:val="center"/>
              <w:ind w:right="268"/>
              <w:spacing w:after="0"/>
              <w:rPr>
                <w:sz w:val="20"/>
                <w:szCs w:val="20"/>
                <w:color w:val="auto"/>
              </w:rPr>
            </w:pPr>
            <w:r>
              <w:rPr>
                <w:rFonts w:ascii="Arial" w:cs="Arial" w:eastAsia="Arial" w:hAnsi="Arial"/>
                <w:sz w:val="16"/>
                <w:szCs w:val="16"/>
                <w:b w:val="1"/>
                <w:bCs w:val="1"/>
                <w:color w:val="auto"/>
                <w:w w:val="81"/>
              </w:rPr>
              <w:t>loss</w:t>
            </w:r>
          </w:p>
        </w:tc>
        <w:tc>
          <w:tcPr>
            <w:tcW w:w="120" w:type="dxa"/>
            <w:vAlign w:val="bottom"/>
          </w:tcPr>
          <w:p>
            <w:pPr>
              <w:spacing w:after="0"/>
              <w:rPr>
                <w:sz w:val="17"/>
                <w:szCs w:val="17"/>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deficit</w:t>
            </w:r>
          </w:p>
        </w:tc>
        <w:tc>
          <w:tcPr>
            <w:tcW w:w="100" w:type="dxa"/>
            <w:vAlign w:val="bottom"/>
          </w:tcPr>
          <w:p>
            <w:pPr>
              <w:spacing w:after="0"/>
              <w:rPr>
                <w:sz w:val="17"/>
                <w:szCs w:val="17"/>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9"/>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27,366,746</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617,511</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(479,276</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138,242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60" w:type="dxa"/>
            <w:vAlign w:val="bottom"/>
          </w:tcPr>
          <w:p>
            <w:pPr>
              <w:ind w:left="20"/>
              <w:spacing w:after="0" w:line="143" w:lineRule="exact"/>
              <w:rPr>
                <w:sz w:val="20"/>
                <w:szCs w:val="20"/>
                <w:color w:val="auto"/>
              </w:rPr>
            </w:pPr>
            <w:r>
              <w:rPr>
                <w:rFonts w:ascii="Arial" w:cs="Arial" w:eastAsia="Arial" w:hAnsi="Arial"/>
                <w:sz w:val="14"/>
                <w:szCs w:val="14"/>
                <w:color w:val="auto"/>
              </w:rPr>
              <w:t>Shares issued for the exercise of stock options</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60" w:type="dxa"/>
            <w:vAlign w:val="bottom"/>
          </w:tcPr>
          <w:p>
            <w:pPr>
              <w:ind w:left="60"/>
              <w:spacing w:after="0"/>
              <w:rPr>
                <w:sz w:val="20"/>
                <w:szCs w:val="20"/>
                <w:color w:val="auto"/>
              </w:rPr>
            </w:pPr>
            <w:r>
              <w:rPr>
                <w:rFonts w:ascii="Arial" w:cs="Arial" w:eastAsia="Arial" w:hAnsi="Arial"/>
                <w:sz w:val="14"/>
                <w:szCs w:val="14"/>
                <w:color w:val="auto"/>
              </w:rPr>
              <w:t>and vesting of restricted stock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145,922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Shares redeemed for employee tax withholdings</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(26,983 )</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(362 )</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(362 )</w:t>
            </w: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2,649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Unrealized loss on short-term investments</w:t>
            </w: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and cash equivalents, net of tax</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(74 )</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15"/>
                <w:szCs w:val="15"/>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(17,596 )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(17,596 )</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10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tcBorders>
              <w:bottom w:val="single" w:sz="8" w:color="auto"/>
            </w:tcBorders>
            <w:shd w:val="clear" w:color="auto" w:fill="CFF0FC"/>
          </w:tcPr>
          <w:p>
            <w:pPr>
              <w:spacing w:after="0" w:line="20" w:lineRule="exact"/>
              <w:rPr>
                <w:sz w:val="1"/>
                <w:szCs w:val="1"/>
                <w:color w:val="auto"/>
              </w:rPr>
            </w:pPr>
          </w:p>
        </w:tc>
        <w:tc>
          <w:tcPr>
            <w:tcW w:w="70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tcBorders>
              <w:bottom w:val="single" w:sz="8" w:color="auto"/>
            </w:tcBorders>
            <w:shd w:val="clear" w:color="auto" w:fill="CFF0FC"/>
          </w:tcPr>
          <w:p>
            <w:pPr>
              <w:spacing w:after="0" w:line="20" w:lineRule="exact"/>
              <w:rPr>
                <w:sz w:val="1"/>
                <w:szCs w:val="1"/>
                <w:color w:val="auto"/>
              </w:rPr>
            </w:pPr>
          </w:p>
        </w:tc>
        <w:tc>
          <w:tcPr>
            <w:tcW w:w="1000" w:type="dxa"/>
            <w:vAlign w:val="bottom"/>
            <w:tcBorders>
              <w:bottom w:val="single" w:sz="8" w:color="auto"/>
            </w:tcBorders>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tcBorders>
              <w:bottom w:val="single" w:sz="8" w:color="auto"/>
            </w:tcBorders>
            <w:shd w:val="clear" w:color="auto" w:fill="CFF0FC"/>
          </w:tcPr>
          <w:p>
            <w:pPr>
              <w:spacing w:after="0" w:line="20" w:lineRule="exact"/>
              <w:rPr>
                <w:sz w:val="1"/>
                <w:szCs w:val="1"/>
                <w:color w:val="auto"/>
              </w:rPr>
            </w:pPr>
          </w:p>
        </w:tc>
        <w:tc>
          <w:tcPr>
            <w:tcW w:w="1220" w:type="dxa"/>
            <w:vAlign w:val="bottom"/>
            <w:tcBorders>
              <w:bottom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60" w:type="dxa"/>
            <w:vAlign w:val="bottom"/>
          </w:tcPr>
          <w:p>
            <w:pPr>
              <w:ind w:left="20"/>
              <w:spacing w:after="0"/>
              <w:rPr>
                <w:sz w:val="20"/>
                <w:szCs w:val="20"/>
                <w:color w:val="auto"/>
              </w:rPr>
            </w:pPr>
            <w:r>
              <w:rPr>
                <w:rFonts w:ascii="Arial" w:cs="Arial" w:eastAsia="Arial" w:hAnsi="Arial"/>
                <w:sz w:val="14"/>
                <w:szCs w:val="14"/>
                <w:color w:val="auto"/>
              </w:rPr>
              <w:t>Balance at March 31, 2022</w:t>
            </w:r>
          </w:p>
        </w:tc>
        <w:tc>
          <w:tcPr>
            <w:tcW w:w="1100" w:type="dxa"/>
            <w:vAlign w:val="bottom"/>
          </w:tcPr>
          <w:p>
            <w:pPr>
              <w:jc w:val="right"/>
              <w:spacing w:after="0"/>
              <w:rPr>
                <w:sz w:val="20"/>
                <w:szCs w:val="20"/>
                <w:color w:val="auto"/>
              </w:rPr>
            </w:pPr>
            <w:r>
              <w:rPr>
                <w:rFonts w:ascii="Arial" w:cs="Arial" w:eastAsia="Arial" w:hAnsi="Arial"/>
                <w:sz w:val="14"/>
                <w:szCs w:val="14"/>
                <w:color w:val="auto"/>
              </w:rPr>
              <w:t>27,485,685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620,106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(98</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(496,872 )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123,163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for the exercise of stock options</w:t>
            </w: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and vesting of restricted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99,743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Shares issued for the employee stock 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46,051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260" w:type="dxa"/>
            <w:vAlign w:val="bottom"/>
          </w:tcPr>
          <w:p>
            <w:pPr>
              <w:ind w:left="20"/>
              <w:spacing w:after="0" w:line="143" w:lineRule="exact"/>
              <w:rPr>
                <w:sz w:val="20"/>
                <w:szCs w:val="20"/>
                <w:color w:val="auto"/>
              </w:rPr>
            </w:pPr>
            <w:r>
              <w:rPr>
                <w:rFonts w:ascii="Arial" w:cs="Arial" w:eastAsia="Arial" w:hAnsi="Arial"/>
                <w:sz w:val="14"/>
                <w:szCs w:val="14"/>
                <w:color w:val="auto"/>
              </w:rPr>
              <w:t>Unrealized loss on short-term investments</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60" w:type="dxa"/>
            <w:vAlign w:val="bottom"/>
          </w:tcPr>
          <w:p>
            <w:pPr>
              <w:ind w:left="60"/>
              <w:spacing w:after="0"/>
              <w:rPr>
                <w:sz w:val="20"/>
                <w:szCs w:val="20"/>
                <w:color w:val="auto"/>
              </w:rPr>
            </w:pPr>
            <w:r>
              <w:rPr>
                <w:rFonts w:ascii="Arial" w:cs="Arial" w:eastAsia="Arial" w:hAnsi="Arial"/>
                <w:sz w:val="14"/>
                <w:szCs w:val="14"/>
                <w:color w:val="auto"/>
              </w:rPr>
              <w:t>and cash equivalents, net of tax</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(76 )</w:t>
            </w:r>
          </w:p>
        </w:tc>
        <w:tc>
          <w:tcPr>
            <w:tcW w:w="120" w:type="dxa"/>
            <w:vAlign w:val="bottom"/>
          </w:tcPr>
          <w:p>
            <w:pPr>
              <w:spacing w:after="0"/>
              <w:rPr>
                <w:sz w:val="15"/>
                <w:szCs w:val="15"/>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(9 )</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5"/>
        </w:trPr>
        <w:tc>
          <w:tcPr>
            <w:tcW w:w="32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(16,732 )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(16,732 )</w:t>
            </w:r>
          </w:p>
        </w:tc>
        <w:tc>
          <w:tcPr>
            <w:tcW w:w="0" w:type="dxa"/>
            <w:vAlign w:val="bottom"/>
          </w:tcPr>
          <w:p>
            <w:pPr>
              <w:spacing w:after="0"/>
              <w:rPr>
                <w:sz w:val="1"/>
                <w:szCs w:val="1"/>
                <w:color w:val="auto"/>
              </w:rPr>
            </w:pPr>
          </w:p>
        </w:tc>
      </w:tr>
      <w:tr>
        <w:trPr>
          <w:trHeight w:val="162"/>
        </w:trPr>
        <w:tc>
          <w:tcPr>
            <w:tcW w:w="32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2022</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27,631,479</w:t>
            </w: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623,746</w:t>
            </w:r>
          </w:p>
        </w:tc>
        <w:tc>
          <w:tcPr>
            <w:tcW w:w="2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w:t>
            </w:r>
          </w:p>
        </w:tc>
        <w:tc>
          <w:tcPr>
            <w:tcW w:w="220" w:type="dxa"/>
            <w:vAlign w:val="bottom"/>
            <w:tcBorders>
              <w:top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(513,604</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109,986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60" w:type="dxa"/>
            <w:vAlign w:val="bottom"/>
          </w:tcPr>
          <w:p>
            <w:pPr>
              <w:ind w:left="20"/>
              <w:spacing w:after="0" w:line="143" w:lineRule="exact"/>
              <w:rPr>
                <w:sz w:val="20"/>
                <w:szCs w:val="20"/>
                <w:color w:val="auto"/>
              </w:rPr>
            </w:pPr>
            <w:r>
              <w:rPr>
                <w:rFonts w:ascii="Arial" w:cs="Arial" w:eastAsia="Arial" w:hAnsi="Arial"/>
                <w:sz w:val="14"/>
                <w:szCs w:val="14"/>
                <w:color w:val="auto"/>
              </w:rPr>
              <w:t>Shares issued for the exercise of stock options</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60" w:type="dxa"/>
            <w:vAlign w:val="bottom"/>
          </w:tcPr>
          <w:p>
            <w:pPr>
              <w:ind w:left="60"/>
              <w:spacing w:after="0"/>
              <w:rPr>
                <w:sz w:val="20"/>
                <w:szCs w:val="20"/>
                <w:color w:val="auto"/>
              </w:rPr>
            </w:pPr>
            <w:r>
              <w:rPr>
                <w:rFonts w:ascii="Arial" w:cs="Arial" w:eastAsia="Arial" w:hAnsi="Arial"/>
                <w:sz w:val="14"/>
                <w:szCs w:val="14"/>
                <w:color w:val="auto"/>
              </w:rPr>
              <w:t>and vesting of restricted stock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110,126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Shares redeemed for employee tax withholdings</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(22,473 )</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(281 )</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(281 )</w:t>
            </w: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2,882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2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Unrealized gain on short-term investments</w:t>
            </w: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and cash equivalents, net of tax</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88"/>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15"/>
                <w:szCs w:val="15"/>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(16,818 )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(16,818 )</w:t>
            </w:r>
          </w:p>
        </w:tc>
        <w:tc>
          <w:tcPr>
            <w:tcW w:w="0" w:type="dxa"/>
            <w:vAlign w:val="bottom"/>
          </w:tcPr>
          <w:p>
            <w:pPr>
              <w:spacing w:after="0"/>
              <w:rPr>
                <w:sz w:val="1"/>
                <w:szCs w:val="1"/>
                <w:color w:val="auto"/>
              </w:rPr>
            </w:pPr>
          </w:p>
        </w:tc>
      </w:tr>
      <w:tr>
        <w:trPr>
          <w:trHeight w:val="169"/>
        </w:trPr>
        <w:tc>
          <w:tcPr>
            <w:tcW w:w="3260" w:type="dxa"/>
            <w:vAlign w:val="bottom"/>
          </w:tcPr>
          <w:p>
            <w:pPr>
              <w:ind w:left="20"/>
              <w:spacing w:after="0" w:line="155" w:lineRule="exact"/>
              <w:rPr>
                <w:sz w:val="20"/>
                <w:szCs w:val="20"/>
                <w:color w:val="auto"/>
              </w:rPr>
            </w:pPr>
            <w:r>
              <w:rPr>
                <w:rFonts w:ascii="Arial" w:cs="Arial" w:eastAsia="Arial" w:hAnsi="Arial"/>
                <w:sz w:val="14"/>
                <w:szCs w:val="14"/>
                <w:color w:val="auto"/>
              </w:rPr>
              <w:t>Balance at September 30, 2022</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27,719,132</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626,491</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w:t>
            </w:r>
          </w:p>
        </w:tc>
        <w:tc>
          <w:tcPr>
            <w:tcW w:w="220" w:type="dxa"/>
            <w:vAlign w:val="bottom"/>
          </w:tcPr>
          <w:p>
            <w:pPr>
              <w:jc w:val="right"/>
              <w:ind w:right="88"/>
              <w:spacing w:after="0" w:line="149"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(530,422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95,959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6212840</wp:posOffset>
            </wp:positionH>
            <wp:positionV relativeFrom="paragraph">
              <wp:posOffset>-2114550</wp:posOffset>
            </wp:positionV>
            <wp:extent cx="68580"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-2114550</wp:posOffset>
            </wp:positionV>
            <wp:extent cx="68580" cy="128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-1120775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-1120775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-1120775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-1120775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-1120775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4"/>
          <w:szCs w:val="14"/>
          <w:b w:val="1"/>
          <w:bCs w:val="1"/>
          <w:color w:val="auto"/>
        </w:rPr>
        <w:t>RxSIGHT,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REDEEMABLE COMMON STOCK, STOCK OPTIONS, CONVERTIBLE PREFERRED STOCK AND STOCKHOLDERS’</w:t>
      </w:r>
    </w:p>
    <w:p>
      <w:pPr>
        <w:spacing w:after="0" w:line="6"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EQUITY (DEFICIT) (UNAUDITED)</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Nine Months Ended September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1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20" w:type="dxa"/>
            <w:vAlign w:val="bottom"/>
            <w:tcBorders>
              <w:top w:val="single" w:sz="8" w:color="auto"/>
              <w:right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tcPr>
          <w:p>
            <w:pPr>
              <w:jc w:val="right"/>
              <w:ind w:right="300"/>
              <w:spacing w:after="0" w:line="108" w:lineRule="exact"/>
              <w:rPr>
                <w:sz w:val="20"/>
                <w:szCs w:val="20"/>
                <w:color w:val="auto"/>
              </w:rPr>
            </w:pPr>
            <w:r>
              <w:rPr>
                <w:rFonts w:ascii="Arial" w:cs="Arial" w:eastAsia="Arial" w:hAnsi="Arial"/>
                <w:sz w:val="11"/>
                <w:szCs w:val="11"/>
                <w:b w:val="1"/>
                <w:bCs w:val="1"/>
                <w:color w:val="auto"/>
                <w:w w:val="98"/>
              </w:rPr>
              <w:t>Notes</w:t>
            </w:r>
          </w:p>
        </w:tc>
        <w:tc>
          <w:tcPr>
            <w:tcW w:w="66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8"/>
              </w:rPr>
              <w:t>Accumulat</w:t>
            </w: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4"/>
              </w:rPr>
              <w:t>receiva</w:t>
            </w:r>
          </w:p>
        </w:tc>
        <w:tc>
          <w:tcPr>
            <w:tcW w:w="6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left="426"/>
              <w:spacing w:after="0"/>
              <w:rPr>
                <w:sz w:val="20"/>
                <w:szCs w:val="20"/>
                <w:color w:val="auto"/>
              </w:rPr>
            </w:pPr>
            <w:r>
              <w:rPr>
                <w:rFonts w:ascii="Arial" w:cs="Arial" w:eastAsia="Arial" w:hAnsi="Arial"/>
                <w:sz w:val="11"/>
                <w:szCs w:val="11"/>
                <w:b w:val="1"/>
                <w:bCs w:val="1"/>
                <w:color w:val="auto"/>
                <w:w w:val="89"/>
              </w:rPr>
              <w:t>Convertible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75"/>
              </w:rPr>
              <w:t>ble</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77"/>
              </w:rPr>
              <w:t>ed</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85"/>
              </w:rPr>
              <w:t>Notes receivable for</w:t>
            </w:r>
          </w:p>
        </w:tc>
        <w:tc>
          <w:tcPr>
            <w:tcW w:w="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Redeema</w:t>
            </w: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w w:val="89"/>
              </w:rPr>
              <w:t>Additio</w:t>
            </w:r>
          </w:p>
        </w:tc>
        <w:tc>
          <w:tcPr>
            <w:tcW w:w="220" w:type="dxa"/>
            <w:vAlign w:val="bottom"/>
          </w:tcPr>
          <w:p>
            <w:pPr>
              <w:spacing w:after="0"/>
              <w:rPr>
                <w:sz w:val="9"/>
                <w:szCs w:val="9"/>
                <w:color w:val="auto"/>
              </w:rPr>
            </w:pPr>
          </w:p>
        </w:tc>
        <w:tc>
          <w:tcPr>
            <w:tcW w:w="62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w w:val="95"/>
              </w:rPr>
              <w:t>for</w:t>
            </w:r>
          </w:p>
        </w:tc>
        <w:tc>
          <w:tcPr>
            <w:tcW w:w="100" w:type="dxa"/>
            <w:vAlign w:val="bottom"/>
          </w:tcPr>
          <w:p>
            <w:pPr>
              <w:spacing w:after="0"/>
              <w:rPr>
                <w:sz w:val="9"/>
                <w:szCs w:val="9"/>
                <w:color w:val="auto"/>
              </w:rPr>
            </w:pPr>
          </w:p>
        </w:tc>
        <w:tc>
          <w:tcPr>
            <w:tcW w:w="56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w w:val="87"/>
              </w:rPr>
              <w:t>other</w:t>
            </w:r>
          </w:p>
        </w:tc>
        <w:tc>
          <w:tcPr>
            <w:tcW w:w="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Accumul</w:t>
            </w:r>
          </w:p>
        </w:tc>
        <w:tc>
          <w:tcPr>
            <w:tcW w:w="100" w:type="dxa"/>
            <w:vAlign w:val="bottom"/>
          </w:tcPr>
          <w:p>
            <w:pPr>
              <w:spacing w:after="0"/>
              <w:rPr>
                <w:sz w:val="9"/>
                <w:szCs w:val="9"/>
                <w:color w:val="auto"/>
              </w:rPr>
            </w:pPr>
          </w:p>
        </w:tc>
        <w:tc>
          <w:tcPr>
            <w:tcW w:w="58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jc w:val="right"/>
              <w:ind w:right="67"/>
              <w:spacing w:after="0" w:line="108" w:lineRule="exact"/>
              <w:rPr>
                <w:sz w:val="20"/>
                <w:szCs w:val="20"/>
                <w:color w:val="auto"/>
              </w:rPr>
            </w:pPr>
            <w:r>
              <w:rPr>
                <w:rFonts w:ascii="Arial" w:cs="Arial" w:eastAsia="Arial" w:hAnsi="Arial"/>
                <w:sz w:val="11"/>
                <w:szCs w:val="11"/>
                <w:b w:val="1"/>
                <w:bCs w:val="1"/>
                <w:color w:val="auto"/>
                <w:w w:val="87"/>
              </w:rPr>
              <w:t>nal</w:t>
            </w:r>
          </w:p>
        </w:tc>
        <w:tc>
          <w:tcPr>
            <w:tcW w:w="220" w:type="dxa"/>
            <w:vAlign w:val="bottom"/>
          </w:tcPr>
          <w:p>
            <w:pPr>
              <w:spacing w:after="0"/>
              <w:rPr>
                <w:sz w:val="9"/>
                <w:szCs w:val="9"/>
                <w:color w:val="auto"/>
              </w:rPr>
            </w:pPr>
          </w:p>
        </w:tc>
        <w:tc>
          <w:tcPr>
            <w:tcW w:w="6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1"/>
              </w:rPr>
              <w:t>commo</w:t>
            </w:r>
          </w:p>
        </w:tc>
        <w:tc>
          <w:tcPr>
            <w:tcW w:w="66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4"/>
              </w:rPr>
              <w:t>comprehen</w:t>
            </w:r>
          </w:p>
        </w:tc>
        <w:tc>
          <w:tcPr>
            <w:tcW w:w="700" w:type="dxa"/>
            <w:vAlign w:val="bottom"/>
            <w:gridSpan w:val="3"/>
            <w:vMerge w:val="continue"/>
          </w:tcPr>
          <w:p>
            <w:pPr>
              <w:spacing w:after="0"/>
              <w:rPr>
                <w:sz w:val="9"/>
                <w:szCs w:val="9"/>
                <w:color w:val="auto"/>
              </w:rPr>
            </w:pPr>
          </w:p>
        </w:tc>
        <w:tc>
          <w:tcPr>
            <w:tcW w:w="6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6"/>
              </w:rPr>
              <w:t>stockholder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540" w:type="dxa"/>
            <w:vAlign w:val="bottom"/>
            <w:gridSpan w:val="5"/>
          </w:tcPr>
          <w:p>
            <w:pPr>
              <w:jc w:val="right"/>
              <w:ind w:right="280"/>
              <w:spacing w:after="0"/>
              <w:rPr>
                <w:sz w:val="20"/>
                <w:szCs w:val="20"/>
                <w:color w:val="auto"/>
              </w:rPr>
            </w:pPr>
            <w:r>
              <w:rPr>
                <w:rFonts w:ascii="Arial" w:cs="Arial" w:eastAsia="Arial" w:hAnsi="Arial"/>
                <w:sz w:val="11"/>
                <w:szCs w:val="11"/>
                <w:b w:val="1"/>
                <w:bCs w:val="1"/>
                <w:color w:val="auto"/>
                <w:w w:val="85"/>
              </w:rPr>
              <w:t>Redeemable common stock</w:t>
            </w:r>
          </w:p>
        </w:tc>
        <w:tc>
          <w:tcPr>
            <w:tcW w:w="6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4"/>
              </w:rPr>
              <w:t>redeemable</w:t>
            </w:r>
          </w:p>
        </w:tc>
        <w:tc>
          <w:tcPr>
            <w:tcW w:w="80" w:type="dxa"/>
            <w:vAlign w:val="bottom"/>
          </w:tcPr>
          <w:p>
            <w:pPr>
              <w:spacing w:after="0"/>
              <w:rPr>
                <w:sz w:val="12"/>
                <w:szCs w:val="12"/>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7"/>
              </w:rPr>
              <w:t>ble</w:t>
            </w:r>
          </w:p>
        </w:tc>
        <w:tc>
          <w:tcPr>
            <w:tcW w:w="1300" w:type="dxa"/>
            <w:vAlign w:val="bottom"/>
            <w:gridSpan w:val="2"/>
          </w:tcPr>
          <w:p>
            <w:pPr>
              <w:jc w:val="center"/>
              <w:ind w:left="426"/>
              <w:spacing w:after="0"/>
              <w:rPr>
                <w:sz w:val="20"/>
                <w:szCs w:val="20"/>
                <w:color w:val="auto"/>
              </w:rPr>
            </w:pPr>
            <w:r>
              <w:rPr>
                <w:rFonts w:ascii="Arial" w:cs="Arial" w:eastAsia="Arial" w:hAnsi="Arial"/>
                <w:sz w:val="11"/>
                <w:szCs w:val="11"/>
                <w:b w:val="1"/>
                <w:bCs w:val="1"/>
                <w:color w:val="auto"/>
                <w:w w:val="87"/>
              </w:rPr>
              <w:t>preferred stock</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160"/>
              <w:spacing w:after="0"/>
              <w:rPr>
                <w:sz w:val="20"/>
                <w:szCs w:val="20"/>
                <w:color w:val="auto"/>
              </w:rPr>
            </w:pPr>
            <w:r>
              <w:rPr>
                <w:rFonts w:ascii="Arial" w:cs="Arial" w:eastAsia="Arial" w:hAnsi="Arial"/>
                <w:sz w:val="11"/>
                <w:szCs w:val="11"/>
                <w:b w:val="1"/>
                <w:bCs w:val="1"/>
                <w:color w:val="auto"/>
                <w:w w:val="88"/>
              </w:rPr>
              <w:t>Common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w w:val="94"/>
              </w:rPr>
              <w:t>paid-in</w:t>
            </w:r>
          </w:p>
        </w:tc>
        <w:tc>
          <w:tcPr>
            <w:tcW w:w="2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2"/>
              </w:rPr>
              <w:t>n stock</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sive</w:t>
            </w:r>
          </w:p>
        </w:tc>
        <w:tc>
          <w:tcPr>
            <w:tcW w:w="80" w:type="dxa"/>
            <w:vAlign w:val="bottom"/>
          </w:tcPr>
          <w:p>
            <w:pPr>
              <w:spacing w:after="0"/>
              <w:rPr>
                <w:sz w:val="12"/>
                <w:szCs w:val="12"/>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ated</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s'</w:t>
            </w: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83"/>
              </w:rPr>
              <w:t>stock</w:t>
            </w:r>
          </w:p>
        </w:tc>
        <w:tc>
          <w:tcPr>
            <w:tcW w:w="10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10"/>
                <w:szCs w:val="10"/>
                <w:b w:val="1"/>
                <w:bCs w:val="1"/>
                <w:color w:val="auto"/>
                <w:w w:val="99"/>
              </w:rPr>
              <w:t>Am</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oun</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3"/>
              </w:rPr>
              <w:t>common stock issued</w:t>
            </w:r>
          </w:p>
        </w:tc>
        <w:tc>
          <w:tcPr>
            <w:tcW w:w="7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5"/>
              </w:rPr>
              <w:t>options</w:t>
            </w:r>
          </w:p>
        </w:tc>
        <w:tc>
          <w:tcPr>
            <w:tcW w:w="1300" w:type="dxa"/>
            <w:vAlign w:val="bottom"/>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460" w:type="dxa"/>
            <w:vAlign w:val="bottom"/>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t</w:t>
            </w:r>
          </w:p>
        </w:tc>
        <w:tc>
          <w:tcPr>
            <w:tcW w:w="380" w:type="dxa"/>
            <w:vAlign w:val="bottom"/>
            <w:gridSpan w:val="2"/>
          </w:tcPr>
          <w:p>
            <w:pPr>
              <w:ind w:left="40"/>
              <w:spacing w:after="0"/>
              <w:rPr>
                <w:sz w:val="20"/>
                <w:szCs w:val="20"/>
                <w:color w:val="auto"/>
              </w:rPr>
            </w:pPr>
            <w:r>
              <w:rPr>
                <w:rFonts w:ascii="Arial" w:cs="Arial" w:eastAsia="Arial" w:hAnsi="Arial"/>
                <w:sz w:val="11"/>
                <w:szCs w:val="11"/>
                <w:b w:val="1"/>
                <w:bCs w:val="1"/>
                <w:color w:val="auto"/>
                <w:w w:val="91"/>
              </w:rPr>
              <w:t>capital</w:t>
            </w:r>
          </w:p>
        </w:tc>
        <w:tc>
          <w:tcPr>
            <w:tcW w:w="220" w:type="dxa"/>
            <w:vAlign w:val="bottom"/>
          </w:tcPr>
          <w:p>
            <w:pPr>
              <w:spacing w:after="0"/>
              <w:rPr>
                <w:sz w:val="13"/>
                <w:szCs w:val="13"/>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0"/>
              </w:rPr>
              <w:t>issued</w:t>
            </w:r>
          </w:p>
        </w:tc>
        <w:tc>
          <w:tcPr>
            <w:tcW w:w="100" w:type="dxa"/>
            <w:vAlign w:val="bottom"/>
          </w:tcPr>
          <w:p>
            <w:pPr>
              <w:spacing w:after="0"/>
              <w:rPr>
                <w:sz w:val="13"/>
                <w:szCs w:val="13"/>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loss</w:t>
            </w:r>
          </w:p>
        </w:tc>
        <w:tc>
          <w:tcPr>
            <w:tcW w:w="8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86"/>
              </w:rPr>
              <w:t>deficit</w:t>
            </w:r>
          </w:p>
        </w:tc>
        <w:tc>
          <w:tcPr>
            <w:tcW w:w="100" w:type="dxa"/>
            <w:vAlign w:val="bottom"/>
          </w:tcPr>
          <w:p>
            <w:pPr>
              <w:spacing w:after="0"/>
              <w:rPr>
                <w:sz w:val="13"/>
                <w:szCs w:val="13"/>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deficit</w:t>
            </w:r>
          </w:p>
        </w:tc>
        <w:tc>
          <w:tcPr>
            <w:tcW w:w="0" w:type="dxa"/>
            <w:vAlign w:val="bottom"/>
          </w:tcPr>
          <w:p>
            <w:pPr>
              <w:spacing w:after="0"/>
              <w:rPr>
                <w:sz w:val="1"/>
                <w:szCs w:val="1"/>
                <w:color w:val="auto"/>
              </w:rPr>
            </w:pPr>
          </w:p>
        </w:tc>
      </w:tr>
      <w:tr>
        <w:trPr>
          <w:trHeight w:val="96"/>
        </w:trPr>
        <w:tc>
          <w:tcPr>
            <w:tcW w:w="1120" w:type="dxa"/>
            <w:vAlign w:val="bottom"/>
            <w:shd w:val="clear" w:color="auto" w:fill="CFF0FC"/>
          </w:tcPr>
          <w:p>
            <w:pPr>
              <w:ind w:left="20"/>
              <w:spacing w:after="0" w:line="96" w:lineRule="exact"/>
              <w:rPr>
                <w:sz w:val="20"/>
                <w:szCs w:val="20"/>
                <w:color w:val="auto"/>
              </w:rPr>
            </w:pPr>
            <w:r>
              <w:rPr>
                <w:rFonts w:ascii="Arial" w:cs="Arial" w:eastAsia="Arial" w:hAnsi="Arial"/>
                <w:sz w:val="11"/>
                <w:szCs w:val="11"/>
                <w:color w:val="auto"/>
              </w:rPr>
              <w:t>Balance at December</w:t>
            </w:r>
          </w:p>
        </w:tc>
        <w:tc>
          <w:tcPr>
            <w:tcW w:w="580" w:type="dxa"/>
            <w:vAlign w:val="bottom"/>
            <w:tcBorders>
              <w:top w:val="single" w:sz="8" w:color="auto"/>
            </w:tcBorders>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jc w:val="right"/>
              <w:spacing w:after="0" w:line="96" w:lineRule="exact"/>
              <w:rPr>
                <w:sz w:val="20"/>
                <w:szCs w:val="20"/>
                <w:color w:val="auto"/>
              </w:rPr>
            </w:pPr>
            <w:r>
              <w:rPr>
                <w:rFonts w:ascii="Arial" w:cs="Arial" w:eastAsia="Arial" w:hAnsi="Arial"/>
                <w:sz w:val="11"/>
                <w:szCs w:val="11"/>
                <w:color w:val="auto"/>
              </w:rPr>
              <w:t>80,78</w:t>
            </w:r>
          </w:p>
        </w:tc>
        <w:tc>
          <w:tcPr>
            <w:tcW w:w="26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108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jc w:val="right"/>
              <w:spacing w:after="0" w:line="96" w:lineRule="exact"/>
              <w:rPr>
                <w:sz w:val="20"/>
                <w:szCs w:val="20"/>
                <w:color w:val="auto"/>
              </w:rPr>
            </w:pPr>
            <w:r>
              <w:rPr>
                <w:rFonts w:ascii="Arial" w:cs="Arial" w:eastAsia="Arial" w:hAnsi="Arial"/>
                <w:sz w:val="11"/>
                <w:szCs w:val="11"/>
                <w:color w:val="auto"/>
              </w:rPr>
              <w:t>353,30</w:t>
            </w:r>
          </w:p>
        </w:tc>
        <w:tc>
          <w:tcPr>
            <w:tcW w:w="22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jc w:val="right"/>
              <w:spacing w:after="0" w:line="96" w:lineRule="exact"/>
              <w:rPr>
                <w:sz w:val="20"/>
                <w:szCs w:val="20"/>
                <w:color w:val="auto"/>
              </w:rPr>
            </w:pPr>
            <w:r>
              <w:rPr>
                <w:rFonts w:ascii="Arial" w:cs="Arial" w:eastAsia="Arial" w:hAnsi="Arial"/>
                <w:sz w:val="11"/>
                <w:szCs w:val="11"/>
                <w:color w:val="auto"/>
                <w:w w:val="96"/>
              </w:rPr>
              <w:t>(430,58</w:t>
            </w: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31, 2020</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3,813,450</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(803 )</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53,085</w:t>
            </w: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14,376,272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220" w:type="dxa"/>
            <w:vAlign w:val="bottom"/>
            <w:tcBorders>
              <w:right w:val="single" w:sz="8" w:color="auto"/>
            </w:tcBorders>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w w:val="99"/>
              </w:rPr>
              <w:t>(430,591 )</w:t>
            </w:r>
          </w:p>
        </w:tc>
        <w:tc>
          <w:tcPr>
            <w:tcW w:w="0" w:type="dxa"/>
            <w:vAlign w:val="bottom"/>
          </w:tcPr>
          <w:p>
            <w:pPr>
              <w:spacing w:after="0"/>
              <w:rPr>
                <w:sz w:val="1"/>
                <w:szCs w:val="1"/>
                <w:color w:val="auto"/>
              </w:rPr>
            </w:pPr>
          </w:p>
        </w:tc>
      </w:tr>
      <w:tr>
        <w:trPr>
          <w:trHeight w:val="98"/>
        </w:trPr>
        <w:tc>
          <w:tcPr>
            <w:tcW w:w="1120" w:type="dxa"/>
            <w:vAlign w:val="bottom"/>
          </w:tcPr>
          <w:p>
            <w:pPr>
              <w:ind w:left="20"/>
              <w:spacing w:after="0" w:line="99" w:lineRule="exact"/>
              <w:rPr>
                <w:sz w:val="20"/>
                <w:szCs w:val="20"/>
                <w:color w:val="auto"/>
              </w:rPr>
            </w:pPr>
            <w:r>
              <w:rPr>
                <w:rFonts w:ascii="Arial" w:cs="Arial" w:eastAsia="Arial" w:hAnsi="Arial"/>
                <w:sz w:val="11"/>
                <w:szCs w:val="11"/>
                <w:color w:val="auto"/>
              </w:rPr>
              <w:t>Exercise of stock</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0"/>
              <w:spacing w:after="0"/>
              <w:rPr>
                <w:sz w:val="20"/>
                <w:szCs w:val="20"/>
                <w:color w:val="auto"/>
              </w:rPr>
            </w:pPr>
            <w:r>
              <w:rPr>
                <w:rFonts w:ascii="Arial" w:cs="Arial" w:eastAsia="Arial" w:hAnsi="Arial"/>
                <w:sz w:val="11"/>
                <w:szCs w:val="11"/>
                <w:color w:val="auto"/>
              </w:rPr>
              <w:t>options</w:t>
            </w:r>
          </w:p>
        </w:tc>
        <w:tc>
          <w:tcPr>
            <w:tcW w:w="580" w:type="dxa"/>
            <w:vAlign w:val="bottom"/>
          </w:tcPr>
          <w:p>
            <w:pPr>
              <w:jc w:val="right"/>
              <w:spacing w:after="0"/>
              <w:rPr>
                <w:sz w:val="20"/>
                <w:szCs w:val="20"/>
                <w:color w:val="auto"/>
              </w:rPr>
            </w:pPr>
            <w:r>
              <w:rPr>
                <w:rFonts w:ascii="Arial" w:cs="Arial" w:eastAsia="Arial" w:hAnsi="Arial"/>
                <w:sz w:val="11"/>
                <w:szCs w:val="11"/>
                <w:color w:val="auto"/>
              </w:rPr>
              <w:t>280,545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6,922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(5,715 )</w:t>
            </w: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12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Stock-based</w:t>
            </w:r>
          </w:p>
        </w:tc>
        <w:tc>
          <w:tcPr>
            <w:tcW w:w="5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compensation</w:t>
            </w: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expense</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1,239</w:t>
            </w:r>
          </w:p>
        </w:tc>
        <w:tc>
          <w:tcPr>
            <w:tcW w:w="2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120" w:type="dxa"/>
            <w:vAlign w:val="bottom"/>
          </w:tcPr>
          <w:p>
            <w:pPr>
              <w:ind w:left="20"/>
              <w:spacing w:after="0" w:line="99" w:lineRule="exact"/>
              <w:rPr>
                <w:sz w:val="20"/>
                <w:szCs w:val="20"/>
                <w:color w:val="auto"/>
              </w:rPr>
            </w:pPr>
            <w:r>
              <w:rPr>
                <w:rFonts w:ascii="Arial" w:cs="Arial" w:eastAsia="Arial" w:hAnsi="Arial"/>
                <w:sz w:val="11"/>
                <w:szCs w:val="11"/>
                <w:color w:val="auto"/>
              </w:rPr>
              <w:t>Unrealized gain on</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0"/>
              <w:spacing w:after="0" w:line="122" w:lineRule="exact"/>
              <w:rPr>
                <w:sz w:val="20"/>
                <w:szCs w:val="20"/>
                <w:color w:val="auto"/>
              </w:rPr>
            </w:pPr>
            <w:r>
              <w:rPr>
                <w:rFonts w:ascii="Arial" w:cs="Arial" w:eastAsia="Arial" w:hAnsi="Arial"/>
                <w:sz w:val="11"/>
                <w:szCs w:val="11"/>
                <w:color w:val="auto"/>
              </w:rPr>
              <w:t>short-term</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1"/>
                <w:szCs w:val="11"/>
                <w:color w:val="auto"/>
              </w:rPr>
              <w:t>investments and cash</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0"/>
              <w:spacing w:after="0"/>
              <w:rPr>
                <w:sz w:val="20"/>
                <w:szCs w:val="20"/>
                <w:color w:val="auto"/>
              </w:rPr>
            </w:pPr>
            <w:r>
              <w:rPr>
                <w:rFonts w:ascii="Arial" w:cs="Arial" w:eastAsia="Arial" w:hAnsi="Arial"/>
                <w:sz w:val="11"/>
                <w:szCs w:val="11"/>
                <w:color w:val="auto"/>
              </w:rPr>
              <w:t>equivalents, net of tax</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12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Foreign currency</w:t>
            </w:r>
          </w:p>
        </w:tc>
        <w:tc>
          <w:tcPr>
            <w:tcW w:w="5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translation adjustment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(4 )</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98"/>
        </w:trPr>
        <w:tc>
          <w:tcPr>
            <w:tcW w:w="1120" w:type="dxa"/>
            <w:vAlign w:val="bottom"/>
          </w:tcPr>
          <w:p>
            <w:pPr>
              <w:ind w:left="20"/>
              <w:spacing w:after="0" w:line="99" w:lineRule="exact"/>
              <w:rPr>
                <w:sz w:val="20"/>
                <w:szCs w:val="20"/>
                <w:color w:val="auto"/>
              </w:rPr>
            </w:pPr>
            <w:r>
              <w:rPr>
                <w:rFonts w:ascii="Arial" w:cs="Arial" w:eastAsia="Arial" w:hAnsi="Arial"/>
                <w:sz w:val="11"/>
                <w:szCs w:val="11"/>
                <w:color w:val="auto"/>
              </w:rPr>
              <w:t>Change in notes</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0"/>
              <w:spacing w:after="0" w:line="122" w:lineRule="exact"/>
              <w:rPr>
                <w:sz w:val="20"/>
                <w:szCs w:val="20"/>
                <w:color w:val="auto"/>
              </w:rPr>
            </w:pPr>
            <w:r>
              <w:rPr>
                <w:rFonts w:ascii="Arial" w:cs="Arial" w:eastAsia="Arial" w:hAnsi="Arial"/>
                <w:sz w:val="11"/>
                <w:szCs w:val="11"/>
                <w:color w:val="auto"/>
              </w:rPr>
              <w:t>receivable for</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common stock issued</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1"/>
                <w:szCs w:val="11"/>
                <w:color w:val="auto"/>
              </w:rPr>
              <w:t>(14 )</w:t>
            </w:r>
          </w:p>
        </w:tc>
        <w:tc>
          <w:tcPr>
            <w:tcW w:w="8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2"/>
        </w:trPr>
        <w:tc>
          <w:tcPr>
            <w:tcW w:w="112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Reclassification of</w:t>
            </w:r>
          </w:p>
        </w:tc>
        <w:tc>
          <w:tcPr>
            <w:tcW w:w="5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4,093,995 shares of</w:t>
            </w: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redeemable common</w:t>
            </w: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stock to</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(4,093,99</w:t>
            </w: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6"/>
              </w:rPr>
              <w:t>(87,70</w:t>
            </w: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4"/>
              </w:rPr>
              <w:t>87,69</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4,093,995 shares of</w:t>
            </w:r>
          </w:p>
        </w:tc>
        <w:tc>
          <w:tcPr>
            <w:tcW w:w="58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common stock</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5 )</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2 )</w:t>
            </w:r>
          </w:p>
        </w:tc>
        <w:tc>
          <w:tcPr>
            <w:tcW w:w="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817</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4,093,995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84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(817 )</w:t>
            </w: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86,885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120" w:type="dxa"/>
            <w:vAlign w:val="bottom"/>
          </w:tcPr>
          <w:p>
            <w:pPr>
              <w:ind w:left="20"/>
              <w:spacing w:after="0" w:line="99" w:lineRule="exact"/>
              <w:rPr>
                <w:sz w:val="20"/>
                <w:szCs w:val="20"/>
                <w:color w:val="auto"/>
              </w:rPr>
            </w:pPr>
            <w:r>
              <w:rPr>
                <w:rFonts w:ascii="Arial" w:cs="Arial" w:eastAsia="Arial" w:hAnsi="Arial"/>
                <w:sz w:val="11"/>
                <w:szCs w:val="11"/>
                <w:color w:val="auto"/>
              </w:rPr>
              <w:t>Reclassification of</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0"/>
              <w:spacing w:after="0" w:line="122" w:lineRule="exact"/>
              <w:rPr>
                <w:sz w:val="20"/>
                <w:szCs w:val="20"/>
                <w:color w:val="auto"/>
              </w:rPr>
            </w:pPr>
            <w:r>
              <w:rPr>
                <w:rFonts w:ascii="Arial" w:cs="Arial" w:eastAsia="Arial" w:hAnsi="Arial"/>
                <w:sz w:val="11"/>
                <w:szCs w:val="11"/>
                <w:color w:val="auto"/>
              </w:rPr>
              <w:t>redeemable common</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1"/>
                <w:szCs w:val="11"/>
                <w:color w:val="auto"/>
              </w:rPr>
              <w:t>stock options to</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(47,37</w:t>
            </w: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w w:val="94"/>
              </w:rPr>
              <w:t>47,37</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1"/>
                <w:szCs w:val="11"/>
                <w:color w:val="auto"/>
              </w:rPr>
              <w:t>common stock</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0"/>
              <w:spacing w:after="0"/>
              <w:rPr>
                <w:sz w:val="20"/>
                <w:szCs w:val="20"/>
                <w:color w:val="auto"/>
              </w:rPr>
            </w:pPr>
            <w:r>
              <w:rPr>
                <w:rFonts w:ascii="Arial" w:cs="Arial" w:eastAsia="Arial" w:hAnsi="Arial"/>
                <w:sz w:val="11"/>
                <w:szCs w:val="11"/>
                <w:color w:val="auto"/>
              </w:rPr>
              <w:t>options</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0 )</w:t>
            </w: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0</w:t>
            </w:r>
          </w:p>
        </w:tc>
        <w:tc>
          <w:tcPr>
            <w:tcW w:w="22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47,370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(6,805 )</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(6,805 )</w:t>
            </w:r>
          </w:p>
        </w:tc>
        <w:tc>
          <w:tcPr>
            <w:tcW w:w="0" w:type="dxa"/>
            <w:vAlign w:val="bottom"/>
          </w:tcPr>
          <w:p>
            <w:pPr>
              <w:spacing w:after="0"/>
              <w:rPr>
                <w:sz w:val="1"/>
                <w:szCs w:val="1"/>
                <w:color w:val="auto"/>
              </w:rPr>
            </w:pPr>
          </w:p>
        </w:tc>
      </w:tr>
      <w:tr>
        <w:trPr>
          <w:trHeight w:val="92"/>
        </w:trPr>
        <w:tc>
          <w:tcPr>
            <w:tcW w:w="1120" w:type="dxa"/>
            <w:vAlign w:val="bottom"/>
            <w:tcBorders>
              <w:top w:val="single" w:sz="8" w:color="CFF0FC"/>
            </w:tcBorders>
          </w:tcPr>
          <w:p>
            <w:pPr>
              <w:ind w:left="20"/>
              <w:spacing w:after="0" w:line="92" w:lineRule="exact"/>
              <w:rPr>
                <w:sz w:val="20"/>
                <w:szCs w:val="20"/>
                <w:color w:val="auto"/>
              </w:rPr>
            </w:pPr>
            <w:r>
              <w:rPr>
                <w:rFonts w:ascii="Arial" w:cs="Arial" w:eastAsia="Arial" w:hAnsi="Arial"/>
                <w:sz w:val="10"/>
                <w:szCs w:val="10"/>
                <w:color w:val="auto"/>
              </w:rPr>
              <w:t>Balance at March 31,</w:t>
            </w:r>
          </w:p>
        </w:tc>
        <w:tc>
          <w:tcPr>
            <w:tcW w:w="580" w:type="dxa"/>
            <w:vAlign w:val="bottom"/>
            <w:tcBorders>
              <w:top w:val="single" w:sz="8" w:color="auto"/>
            </w:tcBorders>
          </w:tcPr>
          <w:p>
            <w:pPr>
              <w:spacing w:after="0"/>
              <w:rPr>
                <w:sz w:val="7"/>
                <w:szCs w:val="7"/>
                <w:color w:val="auto"/>
              </w:rPr>
            </w:pPr>
          </w:p>
        </w:tc>
        <w:tc>
          <w:tcPr>
            <w:tcW w:w="28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6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353,30</w:t>
            </w:r>
          </w:p>
        </w:tc>
        <w:tc>
          <w:tcPr>
            <w:tcW w:w="220" w:type="dxa"/>
            <w:vAlign w:val="bottom"/>
            <w:tcBorders>
              <w:top w:val="single" w:sz="8" w:color="CFF0FC"/>
              <w:right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136,3</w:t>
            </w:r>
          </w:p>
        </w:tc>
        <w:tc>
          <w:tcPr>
            <w:tcW w:w="220" w:type="dxa"/>
            <w:vAlign w:val="bottom"/>
            <w:tcBorders>
              <w:top w:val="single" w:sz="8" w:color="CFF0FC"/>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(437,39</w:t>
            </w: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0"/>
              <w:spacing w:after="0"/>
              <w:rPr>
                <w:sz w:val="20"/>
                <w:szCs w:val="20"/>
                <w:color w:val="auto"/>
              </w:rPr>
            </w:pPr>
            <w:r>
              <w:rPr>
                <w:rFonts w:ascii="Arial" w:cs="Arial" w:eastAsia="Arial" w:hAnsi="Arial"/>
                <w:sz w:val="11"/>
                <w:szCs w:val="11"/>
                <w:color w:val="auto"/>
              </w:rPr>
              <w:t>2021</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14,376,272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c>
          <w:tcPr>
            <w:tcW w:w="220" w:type="dxa"/>
            <w:vAlign w:val="bottom"/>
            <w:tcBorders>
              <w:right w:val="single" w:sz="8" w:color="auto"/>
            </w:tcBorders>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4,093,996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07</w:t>
            </w:r>
          </w:p>
        </w:tc>
        <w:tc>
          <w:tcPr>
            <w:tcW w:w="840" w:type="dxa"/>
            <w:vAlign w:val="bottom"/>
            <w:gridSpan w:val="3"/>
          </w:tcPr>
          <w:p>
            <w:pPr>
              <w:jc w:val="right"/>
              <w:ind w:right="180"/>
              <w:spacing w:after="0"/>
              <w:rPr>
                <w:sz w:val="20"/>
                <w:szCs w:val="20"/>
                <w:color w:val="auto"/>
              </w:rPr>
            </w:pPr>
            <w:r>
              <w:rPr>
                <w:rFonts w:ascii="Arial" w:cs="Arial" w:eastAsia="Arial" w:hAnsi="Arial"/>
                <w:sz w:val="11"/>
                <w:szCs w:val="11"/>
                <w:color w:val="auto"/>
              </w:rPr>
              <w:t>(817 )</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3 )</w:t>
            </w: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w w:val="99"/>
              </w:rPr>
              <w:t>(301,899 )</w:t>
            </w:r>
          </w:p>
        </w:tc>
        <w:tc>
          <w:tcPr>
            <w:tcW w:w="0" w:type="dxa"/>
            <w:vAlign w:val="bottom"/>
          </w:tcPr>
          <w:p>
            <w:pPr>
              <w:spacing w:after="0"/>
              <w:rPr>
                <w:sz w:val="1"/>
                <w:szCs w:val="1"/>
                <w:color w:val="auto"/>
              </w:rPr>
            </w:pPr>
          </w:p>
        </w:tc>
      </w:tr>
      <w:tr>
        <w:trPr>
          <w:trHeight w:val="102"/>
        </w:trPr>
        <w:tc>
          <w:tcPr>
            <w:tcW w:w="112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Exercise of stock</w:t>
            </w:r>
          </w:p>
        </w:tc>
        <w:tc>
          <w:tcPr>
            <w:tcW w:w="5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options</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30,215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w:t>
            </w:r>
          </w:p>
        </w:tc>
        <w:tc>
          <w:tcPr>
            <w:tcW w:w="2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120" w:type="dxa"/>
            <w:vAlign w:val="bottom"/>
          </w:tcPr>
          <w:p>
            <w:pPr>
              <w:ind w:left="20"/>
              <w:spacing w:after="0" w:line="99" w:lineRule="exact"/>
              <w:rPr>
                <w:sz w:val="20"/>
                <w:szCs w:val="20"/>
                <w:color w:val="auto"/>
              </w:rPr>
            </w:pPr>
            <w:r>
              <w:rPr>
                <w:rFonts w:ascii="Arial" w:cs="Arial" w:eastAsia="Arial" w:hAnsi="Arial"/>
                <w:sz w:val="11"/>
                <w:szCs w:val="11"/>
                <w:color w:val="auto"/>
              </w:rPr>
              <w:t>Stock-based</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0"/>
              <w:spacing w:after="0" w:line="122" w:lineRule="exact"/>
              <w:rPr>
                <w:sz w:val="20"/>
                <w:szCs w:val="20"/>
                <w:color w:val="auto"/>
              </w:rPr>
            </w:pPr>
            <w:r>
              <w:rPr>
                <w:rFonts w:ascii="Arial" w:cs="Arial" w:eastAsia="Arial" w:hAnsi="Arial"/>
                <w:sz w:val="11"/>
                <w:szCs w:val="11"/>
                <w:color w:val="auto"/>
              </w:rPr>
              <w:t>compensation</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expense</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w w:val="94"/>
              </w:rPr>
              <w:t>1,406</w:t>
            </w:r>
          </w:p>
        </w:tc>
        <w:tc>
          <w:tcPr>
            <w:tcW w:w="2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12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Change in notes</w:t>
            </w:r>
          </w:p>
        </w:tc>
        <w:tc>
          <w:tcPr>
            <w:tcW w:w="5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receivable</w:t>
            </w: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for common stock</w:t>
            </w: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issued</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120" w:type="dxa"/>
            <w:vAlign w:val="bottom"/>
          </w:tcPr>
          <w:p>
            <w:pPr>
              <w:ind w:left="20"/>
              <w:spacing w:after="0" w:line="99" w:lineRule="exact"/>
              <w:rPr>
                <w:sz w:val="20"/>
                <w:szCs w:val="20"/>
                <w:color w:val="auto"/>
              </w:rPr>
            </w:pPr>
            <w:r>
              <w:rPr>
                <w:rFonts w:ascii="Arial" w:cs="Arial" w:eastAsia="Arial" w:hAnsi="Arial"/>
                <w:sz w:val="11"/>
                <w:szCs w:val="11"/>
                <w:color w:val="auto"/>
              </w:rPr>
              <w:t>Unrealized loss on</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0"/>
              <w:spacing w:after="0" w:line="122" w:lineRule="exact"/>
              <w:rPr>
                <w:sz w:val="20"/>
                <w:szCs w:val="20"/>
                <w:color w:val="auto"/>
              </w:rPr>
            </w:pPr>
            <w:r>
              <w:rPr>
                <w:rFonts w:ascii="Arial" w:cs="Arial" w:eastAsia="Arial" w:hAnsi="Arial"/>
                <w:sz w:val="11"/>
                <w:szCs w:val="11"/>
                <w:color w:val="auto"/>
              </w:rPr>
              <w:t>short-term</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1"/>
                <w:szCs w:val="11"/>
                <w:color w:val="auto"/>
              </w:rPr>
              <w:t>investments and cash</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0"/>
              <w:spacing w:after="0"/>
              <w:rPr>
                <w:sz w:val="20"/>
                <w:szCs w:val="20"/>
                <w:color w:val="auto"/>
              </w:rPr>
            </w:pPr>
            <w:r>
              <w:rPr>
                <w:rFonts w:ascii="Arial" w:cs="Arial" w:eastAsia="Arial" w:hAnsi="Arial"/>
                <w:sz w:val="11"/>
                <w:szCs w:val="11"/>
                <w:color w:val="auto"/>
              </w:rPr>
              <w:t>equivalents, net of tax</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02"/>
        </w:trPr>
        <w:tc>
          <w:tcPr>
            <w:tcW w:w="112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Foreign currency</w:t>
            </w:r>
          </w:p>
        </w:tc>
        <w:tc>
          <w:tcPr>
            <w:tcW w:w="5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translation</w:t>
            </w: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adjustment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w w:val="95"/>
              </w:rPr>
              <w:t>(13,477 )</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(13,477 )</w:t>
            </w:r>
          </w:p>
        </w:tc>
        <w:tc>
          <w:tcPr>
            <w:tcW w:w="0" w:type="dxa"/>
            <w:vAlign w:val="bottom"/>
          </w:tcPr>
          <w:p>
            <w:pPr>
              <w:spacing w:after="0"/>
              <w:rPr>
                <w:sz w:val="1"/>
                <w:szCs w:val="1"/>
                <w:color w:val="auto"/>
              </w:rPr>
            </w:pPr>
          </w:p>
        </w:tc>
      </w:tr>
      <w:tr>
        <w:trPr>
          <w:trHeight w:val="92"/>
        </w:trPr>
        <w:tc>
          <w:tcPr>
            <w:tcW w:w="1120" w:type="dxa"/>
            <w:vAlign w:val="bottom"/>
            <w:shd w:val="clear" w:color="auto" w:fill="CFF0FC"/>
          </w:tcPr>
          <w:p>
            <w:pPr>
              <w:ind w:left="20"/>
              <w:spacing w:after="0" w:line="92" w:lineRule="exact"/>
              <w:rPr>
                <w:sz w:val="20"/>
                <w:szCs w:val="20"/>
                <w:color w:val="auto"/>
              </w:rPr>
            </w:pPr>
            <w:r>
              <w:rPr>
                <w:rFonts w:ascii="Arial" w:cs="Arial" w:eastAsia="Arial" w:hAnsi="Arial"/>
                <w:sz w:val="10"/>
                <w:szCs w:val="10"/>
                <w:color w:val="auto"/>
              </w:rPr>
              <w:t>Balance at June 30,</w:t>
            </w:r>
          </w:p>
        </w:tc>
        <w:tc>
          <w:tcPr>
            <w:tcW w:w="580" w:type="dxa"/>
            <w:vAlign w:val="bottom"/>
            <w:tcBorders>
              <w:top w:val="single" w:sz="8" w:color="auto"/>
            </w:tcBorders>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60" w:type="dxa"/>
            <w:vAlign w:val="bottom"/>
            <w:tcBorders>
              <w:top w:val="single" w:sz="8" w:color="auto"/>
            </w:tcBorders>
            <w:shd w:val="clear" w:color="auto" w:fill="CFF0FC"/>
          </w:tcPr>
          <w:p>
            <w:pPr>
              <w:spacing w:after="0"/>
              <w:rPr>
                <w:sz w:val="7"/>
                <w:szCs w:val="7"/>
                <w:color w:val="auto"/>
              </w:rPr>
            </w:pPr>
          </w:p>
        </w:tc>
        <w:tc>
          <w:tcPr>
            <w:tcW w:w="1080" w:type="dxa"/>
            <w:vAlign w:val="bottom"/>
            <w:tcBorders>
              <w:top w:val="single" w:sz="8" w:color="auto"/>
            </w:tcBorders>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380" w:type="dxa"/>
            <w:vAlign w:val="bottom"/>
            <w:tcBorders>
              <w:top w:val="single" w:sz="8" w:color="auto"/>
            </w:tcBorders>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8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360" w:type="dxa"/>
            <w:vAlign w:val="bottom"/>
            <w:tcBorders>
              <w:top w:val="single" w:sz="8" w:color="auto"/>
            </w:tcBorders>
            <w:shd w:val="clear" w:color="auto" w:fill="CFF0FC"/>
          </w:tcPr>
          <w:p>
            <w:pPr>
              <w:jc w:val="right"/>
              <w:spacing w:after="0" w:line="92" w:lineRule="exact"/>
              <w:rPr>
                <w:sz w:val="20"/>
                <w:szCs w:val="20"/>
                <w:color w:val="auto"/>
              </w:rPr>
            </w:pPr>
            <w:r>
              <w:rPr>
                <w:rFonts w:ascii="Arial" w:cs="Arial" w:eastAsia="Arial" w:hAnsi="Arial"/>
                <w:sz w:val="10"/>
                <w:szCs w:val="10"/>
                <w:color w:val="auto"/>
              </w:rPr>
              <w:t>353,30</w:t>
            </w:r>
          </w:p>
        </w:tc>
        <w:tc>
          <w:tcPr>
            <w:tcW w:w="220" w:type="dxa"/>
            <w:vAlign w:val="bottom"/>
            <w:tcBorders>
              <w:right w:val="single" w:sz="8" w:color="CFF0FC"/>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auto"/>
            </w:tcBorders>
            <w:shd w:val="clear" w:color="auto" w:fill="CFF0FC"/>
          </w:tcPr>
          <w:p>
            <w:pPr>
              <w:jc w:val="right"/>
              <w:spacing w:after="0" w:line="92" w:lineRule="exact"/>
              <w:rPr>
                <w:sz w:val="20"/>
                <w:szCs w:val="20"/>
                <w:color w:val="auto"/>
              </w:rPr>
            </w:pPr>
            <w:r>
              <w:rPr>
                <w:rFonts w:ascii="Arial" w:cs="Arial" w:eastAsia="Arial" w:hAnsi="Arial"/>
                <w:sz w:val="10"/>
                <w:szCs w:val="10"/>
                <w:color w:val="auto"/>
              </w:rPr>
              <w:t>137,8</w:t>
            </w:r>
          </w:p>
        </w:tc>
        <w:tc>
          <w:tcPr>
            <w:tcW w:w="220" w:type="dxa"/>
            <w:vAlign w:val="bottom"/>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440" w:type="dxa"/>
            <w:vAlign w:val="bottom"/>
            <w:tcBorders>
              <w:top w:val="single" w:sz="8" w:color="auto"/>
            </w:tcBorders>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jc w:val="right"/>
              <w:spacing w:after="0" w:line="92" w:lineRule="exact"/>
              <w:rPr>
                <w:sz w:val="20"/>
                <w:szCs w:val="20"/>
                <w:color w:val="auto"/>
              </w:rPr>
            </w:pPr>
            <w:r>
              <w:rPr>
                <w:rFonts w:ascii="Arial" w:cs="Arial" w:eastAsia="Arial" w:hAnsi="Arial"/>
                <w:sz w:val="10"/>
                <w:szCs w:val="10"/>
                <w:color w:val="auto"/>
              </w:rPr>
              <w:t>(450,87</w:t>
            </w:r>
          </w:p>
        </w:tc>
        <w:tc>
          <w:tcPr>
            <w:tcW w:w="220" w:type="dxa"/>
            <w:vAlign w:val="bottom"/>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2021</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14,376,272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4,124,211</w:t>
            </w:r>
          </w:p>
        </w:tc>
        <w:tc>
          <w:tcPr>
            <w:tcW w:w="300" w:type="dxa"/>
            <w:vAlign w:val="bottom"/>
            <w:gridSpan w:val="2"/>
            <w:shd w:val="clear" w:color="auto" w:fill="CFF0FC"/>
          </w:tcPr>
          <w:p>
            <w:pPr>
              <w:ind w:left="240"/>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w:t>
            </w:r>
          </w:p>
        </w:tc>
        <w:tc>
          <w:tcPr>
            <w:tcW w:w="84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  (365 )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(3 )</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0 )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w w:val="99"/>
              </w:rPr>
              <w:t>(313,396 )</w:t>
            </w:r>
          </w:p>
        </w:tc>
        <w:tc>
          <w:tcPr>
            <w:tcW w:w="0" w:type="dxa"/>
            <w:vAlign w:val="bottom"/>
          </w:tcPr>
          <w:p>
            <w:pPr>
              <w:spacing w:after="0"/>
              <w:rPr>
                <w:sz w:val="1"/>
                <w:szCs w:val="1"/>
                <w:color w:val="auto"/>
              </w:rPr>
            </w:pPr>
          </w:p>
        </w:tc>
      </w:tr>
      <w:tr>
        <w:trPr>
          <w:trHeight w:val="98"/>
        </w:trPr>
        <w:tc>
          <w:tcPr>
            <w:tcW w:w="1120" w:type="dxa"/>
            <w:vAlign w:val="bottom"/>
          </w:tcPr>
          <w:p>
            <w:pPr>
              <w:ind w:left="20"/>
              <w:spacing w:after="0" w:line="99" w:lineRule="exact"/>
              <w:rPr>
                <w:sz w:val="20"/>
                <w:szCs w:val="20"/>
                <w:color w:val="auto"/>
              </w:rPr>
            </w:pPr>
            <w:r>
              <w:rPr>
                <w:rFonts w:ascii="Arial" w:cs="Arial" w:eastAsia="Arial" w:hAnsi="Arial"/>
                <w:sz w:val="11"/>
                <w:szCs w:val="11"/>
                <w:color w:val="auto"/>
              </w:rPr>
              <w:t>Exercise of stock</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0"/>
              <w:spacing w:after="0"/>
              <w:rPr>
                <w:sz w:val="20"/>
                <w:szCs w:val="20"/>
                <w:color w:val="auto"/>
              </w:rPr>
            </w:pPr>
            <w:r>
              <w:rPr>
                <w:rFonts w:ascii="Arial" w:cs="Arial" w:eastAsia="Arial" w:hAnsi="Arial"/>
                <w:sz w:val="11"/>
                <w:szCs w:val="11"/>
                <w:color w:val="auto"/>
              </w:rPr>
              <w:t>options</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11,051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12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Stock-based</w:t>
            </w:r>
          </w:p>
        </w:tc>
        <w:tc>
          <w:tcPr>
            <w:tcW w:w="5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compensation</w:t>
            </w: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expense</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2,013</w:t>
            </w:r>
          </w:p>
        </w:tc>
        <w:tc>
          <w:tcPr>
            <w:tcW w:w="2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120" w:type="dxa"/>
            <w:vAlign w:val="bottom"/>
          </w:tcPr>
          <w:p>
            <w:pPr>
              <w:ind w:left="20"/>
              <w:spacing w:after="0" w:line="99" w:lineRule="exact"/>
              <w:rPr>
                <w:sz w:val="20"/>
                <w:szCs w:val="20"/>
                <w:color w:val="auto"/>
              </w:rPr>
            </w:pPr>
            <w:r>
              <w:rPr>
                <w:rFonts w:ascii="Arial" w:cs="Arial" w:eastAsia="Arial" w:hAnsi="Arial"/>
                <w:sz w:val="11"/>
                <w:szCs w:val="11"/>
                <w:color w:val="auto"/>
              </w:rPr>
              <w:t>Proceeds from notes</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120" w:type="dxa"/>
            <w:vAlign w:val="bottom"/>
          </w:tcPr>
          <w:p>
            <w:pPr>
              <w:ind w:left="20"/>
              <w:spacing w:after="0"/>
              <w:rPr>
                <w:sz w:val="20"/>
                <w:szCs w:val="20"/>
                <w:color w:val="auto"/>
              </w:rPr>
            </w:pPr>
            <w:r>
              <w:rPr>
                <w:rFonts w:ascii="Arial" w:cs="Arial" w:eastAsia="Arial" w:hAnsi="Arial"/>
                <w:sz w:val="11"/>
                <w:szCs w:val="11"/>
                <w:color w:val="auto"/>
              </w:rPr>
              <w:t>receivable</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136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-2225675</wp:posOffset>
            </wp:positionV>
            <wp:extent cx="7683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-2225675</wp:posOffset>
            </wp:positionV>
            <wp:extent cx="7683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-2225675</wp:posOffset>
            </wp:positionV>
            <wp:extent cx="7683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-2225675</wp:posOffset>
            </wp:positionV>
            <wp:extent cx="7683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-2225675</wp:posOffset>
            </wp:positionV>
            <wp:extent cx="685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-2225675</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-2225675</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-2225675</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-2225675</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-2225675</wp:posOffset>
            </wp:positionV>
            <wp:extent cx="685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-2225675</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6563995</wp:posOffset>
            </wp:positionH>
            <wp:positionV relativeFrom="paragraph">
              <wp:posOffset>-2225675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-2225675</wp:posOffset>
            </wp:positionV>
            <wp:extent cx="685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26"/>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Surrender of common</w:t>
            </w: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stock in exchange for</w:t>
            </w: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cancellation of note</w:t>
            </w: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receivable</w:t>
            </w:r>
          </w:p>
        </w:tc>
        <w:tc>
          <w:tcPr>
            <w:tcW w:w="580" w:type="dxa"/>
            <w:vAlign w:val="bottom"/>
            <w:shd w:val="clear" w:color="auto" w:fill="CFF0FC"/>
          </w:tcPr>
          <w:p>
            <w:pPr>
              <w:ind w:left="46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ind w:left="12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600" w:type="dxa"/>
            <w:vAlign w:val="bottom"/>
            <w:shd w:val="clear" w:color="auto" w:fill="CFF0FC"/>
          </w:tcPr>
          <w:p>
            <w:pPr>
              <w:ind w:left="4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ind w:left="14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92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(11,011 )</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(229 )</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120" w:type="dxa"/>
            <w:vAlign w:val="bottom"/>
          </w:tcPr>
          <w:p>
            <w:pPr>
              <w:ind w:left="20"/>
              <w:spacing w:after="0" w:line="112" w:lineRule="exact"/>
              <w:rPr>
                <w:sz w:val="20"/>
                <w:szCs w:val="20"/>
                <w:color w:val="auto"/>
              </w:rPr>
            </w:pPr>
            <w:r>
              <w:rPr>
                <w:rFonts w:ascii="Arial" w:cs="Arial" w:eastAsia="Arial" w:hAnsi="Arial"/>
                <w:sz w:val="11"/>
                <w:szCs w:val="11"/>
                <w:color w:val="auto"/>
              </w:rPr>
              <w:t>Exercise of preferred</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1"/>
                <w:szCs w:val="11"/>
                <w:color w:val="auto"/>
              </w:rPr>
              <w:t>stock warrants, net of</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rPr>
              <w:t>(2,01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1"/>
                <w:szCs w:val="11"/>
                <w:color w:val="auto"/>
              </w:rPr>
              <w:t>shares withheld for</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120" w:type="dxa"/>
            <w:vAlign w:val="bottom"/>
          </w:tcPr>
          <w:p>
            <w:pPr>
              <w:ind w:left="20"/>
              <w:spacing w:after="0"/>
              <w:rPr>
                <w:sz w:val="20"/>
                <w:szCs w:val="20"/>
                <w:color w:val="auto"/>
              </w:rPr>
            </w:pPr>
            <w:r>
              <w:rPr>
                <w:rFonts w:ascii="Arial" w:cs="Arial" w:eastAsia="Arial" w:hAnsi="Arial"/>
                <w:sz w:val="11"/>
                <w:szCs w:val="11"/>
                <w:color w:val="auto"/>
              </w:rPr>
              <w:t>exercise price</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ind w:left="14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100,261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3,912</w:t>
            </w: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1 )</w:t>
            </w:r>
          </w:p>
        </w:tc>
        <w:tc>
          <w:tcPr>
            <w:tcW w:w="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(2,011 )</w:t>
            </w:r>
          </w:p>
        </w:tc>
        <w:tc>
          <w:tcPr>
            <w:tcW w:w="0" w:type="dxa"/>
            <w:vAlign w:val="bottom"/>
          </w:tcPr>
          <w:p>
            <w:pPr>
              <w:spacing w:after="0"/>
              <w:rPr>
                <w:sz w:val="1"/>
                <w:szCs w:val="1"/>
                <w:color w:val="auto"/>
              </w:rPr>
            </w:pPr>
          </w:p>
        </w:tc>
      </w:tr>
      <w:tr>
        <w:trPr>
          <w:trHeight w:val="116"/>
        </w:trPr>
        <w:tc>
          <w:tcPr>
            <w:tcW w:w="1120" w:type="dxa"/>
            <w:vAlign w:val="bottom"/>
            <w:shd w:val="clear" w:color="auto" w:fill="CFF0FC"/>
          </w:tcPr>
          <w:p>
            <w:pPr>
              <w:ind w:left="20"/>
              <w:spacing w:after="0" w:line="116" w:lineRule="exact"/>
              <w:rPr>
                <w:sz w:val="20"/>
                <w:szCs w:val="20"/>
                <w:color w:val="auto"/>
              </w:rPr>
            </w:pPr>
            <w:r>
              <w:rPr>
                <w:rFonts w:ascii="Arial" w:cs="Arial" w:eastAsia="Arial" w:hAnsi="Arial"/>
                <w:sz w:val="11"/>
                <w:szCs w:val="11"/>
                <w:color w:val="auto"/>
              </w:rPr>
              <w:t>Conversion of</w:t>
            </w: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preferred stock to</w:t>
            </w: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common stock upon</w:t>
            </w: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rPr>
              <w:t>initial public offering,</w:t>
            </w: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1"/>
              </w:rPr>
              <w:t>(357,21</w:t>
            </w:r>
          </w:p>
        </w:tc>
        <w:tc>
          <w:tcPr>
            <w:tcW w:w="220" w:type="dxa"/>
            <w:vAlign w:val="bottom"/>
            <w:tcBorders>
              <w:right w:val="single" w:sz="8" w:color="auto"/>
            </w:tcBorders>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14,951,25</w:t>
            </w:r>
          </w:p>
        </w:tc>
        <w:tc>
          <w:tcPr>
            <w:tcW w:w="2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4"/>
              </w:rPr>
              <w:t>357,1</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net of fractional</w:t>
            </w:r>
          </w:p>
        </w:tc>
        <w:tc>
          <w:tcPr>
            <w:tcW w:w="580" w:type="dxa"/>
            <w:vAlign w:val="bottom"/>
            <w:vMerge w:val="restart"/>
            <w:shd w:val="clear" w:color="auto" w:fill="CFF0FC"/>
          </w:tcPr>
          <w:p>
            <w:pPr>
              <w:ind w:left="46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vMerge w:val="restart"/>
            <w:shd w:val="clear" w:color="auto" w:fill="CFF0FC"/>
          </w:tcPr>
          <w:p>
            <w:pPr>
              <w:ind w:left="12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ind w:left="4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vMerge w:val="restart"/>
            <w:shd w:val="clear" w:color="auto" w:fill="CFF0FC"/>
          </w:tcPr>
          <w:p>
            <w:pPr>
              <w:ind w:left="14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(14,476,533 )</w:t>
            </w:r>
          </w:p>
        </w:tc>
        <w:tc>
          <w:tcPr>
            <w:tcW w:w="100" w:type="dxa"/>
            <w:vAlign w:val="bottom"/>
            <w:shd w:val="clear" w:color="auto" w:fill="CFF0FC"/>
          </w:tcPr>
          <w:p>
            <w:pPr>
              <w:spacing w:after="0"/>
              <w:rPr>
                <w:sz w:val="9"/>
                <w:szCs w:val="9"/>
                <w:color w:val="auto"/>
              </w:rPr>
            </w:pPr>
          </w:p>
        </w:tc>
        <w:tc>
          <w:tcPr>
            <w:tcW w:w="360" w:type="dxa"/>
            <w:vAlign w:val="bottom"/>
            <w:vMerge w:val="continue"/>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70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357,202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shares settled for $11</w:t>
            </w:r>
          </w:p>
        </w:tc>
        <w:tc>
          <w:tcPr>
            <w:tcW w:w="58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2 )</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gridSpan w:val="3"/>
            <w:vMerge w:val="continue"/>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120" w:type="dxa"/>
            <w:vAlign w:val="bottom"/>
          </w:tcPr>
          <w:p>
            <w:pPr>
              <w:ind w:left="20"/>
              <w:spacing w:after="0" w:line="112" w:lineRule="exact"/>
              <w:rPr>
                <w:sz w:val="20"/>
                <w:szCs w:val="20"/>
                <w:color w:val="auto"/>
              </w:rPr>
            </w:pPr>
            <w:r>
              <w:rPr>
                <w:rFonts w:ascii="Arial" w:cs="Arial" w:eastAsia="Arial" w:hAnsi="Arial"/>
                <w:sz w:val="11"/>
                <w:szCs w:val="11"/>
                <w:color w:val="auto"/>
              </w:rPr>
              <w:t>Issuance of common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1"/>
                <w:szCs w:val="11"/>
                <w:color w:val="auto"/>
              </w:rPr>
              <w:t>stock in connection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1"/>
                <w:szCs w:val="11"/>
                <w:color w:val="auto"/>
              </w:rPr>
              <w:t>with initial public</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0"/>
              <w:spacing w:after="0" w:line="122" w:lineRule="exact"/>
              <w:rPr>
                <w:sz w:val="20"/>
                <w:szCs w:val="20"/>
                <w:color w:val="auto"/>
              </w:rPr>
            </w:pPr>
            <w:r>
              <w:rPr>
                <w:rFonts w:ascii="Arial" w:cs="Arial" w:eastAsia="Arial" w:hAnsi="Arial"/>
                <w:sz w:val="11"/>
                <w:szCs w:val="11"/>
                <w:color w:val="auto"/>
              </w:rPr>
              <w:t>offering, net of</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ind w:left="20"/>
              <w:spacing w:after="0" w:line="108" w:lineRule="exact"/>
              <w:rPr>
                <w:sz w:val="20"/>
                <w:szCs w:val="20"/>
                <w:color w:val="auto"/>
              </w:rPr>
            </w:pPr>
            <w:r>
              <w:rPr>
                <w:rFonts w:ascii="Arial" w:cs="Arial" w:eastAsia="Arial" w:hAnsi="Arial"/>
                <w:sz w:val="11"/>
                <w:szCs w:val="11"/>
                <w:color w:val="auto"/>
              </w:rPr>
              <w:t>underwriter discounts</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w w:val="94"/>
              </w:rPr>
              <w:t>119,5</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ind w:left="20"/>
              <w:spacing w:after="0" w:line="122" w:lineRule="exact"/>
              <w:rPr>
                <w:sz w:val="20"/>
                <w:szCs w:val="20"/>
                <w:color w:val="auto"/>
              </w:rPr>
            </w:pPr>
            <w:r>
              <w:rPr>
                <w:rFonts w:ascii="Arial" w:cs="Arial" w:eastAsia="Arial" w:hAnsi="Arial"/>
                <w:sz w:val="11"/>
                <w:szCs w:val="11"/>
                <w:color w:val="auto"/>
              </w:rPr>
              <w:t>and issuance costs of</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$12.4 million</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ind w:left="12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14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8,248,549</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119,582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120" w:type="dxa"/>
            <w:vAlign w:val="bottom"/>
            <w:shd w:val="clear" w:color="auto" w:fill="CFF0FC"/>
          </w:tcPr>
          <w:p>
            <w:pPr>
              <w:ind w:left="20"/>
              <w:spacing w:after="0" w:line="116" w:lineRule="exact"/>
              <w:rPr>
                <w:sz w:val="20"/>
                <w:szCs w:val="20"/>
                <w:color w:val="auto"/>
              </w:rPr>
            </w:pPr>
            <w:r>
              <w:rPr>
                <w:rFonts w:ascii="Arial" w:cs="Arial" w:eastAsia="Arial" w:hAnsi="Arial"/>
                <w:sz w:val="11"/>
                <w:szCs w:val="11"/>
                <w:color w:val="auto"/>
              </w:rPr>
              <w:t>Unrealized gain on</w:t>
            </w: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short-term</w:t>
            </w: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investments and cash</w:t>
            </w: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equivalents, net of tax</w:t>
            </w:r>
          </w:p>
        </w:tc>
        <w:tc>
          <w:tcPr>
            <w:tcW w:w="580" w:type="dxa"/>
            <w:vAlign w:val="bottom"/>
            <w:shd w:val="clear" w:color="auto" w:fill="CFF0FC"/>
          </w:tcPr>
          <w:p>
            <w:pPr>
              <w:ind w:left="46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ind w:left="12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600" w:type="dxa"/>
            <w:vAlign w:val="bottom"/>
            <w:shd w:val="clear" w:color="auto" w:fill="CFF0FC"/>
          </w:tcPr>
          <w:p>
            <w:pPr>
              <w:ind w:left="4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ind w:left="14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(5 )</w:t>
            </w: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12"/>
        </w:trPr>
        <w:tc>
          <w:tcPr>
            <w:tcW w:w="1120" w:type="dxa"/>
            <w:vAlign w:val="bottom"/>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20" w:type="dxa"/>
            <w:vAlign w:val="bottom"/>
          </w:tcPr>
          <w:p>
            <w:pPr>
              <w:ind w:left="20"/>
              <w:spacing w:after="0"/>
              <w:rPr>
                <w:sz w:val="20"/>
                <w:szCs w:val="20"/>
                <w:color w:val="auto"/>
              </w:rPr>
            </w:pPr>
            <w:r>
              <w:rPr>
                <w:rFonts w:ascii="Arial" w:cs="Arial" w:eastAsia="Arial" w:hAnsi="Arial"/>
                <w:sz w:val="11"/>
                <w:szCs w:val="11"/>
                <w:color w:val="auto"/>
              </w:rPr>
              <w:t>translation adjustment</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ind w:left="12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14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10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39"/>
        </w:trPr>
        <w:tc>
          <w:tcPr>
            <w:tcW w:w="1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580" w:type="dxa"/>
            <w:vAlign w:val="bottom"/>
            <w:shd w:val="clear" w:color="auto" w:fill="CFF0FC"/>
          </w:tcPr>
          <w:p>
            <w:pPr>
              <w:ind w:left="460"/>
              <w:spacing w:after="0"/>
              <w:rPr>
                <w:sz w:val="20"/>
                <w:szCs w:val="20"/>
                <w:color w:val="auto"/>
              </w:rPr>
            </w:pPr>
            <w:r>
              <w:rPr>
                <w:rFonts w:ascii="Arial" w:cs="Arial" w:eastAsia="Arial" w:hAnsi="Arial"/>
                <w:sz w:val="11"/>
                <w:szCs w:val="11"/>
                <w:color w:val="auto"/>
                <w:w w:val="90"/>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ind w:left="12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0" w:type="dxa"/>
            <w:vAlign w:val="bottom"/>
            <w:shd w:val="clear" w:color="auto" w:fill="CFF0FC"/>
          </w:tcPr>
          <w:p>
            <w:pPr>
              <w:ind w:left="4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ind w:left="14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w w:val="90"/>
              </w:rPr>
              <w:t>(12,673 )</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(12,673 )</w:t>
            </w:r>
          </w:p>
        </w:tc>
        <w:tc>
          <w:tcPr>
            <w:tcW w:w="0" w:type="dxa"/>
            <w:vAlign w:val="bottom"/>
          </w:tcPr>
          <w:p>
            <w:pPr>
              <w:spacing w:after="0"/>
              <w:rPr>
                <w:sz w:val="1"/>
                <w:szCs w:val="1"/>
                <w:color w:val="auto"/>
              </w:rPr>
            </w:pPr>
          </w:p>
        </w:tc>
      </w:tr>
      <w:tr>
        <w:trPr>
          <w:trHeight w:val="105"/>
        </w:trPr>
        <w:tc>
          <w:tcPr>
            <w:tcW w:w="1120" w:type="dxa"/>
            <w:vAlign w:val="bottom"/>
            <w:tcBorders>
              <w:top w:val="single" w:sz="8" w:color="CFF0FC"/>
            </w:tcBorders>
            <w:vMerge w:val="restart"/>
          </w:tcPr>
          <w:p>
            <w:pPr>
              <w:ind w:left="20"/>
              <w:spacing w:after="0"/>
              <w:rPr>
                <w:sz w:val="20"/>
                <w:szCs w:val="20"/>
                <w:color w:val="auto"/>
              </w:rPr>
            </w:pPr>
            <w:r>
              <w:rPr>
                <w:rFonts w:ascii="Arial" w:cs="Arial" w:eastAsia="Arial" w:hAnsi="Arial"/>
                <w:sz w:val="11"/>
                <w:szCs w:val="11"/>
                <w:color w:val="auto"/>
                <w:w w:val="99"/>
              </w:rPr>
              <w:t>Balance at September</w:t>
            </w:r>
          </w:p>
        </w:tc>
        <w:tc>
          <w:tcPr>
            <w:tcW w:w="58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27,324,05</w:t>
            </w:r>
          </w:p>
        </w:tc>
        <w:tc>
          <w:tcPr>
            <w:tcW w:w="22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2</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w w:val="94"/>
              </w:rPr>
              <w:t>614,4</w:t>
            </w: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w w:val="91"/>
              </w:rPr>
              <w:t>(463,54</w:t>
            </w:r>
          </w:p>
        </w:tc>
        <w:tc>
          <w:tcPr>
            <w:tcW w:w="2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120" w:type="dxa"/>
            <w:vAlign w:val="bottom"/>
            <w:vMerge w:val="continue"/>
          </w:tcPr>
          <w:p>
            <w:pPr>
              <w:spacing w:after="0"/>
              <w:rPr>
                <w:sz w:val="3"/>
                <w:szCs w:val="3"/>
                <w:color w:val="auto"/>
              </w:rPr>
            </w:pPr>
          </w:p>
        </w:tc>
        <w:tc>
          <w:tcPr>
            <w:tcW w:w="580" w:type="dxa"/>
            <w:vAlign w:val="bottom"/>
            <w:vMerge w:val="restart"/>
          </w:tcPr>
          <w:p>
            <w:pPr>
              <w:ind w:left="460"/>
              <w:spacing w:after="0"/>
              <w:rPr>
                <w:sz w:val="20"/>
                <w:szCs w:val="20"/>
                <w:color w:val="auto"/>
              </w:rPr>
            </w:pPr>
            <w:r>
              <w:rPr>
                <w:rFonts w:ascii="Arial" w:cs="Arial" w:eastAsia="Arial" w:hAnsi="Arial"/>
                <w:sz w:val="11"/>
                <w:szCs w:val="11"/>
                <w:color w:val="auto"/>
                <w:w w:val="90"/>
              </w:rPr>
              <w:t>—</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vMerge w:val="restart"/>
          </w:tcPr>
          <w:p>
            <w:pPr>
              <w:ind w:left="120"/>
              <w:spacing w:after="0"/>
              <w:rPr>
                <w:sz w:val="20"/>
                <w:szCs w:val="20"/>
                <w:color w:val="auto"/>
              </w:rPr>
            </w:pPr>
            <w:r>
              <w:rPr>
                <w:rFonts w:ascii="Arial" w:cs="Arial" w:eastAsia="Arial" w:hAnsi="Arial"/>
                <w:sz w:val="11"/>
                <w:szCs w:val="11"/>
                <w:color w:val="auto"/>
                <w:w w:val="90"/>
              </w:rPr>
              <w:t>—</w:t>
            </w:r>
          </w:p>
        </w:tc>
        <w:tc>
          <w:tcPr>
            <w:tcW w:w="800" w:type="dxa"/>
            <w:vAlign w:val="bottom"/>
            <w:gridSpan w:val="2"/>
            <w:vMerge w:val="restart"/>
          </w:tcPr>
          <w:p>
            <w:pPr>
              <w:jc w:val="right"/>
              <w:ind w:right="48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ind w:left="480"/>
              <w:spacing w:after="0"/>
              <w:rPr>
                <w:sz w:val="20"/>
                <w:szCs w:val="20"/>
                <w:color w:val="auto"/>
              </w:rPr>
            </w:pPr>
            <w:r>
              <w:rPr>
                <w:rFonts w:ascii="Arial" w:cs="Arial" w:eastAsia="Arial" w:hAnsi="Arial"/>
                <w:sz w:val="11"/>
                <w:szCs w:val="11"/>
                <w:color w:val="auto"/>
                <w:w w:val="90"/>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vMerge w:val="restart"/>
          </w:tcPr>
          <w:p>
            <w:pPr>
              <w:ind w:left="140"/>
              <w:spacing w:after="0"/>
              <w:rPr>
                <w:sz w:val="20"/>
                <w:szCs w:val="20"/>
                <w:color w:val="auto"/>
              </w:rPr>
            </w:pPr>
            <w:r>
              <w:rPr>
                <w:rFonts w:ascii="Arial" w:cs="Arial" w:eastAsia="Arial" w:hAnsi="Arial"/>
                <w:sz w:val="11"/>
                <w:szCs w:val="11"/>
                <w:color w:val="auto"/>
                <w:w w:val="90"/>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  7</w:t>
            </w:r>
          </w:p>
        </w:tc>
        <w:tc>
          <w:tcPr>
            <w:tcW w:w="120" w:type="dxa"/>
            <w:vAlign w:val="bottom"/>
          </w:tcPr>
          <w:p>
            <w:pPr>
              <w:spacing w:after="0"/>
              <w:rPr>
                <w:sz w:val="3"/>
                <w:szCs w:val="3"/>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3"/>
                <w:szCs w:val="3"/>
                <w:color w:val="auto"/>
              </w:rPr>
            </w:pP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1"/>
                <w:szCs w:val="11"/>
                <w:color w:val="auto"/>
              </w:rPr>
              <w:t>(11 )  $</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3 )</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98"/>
              </w:rPr>
              <w:t>$   150,891</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1120" w:type="dxa"/>
            <w:vAlign w:val="bottom"/>
          </w:tcPr>
          <w:p>
            <w:pPr>
              <w:ind w:left="20"/>
              <w:spacing w:after="0" w:line="85" w:lineRule="exact"/>
              <w:rPr>
                <w:sz w:val="20"/>
                <w:szCs w:val="20"/>
                <w:color w:val="auto"/>
              </w:rPr>
            </w:pPr>
            <w:r>
              <w:rPr>
                <w:rFonts w:ascii="Arial" w:cs="Arial" w:eastAsia="Arial" w:hAnsi="Arial"/>
                <w:sz w:val="9"/>
                <w:szCs w:val="9"/>
                <w:color w:val="auto"/>
              </w:rPr>
              <w:t>30, 2021</w:t>
            </w:r>
          </w:p>
        </w:tc>
        <w:tc>
          <w:tcPr>
            <w:tcW w:w="58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-196215</wp:posOffset>
            </wp:positionV>
            <wp:extent cx="76835"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-196215</wp:posOffset>
            </wp:positionV>
            <wp:extent cx="76835"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-196215</wp:posOffset>
            </wp:positionV>
            <wp:extent cx="76835"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2856230</wp:posOffset>
            </wp:positionH>
            <wp:positionV relativeFrom="paragraph">
              <wp:posOffset>-196215</wp:posOffset>
            </wp:positionV>
            <wp:extent cx="76835"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-196215</wp:posOffset>
            </wp:positionV>
            <wp:extent cx="6858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-196215</wp:posOffset>
            </wp:positionV>
            <wp:extent cx="6858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-196215</wp:posOffset>
            </wp:positionV>
            <wp:extent cx="6858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-196215</wp:posOffset>
            </wp:positionV>
            <wp:extent cx="6858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-196215</wp:posOffset>
            </wp:positionV>
            <wp:extent cx="68580"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-196215</wp:posOffset>
            </wp:positionV>
            <wp:extent cx="68580" cy="196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-196215</wp:posOffset>
            </wp:positionV>
            <wp:extent cx="68580" cy="196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6563995</wp:posOffset>
            </wp:positionH>
            <wp:positionV relativeFrom="paragraph">
              <wp:posOffset>-196215</wp:posOffset>
            </wp:positionV>
            <wp:extent cx="68580"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196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RxSIGHT,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860" w:type="dxa"/>
            <w:vAlign w:val="bottom"/>
            <w:gridSpan w:val="4"/>
          </w:tcPr>
          <w:p>
            <w:pPr>
              <w:ind w:left="640"/>
              <w:spacing w:after="0"/>
              <w:rPr>
                <w:sz w:val="20"/>
                <w:szCs w:val="20"/>
                <w:color w:val="auto"/>
              </w:rPr>
            </w:pPr>
            <w:r>
              <w:rPr>
                <w:rFonts w:ascii="Arial" w:cs="Arial" w:eastAsia="Arial" w:hAnsi="Arial"/>
                <w:sz w:val="14"/>
                <w:szCs w:val="14"/>
                <w:b w:val="1"/>
                <w:bCs w:val="1"/>
                <w:color w:val="auto"/>
                <w:w w:val="95"/>
              </w:rPr>
              <w:t>Nine Months Ended September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(51,146 )</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(32,954 )</w:t>
            </w:r>
          </w:p>
        </w:tc>
        <w:tc>
          <w:tcPr>
            <w:tcW w:w="0" w:type="dxa"/>
            <w:vAlign w:val="bottom"/>
          </w:tcPr>
          <w:p>
            <w:pPr>
              <w:spacing w:after="0"/>
              <w:rPr>
                <w:sz w:val="1"/>
                <w:szCs w:val="1"/>
                <w:color w:val="auto"/>
              </w:rPr>
            </w:pPr>
          </w:p>
        </w:tc>
      </w:tr>
      <w:tr>
        <w:trPr>
          <w:trHeight w:val="174"/>
        </w:trPr>
        <w:tc>
          <w:tcPr>
            <w:tcW w:w="772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Depreciation and amortization</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2,966</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3"/>
                <w:szCs w:val="13"/>
                <w:color w:val="auto"/>
              </w:rPr>
              <w:t>Amortization of right-of-use lease assets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 and premium</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3"/>
                <w:szCs w:val="13"/>
                <w:color w:val="auto"/>
              </w:rPr>
              <w:t>Change in fair value of warrants</w:t>
            </w:r>
          </w:p>
        </w:tc>
        <w:tc>
          <w:tcPr>
            <w:tcW w:w="98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(2,717 )</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Gain on expiration of warrant</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(5,018 )</w:t>
            </w: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3"/>
                <w:szCs w:val="13"/>
                <w:color w:val="auto"/>
              </w:rPr>
              <w:t>Amortization of discount on short-term investments</w:t>
            </w:r>
          </w:p>
        </w:tc>
        <w:tc>
          <w:tcPr>
            <w:tcW w:w="98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(622 )</w:t>
            </w: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8,435</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3"/>
                <w:szCs w:val="13"/>
                <w:color w:val="auto"/>
              </w:rPr>
              <w:t>Provision for excess and obsolete inventory</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454</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 in operating assets and liabilities: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98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(4,159 )</w:t>
            </w: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(1,492 )</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Inventories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(7,758 )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(3,511 )</w:t>
            </w:r>
          </w:p>
        </w:tc>
        <w:tc>
          <w:tcPr>
            <w:tcW w:w="0" w:type="dxa"/>
            <w:vAlign w:val="bottom"/>
          </w:tcPr>
          <w:p>
            <w:pPr>
              <w:spacing w:after="0"/>
              <w:rPr>
                <w:sz w:val="1"/>
                <w:szCs w:val="1"/>
                <w:color w:val="auto"/>
              </w:rPr>
            </w:pPr>
          </w:p>
        </w:tc>
      </w:tr>
      <w:tr>
        <w:trPr>
          <w:trHeight w:val="175"/>
        </w:trPr>
        <w:tc>
          <w:tcPr>
            <w:tcW w:w="7720" w:type="dxa"/>
            <w:vAlign w:val="bottom"/>
          </w:tcPr>
          <w:p>
            <w:pPr>
              <w:ind w:left="380"/>
              <w:spacing w:after="0"/>
              <w:rPr>
                <w:sz w:val="20"/>
                <w:szCs w:val="20"/>
                <w:color w:val="auto"/>
              </w:rPr>
            </w:pPr>
            <w:r>
              <w:rPr>
                <w:rFonts w:ascii="Arial" w:cs="Arial" w:eastAsia="Arial" w:hAnsi="Arial"/>
                <w:sz w:val="13"/>
                <w:szCs w:val="13"/>
                <w:color w:val="auto"/>
              </w:rPr>
              <w:t>Prepaid and other assets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1,613</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(3,155 )</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payable</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2,331</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80"/>
              <w:spacing w:after="0"/>
              <w:rPr>
                <w:sz w:val="20"/>
                <w:szCs w:val="20"/>
                <w:color w:val="auto"/>
              </w:rPr>
            </w:pPr>
            <w:r>
              <w:rPr>
                <w:rFonts w:ascii="Arial" w:cs="Arial" w:eastAsia="Arial" w:hAnsi="Arial"/>
                <w:sz w:val="13"/>
                <w:szCs w:val="13"/>
                <w:color w:val="auto"/>
              </w:rPr>
              <w:t>Accrued expenses and other liabilities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w:t>
            </w:r>
          </w:p>
        </w:tc>
        <w:tc>
          <w:tcPr>
            <w:tcW w:w="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Net cash used in operating activities</w:t>
            </w:r>
          </w:p>
        </w:tc>
        <w:tc>
          <w:tcPr>
            <w:tcW w:w="9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(44,996</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(35,986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 of property and equipment</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(2,031 )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(1,575 )</w:t>
            </w: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3"/>
                <w:szCs w:val="13"/>
                <w:color w:val="auto"/>
              </w:rPr>
              <w:t>Maturity of short-term investments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210,000</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short-term investments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w w:val="97"/>
              </w:rPr>
              <w:t>(178,424 )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(99,986 )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tcPr>
          <w:p>
            <w:pPr>
              <w:ind w:left="560"/>
              <w:spacing w:after="0"/>
              <w:rPr>
                <w:sz w:val="20"/>
                <w:szCs w:val="20"/>
                <w:color w:val="auto"/>
              </w:rPr>
            </w:pPr>
            <w:r>
              <w:rPr>
                <w:rFonts w:ascii="Arial" w:cs="Arial" w:eastAsia="Arial" w:hAnsi="Arial"/>
                <w:sz w:val="13"/>
                <w:szCs w:val="13"/>
                <w:color w:val="auto"/>
              </w:rPr>
              <w:t>Net cash provided by (used in) investing activities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29,545</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(46,561 )</w:t>
            </w: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3"/>
                <w:szCs w:val="13"/>
                <w:color w:val="auto"/>
              </w:rPr>
              <w:t>Proceeds from term loan</w:t>
            </w:r>
          </w:p>
        </w:tc>
        <w:tc>
          <w:tcPr>
            <w:tcW w:w="98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of debt issuance costs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(144 )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3"/>
                <w:szCs w:val="13"/>
                <w:color w:val="auto"/>
              </w:rPr>
              <w:t>Proceeds from exercise of preferred stock warrants</w:t>
            </w:r>
          </w:p>
        </w:tc>
        <w:tc>
          <w:tcPr>
            <w:tcW w:w="98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initial public offering, net of underwriting discounts and commissions and offering costs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119,582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3"/>
                <w:szCs w:val="13"/>
                <w:color w:val="auto"/>
              </w:rPr>
              <w:t>Payments for employee taxes related to stock compensation</w:t>
            </w:r>
          </w:p>
        </w:tc>
        <w:tc>
          <w:tcPr>
            <w:tcW w:w="98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(643 )</w:t>
            </w: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Principal payments on finance lease liabilities</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(82 )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3"/>
                <w:szCs w:val="13"/>
                <w:color w:val="auto"/>
              </w:rPr>
              <w:t>Payments of deferred offering costs</w:t>
            </w:r>
          </w:p>
        </w:tc>
        <w:tc>
          <w:tcPr>
            <w:tcW w:w="98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(295 )</w:t>
            </w: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(242 )</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 in notes receivables for redeemable common stock issued</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3"/>
                <w:szCs w:val="13"/>
                <w:color w:val="auto"/>
              </w:rPr>
              <w:t>Proceeds from issuance of common stock</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Net cash provided by financing activities</w:t>
            </w:r>
          </w:p>
        </w:tc>
        <w:tc>
          <w:tcPr>
            <w:tcW w:w="9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8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136,938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Effect of foreign exchange rate on cash, cash equivalents and restricted cash</w:t>
            </w:r>
          </w:p>
        </w:tc>
        <w:tc>
          <w:tcPr>
            <w:tcW w:w="98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(23 )</w:t>
            </w:r>
          </w:p>
        </w:tc>
        <w:tc>
          <w:tcPr>
            <w:tcW w:w="10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(15,449 )</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 beginning of period</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25,172</w:t>
            </w:r>
          </w:p>
        </w:tc>
        <w:tc>
          <w:tcPr>
            <w:tcW w:w="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Cash, cash equivalents and restricted cash - end of period</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9,723</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68,839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80"/>
              <w:spacing w:after="0"/>
              <w:rPr>
                <w:sz w:val="20"/>
                <w:szCs w:val="20"/>
                <w:color w:val="auto"/>
              </w:rPr>
            </w:pPr>
            <w:r>
              <w:rPr>
                <w:rFonts w:ascii="Arial" w:cs="Arial" w:eastAsia="Arial" w:hAnsi="Arial"/>
                <w:sz w:val="13"/>
                <w:szCs w:val="13"/>
                <w:color w:val="auto"/>
              </w:rPr>
              <w:t>Operating cash flows from operating leases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1,518</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income taxes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3"/>
                <w:szCs w:val="13"/>
                <w:color w:val="auto"/>
              </w:rPr>
              <w:t>Cash paid for interest on financing leases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interest on term loan</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3,025</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Right-of-use assets obtained in exchange for lease obligations: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80"/>
              <w:spacing w:after="0"/>
              <w:rPr>
                <w:sz w:val="20"/>
                <w:szCs w:val="20"/>
                <w:color w:val="auto"/>
              </w:rPr>
            </w:pPr>
            <w:r>
              <w:rPr>
                <w:rFonts w:ascii="Arial" w:cs="Arial" w:eastAsia="Arial" w:hAnsi="Arial"/>
                <w:sz w:val="13"/>
                <w:szCs w:val="13"/>
                <w:color w:val="auto"/>
              </w:rPr>
              <w:t>Operating lease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1,090</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Finance lease</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7720" w:type="dxa"/>
            <w:vAlign w:val="bottom"/>
          </w:tcPr>
          <w:p>
            <w:pPr>
              <w:ind w:left="200"/>
              <w:spacing w:after="0"/>
              <w:rPr>
                <w:sz w:val="20"/>
                <w:szCs w:val="20"/>
                <w:color w:val="auto"/>
              </w:rPr>
            </w:pPr>
            <w:r>
              <w:rPr>
                <w:rFonts w:ascii="Arial" w:cs="Arial" w:eastAsia="Arial" w:hAnsi="Arial"/>
                <w:sz w:val="13"/>
                <w:szCs w:val="13"/>
                <w:color w:val="auto"/>
              </w:rPr>
              <w:t>Lease obligations recorded for right-of-use assets: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Operating lease</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1,090</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80"/>
              <w:spacing w:after="0"/>
              <w:rPr>
                <w:sz w:val="20"/>
                <w:szCs w:val="20"/>
                <w:color w:val="auto"/>
              </w:rPr>
            </w:pPr>
            <w:r>
              <w:rPr>
                <w:rFonts w:ascii="Arial" w:cs="Arial" w:eastAsia="Arial" w:hAnsi="Arial"/>
                <w:sz w:val="13"/>
                <w:szCs w:val="13"/>
                <w:color w:val="auto"/>
              </w:rPr>
              <w:t>Finance lease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720" w:type="dxa"/>
            <w:vAlign w:val="bottom"/>
            <w:shd w:val="clear" w:color="auto" w:fill="CFF0FC"/>
          </w:tcPr>
          <w:p>
            <w:pPr>
              <w:ind w:left="200"/>
              <w:spacing w:after="0" w:line="138" w:lineRule="exact"/>
              <w:rPr>
                <w:sz w:val="20"/>
                <w:szCs w:val="20"/>
                <w:color w:val="auto"/>
              </w:rPr>
            </w:pPr>
            <w:r>
              <w:rPr>
                <w:rFonts w:ascii="Arial" w:cs="Arial" w:eastAsia="Arial" w:hAnsi="Arial"/>
                <w:sz w:val="13"/>
                <w:szCs w:val="13"/>
                <w:color w:val="auto"/>
              </w:rPr>
              <w:t>Acquisition of property and equipment included in accounts payable and accrued expenses</w:t>
            </w:r>
          </w:p>
        </w:tc>
        <w:tc>
          <w:tcPr>
            <w:tcW w:w="98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and other current liabilities</w:t>
            </w:r>
          </w:p>
        </w:tc>
        <w:tc>
          <w:tcPr>
            <w:tcW w:w="980" w:type="dxa"/>
            <w:vAlign w:val="bottom"/>
            <w:shd w:val="clear" w:color="auto" w:fill="CFF0FC"/>
          </w:tcPr>
          <w:p>
            <w:pPr>
              <w:spacing w:after="0"/>
              <w:rPr>
                <w:sz w:val="15"/>
                <w:szCs w:val="15"/>
                <w:color w:val="auto"/>
              </w:rPr>
            </w:pPr>
          </w:p>
        </w:tc>
        <w:tc>
          <w:tcPr>
            <w:tcW w:w="580" w:type="dxa"/>
            <w:vAlign w:val="bottom"/>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3"/>
                <w:szCs w:val="13"/>
                <w:color w:val="auto"/>
              </w:rPr>
              <w:t>Deferred offering costs included in accounts payable and accrued liabilities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Payment-in-kind interest income added to principal of notes receivable</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3"/>
                <w:szCs w:val="13"/>
                <w:color w:val="auto"/>
              </w:rPr>
              <w:t>Reclassification from warrant liability to additional paid-in capital for warrants exercised</w:t>
            </w:r>
          </w:p>
        </w:tc>
        <w:tc>
          <w:tcPr>
            <w:tcW w:w="98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720" w:type="dxa"/>
            <w:vAlign w:val="bottom"/>
            <w:shd w:val="clear" w:color="auto" w:fill="CFF0FC"/>
          </w:tcPr>
          <w:p>
            <w:pPr>
              <w:ind w:left="200"/>
              <w:spacing w:after="0" w:line="138" w:lineRule="exact"/>
              <w:rPr>
                <w:sz w:val="20"/>
                <w:szCs w:val="20"/>
                <w:color w:val="auto"/>
              </w:rPr>
            </w:pPr>
            <w:r>
              <w:rPr>
                <w:rFonts w:ascii="Arial" w:cs="Arial" w:eastAsia="Arial" w:hAnsi="Arial"/>
                <w:sz w:val="13"/>
                <w:szCs w:val="13"/>
                <w:color w:val="auto"/>
              </w:rPr>
              <w:t>Reclassification of 4,093,995 shares of redeemable common stock to 4,093,995</w:t>
            </w:r>
          </w:p>
        </w:tc>
        <w:tc>
          <w:tcPr>
            <w:tcW w:w="98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87,702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of common stock</w:t>
            </w:r>
          </w:p>
        </w:tc>
        <w:tc>
          <w:tcPr>
            <w:tcW w:w="98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Arial" w:cs="Arial" w:eastAsia="Arial" w:hAnsi="Arial"/>
                <w:sz w:val="13"/>
                <w:szCs w:val="13"/>
                <w:color w:val="auto"/>
              </w:rPr>
              <w:t>Reclassification of redeemable common stock options to common stock options</w:t>
            </w:r>
          </w:p>
        </w:tc>
        <w:tc>
          <w:tcPr>
            <w:tcW w:w="98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47,370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Conversion of preferred stock to common stock upon initial public offering</w:t>
            </w:r>
          </w:p>
        </w:tc>
        <w:tc>
          <w:tcPr>
            <w:tcW w:w="9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357,202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20" w:type="dxa"/>
            <w:vAlign w:val="bottom"/>
          </w:tcPr>
          <w:p>
            <w:pPr>
              <w:ind w:left="200"/>
              <w:spacing w:after="0"/>
              <w:rPr>
                <w:sz w:val="20"/>
                <w:szCs w:val="20"/>
                <w:color w:val="auto"/>
              </w:rPr>
            </w:pPr>
            <w:r>
              <w:rPr>
                <w:rFonts w:ascii="Arial" w:cs="Arial" w:eastAsia="Arial" w:hAnsi="Arial"/>
                <w:sz w:val="13"/>
                <w:szCs w:val="13"/>
                <w:color w:val="auto"/>
              </w:rPr>
              <w:t>Reclassification of deferred financing costs</w:t>
            </w:r>
          </w:p>
        </w:tc>
        <w:tc>
          <w:tcPr>
            <w:tcW w:w="980" w:type="dxa"/>
            <w:vAlign w:val="bottom"/>
          </w:tcPr>
          <w:p>
            <w:pPr>
              <w:spacing w:after="0"/>
              <w:rPr>
                <w:sz w:val="15"/>
                <w:szCs w:val="15"/>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-4812665</wp:posOffset>
            </wp:positionV>
            <wp:extent cx="6858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-4812665</wp:posOffset>
            </wp:positionV>
            <wp:extent cx="6858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-4358640</wp:posOffset>
            </wp:positionV>
            <wp:extent cx="68580"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-4358640</wp:posOffset>
            </wp:positionV>
            <wp:extent cx="68580" cy="1282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-2997200</wp:posOffset>
            </wp:positionV>
            <wp:extent cx="6858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-2997200</wp:posOffset>
            </wp:positionV>
            <wp:extent cx="6858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-2534920</wp:posOffset>
            </wp:positionV>
            <wp:extent cx="12414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41425" cy="1371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right="200" w:firstLine="374"/>
        <w:spacing w:after="0" w:line="248" w:lineRule="auto"/>
        <w:rPr>
          <w:sz w:val="20"/>
          <w:szCs w:val="20"/>
          <w:color w:val="auto"/>
        </w:rPr>
      </w:pPr>
      <w:r>
        <w:rPr>
          <w:rFonts w:ascii="Arial" w:cs="Arial" w:eastAsia="Arial" w:hAnsi="Arial"/>
          <w:sz w:val="18"/>
          <w:szCs w:val="18"/>
          <w:color w:val="auto"/>
        </w:rPr>
        <w:t>RxSight®, Inc. (the “Company”) is a Delaware corporation headquartered in Aliso Viejo, California with one wholly owned subsidiary located in Amsterdam, Netherlands. The wholly owned subsidiary has a registered branch in the United Kingdom and a wholly owned subsidiary located in Germany. The Company is engaged in the research and development, manufacture and sale of light adjustable intraocular lenses used in cataract surgery along with capital equipment used with the lenses.</w:t>
      </w:r>
    </w:p>
    <w:p>
      <w:pPr>
        <w:spacing w:after="0" w:line="115" w:lineRule="exact"/>
        <w:rPr>
          <w:sz w:val="20"/>
          <w:szCs w:val="20"/>
          <w:color w:val="auto"/>
        </w:rPr>
      </w:pPr>
    </w:p>
    <w:p>
      <w:pPr>
        <w:ind w:right="40" w:firstLine="374"/>
        <w:spacing w:after="0" w:line="249" w:lineRule="auto"/>
        <w:rPr>
          <w:sz w:val="20"/>
          <w:szCs w:val="20"/>
          <w:color w:val="auto"/>
        </w:rPr>
      </w:pPr>
      <w:r>
        <w:rPr>
          <w:rFonts w:ascii="Arial" w:cs="Arial" w:eastAsia="Arial" w:hAnsi="Arial"/>
          <w:sz w:val="18"/>
          <w:szCs w:val="18"/>
          <w:color w:val="auto"/>
        </w:rPr>
        <w:t>The Company’s products, which include the light adjustable lens (“LAL”®) and a specially designed machine for delivering light to the eye, the Light Delivery Device (“LDD™”), are approved by the United States (“U.S.”) Food and Drug Administration (“FDA”) for sale in the U.S. and have regulatory approval in the U.S and Europe. The Company began marketing its products in the U.S. during the second quarter of 2019 and in Europe during the third quarter of 2019. The LAL is a premium intraocular lens (“IOL”) which is partially reimbursable under Medicare. The Company competes with other IOLs in the premium market in the U.S. and Europe.</w:t>
      </w:r>
    </w:p>
    <w:p>
      <w:pPr>
        <w:spacing w:after="0" w:line="113" w:lineRule="exact"/>
        <w:rPr>
          <w:sz w:val="20"/>
          <w:szCs w:val="20"/>
          <w:color w:val="auto"/>
        </w:rPr>
      </w:pPr>
    </w:p>
    <w:p>
      <w:pPr>
        <w:ind w:right="240" w:firstLine="374"/>
        <w:spacing w:after="0" w:line="290" w:lineRule="auto"/>
        <w:rPr>
          <w:sz w:val="20"/>
          <w:szCs w:val="20"/>
          <w:color w:val="auto"/>
        </w:rPr>
      </w:pPr>
      <w:r>
        <w:rPr>
          <w:rFonts w:ascii="Arial" w:cs="Arial" w:eastAsia="Arial" w:hAnsi="Arial"/>
          <w:sz w:val="17"/>
          <w:szCs w:val="17"/>
          <w:color w:val="auto"/>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7" w:lineRule="exact"/>
        <w:rPr>
          <w:sz w:val="20"/>
          <w:szCs w:val="20"/>
          <w:color w:val="auto"/>
        </w:rPr>
      </w:pPr>
    </w:p>
    <w:p>
      <w:pPr>
        <w:ind w:right="20" w:firstLine="374"/>
        <w:spacing w:after="0" w:line="259" w:lineRule="auto"/>
        <w:rPr>
          <w:sz w:val="20"/>
          <w:szCs w:val="20"/>
          <w:color w:val="auto"/>
        </w:rPr>
      </w:pPr>
      <w:r>
        <w:rPr>
          <w:rFonts w:ascii="Arial" w:cs="Arial" w:eastAsia="Arial" w:hAnsi="Arial"/>
          <w:sz w:val="17"/>
          <w:szCs w:val="17"/>
          <w:color w:val="auto"/>
        </w:rPr>
        <w:t>The Company’s condensed consolidated financial statements have been prepared in accordance with accounting principles generally accepted in the United States of America (“GAAP”) for interim financial information and pursuant to Form 10-Q and Article 8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2021 balance sheet data was derived from audited financial statements; however, the accompanying notes to the condensed consolidated financial statements do not include all of the annual disclosures required under GAAP and should be read in conjunction with the Company’s 2021 Annual Report on Form 10-K filed with the SEC on March 8, 2022. The operating results presented in these unaudited condensed consolidated financial statements are not necessarily indicative of the results that may be expected for any future periods.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w:t>
      </w: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w:t>
      </w:r>
      <w:r>
        <w:rPr>
          <w:rFonts w:ascii="Arial" w:cs="Arial" w:eastAsia="Arial" w:hAnsi="Arial"/>
          <w:sz w:val="18"/>
          <w:szCs w:val="18"/>
          <w:i w:val="1"/>
          <w:iCs w:val="1"/>
          <w:color w:val="auto"/>
        </w:rPr>
        <w:t>) and Reverse Stock Split</w:t>
      </w:r>
    </w:p>
    <w:p>
      <w:pPr>
        <w:spacing w:after="0" w:line="103" w:lineRule="exact"/>
        <w:rPr>
          <w:sz w:val="20"/>
          <w:szCs w:val="20"/>
          <w:color w:val="auto"/>
        </w:rPr>
      </w:pPr>
    </w:p>
    <w:p>
      <w:pPr>
        <w:ind w:right="80" w:firstLine="374"/>
        <w:spacing w:after="0" w:line="259" w:lineRule="auto"/>
        <w:rPr>
          <w:sz w:val="20"/>
          <w:szCs w:val="20"/>
          <w:color w:val="auto"/>
        </w:rPr>
      </w:pPr>
      <w:r>
        <w:rPr>
          <w:rFonts w:ascii="Arial" w:cs="Arial" w:eastAsia="Arial" w:hAnsi="Arial"/>
          <w:sz w:val="17"/>
          <w:szCs w:val="17"/>
          <w:color w:val="auto"/>
        </w:rPr>
        <w:t>On July 22, 2021, the Company’s Board of Directors (“Board”) approved an amendment to the Company’s certificate of incorporation to effect a reverse split of shares of the Company’s common stock, excluding Series G and Series W common stock, and convertible preferred stock on a 1-for-10.33 basis (“Reverse Stock Split”). The par values of the common stock and convertible preferred stock were not adjusted as a result of the Reverse Stock Split. The Reverse Stock Split was effected on July 23, 2021. Accordingly, all common stock, excluding Series G and Series W common stock, options to purchase common stock, convertible preferred stock, share data, per share data and related information contained in the accompanying condensed consolidated financial statements and notes have been retrospectively adjusted to reflect the effect of the Reverse Stock Split for all periods presented. Outstanding stock options were proportionately reduced and the respective exercise prices, if applicable, were proportionately increased. The Reverse Stock Split resulted in an adjustment to the convertible preferred stock conversion prices to reflect a proportional decrease in the number of shares of common stock to be issued upon conversion.</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July 29, 2021, the Company completed its IPO which resulted in the issuance and sale of 8,248,549 shares of its common stock at a price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$16.00 per share. The aggregate net proceeds from the offering, which included 898,549 common shares sold upon the partial exercise of the underwriters’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 after deducting underwriting discounts and commissions of $9.2 million and other offering costs of $3.2 million, were approximately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$119.6 million. On July 29, 2021, the Company amended and restated its certificate of incorporation and bylaws which provide for, among other things, 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Company’s authorized capital stock to consist of</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1" w:name="page12"/>
    <w:bookmarkEnd w:id="11"/>
    <w:p>
      <w:pPr>
        <w:ind w:right="160"/>
        <w:spacing w:after="0" w:line="341" w:lineRule="auto"/>
        <w:rPr>
          <w:sz w:val="20"/>
          <w:szCs w:val="20"/>
          <w:color w:val="auto"/>
        </w:rPr>
      </w:pPr>
      <w:r>
        <w:rPr>
          <w:rFonts w:ascii="Arial" w:cs="Arial" w:eastAsia="Arial" w:hAnsi="Arial"/>
          <w:sz w:val="16"/>
          <w:szCs w:val="16"/>
          <w:color w:val="auto"/>
        </w:rPr>
        <w:t>900,000,000 shares of common stock, par value $0.001 per share, and 100,000,000 shares of convertible preferred stock, par value $0.001 per share. The amended and restated certificate of incorporation defines the voting rights, dividends, liquidation rights and preferences of each class of stock.</w:t>
      </w:r>
    </w:p>
    <w:p>
      <w:pPr>
        <w:spacing w:after="0" w:line="44" w:lineRule="exact"/>
        <w:rPr>
          <w:sz w:val="20"/>
          <w:szCs w:val="20"/>
          <w:color w:val="auto"/>
        </w:rPr>
      </w:pPr>
    </w:p>
    <w:p>
      <w:pPr>
        <w:ind w:right="200" w:firstLine="374"/>
        <w:spacing w:after="0" w:line="247" w:lineRule="auto"/>
        <w:rPr>
          <w:sz w:val="20"/>
          <w:szCs w:val="20"/>
          <w:color w:val="auto"/>
        </w:rPr>
      </w:pPr>
      <w:r>
        <w:rPr>
          <w:rFonts w:ascii="Arial" w:cs="Arial" w:eastAsia="Arial" w:hAnsi="Arial"/>
          <w:sz w:val="18"/>
          <w:szCs w:val="18"/>
          <w:color w:val="auto"/>
        </w:rPr>
        <w:t>Immediately prior to the completion of the IPO, (i) 14,376,272 outstanding shares of the Company's convertible preferred stock were converted into an aggregate of 14,725,309 shares of common stock and (ii) 225,945 warrants to purchase Series H convertible preferred stock were exercised and converted into 100,261 shares of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Financial Position</w:t>
      </w:r>
    </w:p>
    <w:p>
      <w:pPr>
        <w:spacing w:after="0" w:line="130" w:lineRule="exact"/>
        <w:rPr>
          <w:sz w:val="20"/>
          <w:szCs w:val="20"/>
          <w:color w:val="auto"/>
        </w:rPr>
      </w:pPr>
    </w:p>
    <w:p>
      <w:pPr>
        <w:ind w:right="100" w:firstLine="374"/>
        <w:spacing w:after="0" w:line="261" w:lineRule="auto"/>
        <w:rPr>
          <w:sz w:val="20"/>
          <w:szCs w:val="20"/>
          <w:color w:val="auto"/>
        </w:rPr>
      </w:pPr>
      <w:r>
        <w:rPr>
          <w:rFonts w:ascii="Arial" w:cs="Arial" w:eastAsia="Arial" w:hAnsi="Arial"/>
          <w:sz w:val="18"/>
          <w:szCs w:val="18"/>
          <w:color w:val="auto"/>
        </w:rPr>
        <w:t>As of September 30, 2022 and December 31, 2021 the Company had cash, cash equivalents and short-term investments of $112.8 million and $159.3 million, respectively.</w:t>
      </w:r>
    </w:p>
    <w:p>
      <w:pPr>
        <w:spacing w:after="0" w:line="103" w:lineRule="exact"/>
        <w:rPr>
          <w:sz w:val="20"/>
          <w:szCs w:val="20"/>
          <w:color w:val="auto"/>
        </w:rPr>
      </w:pPr>
    </w:p>
    <w:p>
      <w:pPr>
        <w:ind w:right="80" w:firstLine="374"/>
        <w:spacing w:after="0" w:line="277" w:lineRule="auto"/>
        <w:rPr>
          <w:sz w:val="20"/>
          <w:szCs w:val="20"/>
          <w:color w:val="auto"/>
        </w:rPr>
      </w:pPr>
      <w:r>
        <w:rPr>
          <w:rFonts w:ascii="Arial" w:cs="Arial" w:eastAsia="Arial" w:hAnsi="Arial"/>
          <w:sz w:val="16"/>
          <w:szCs w:val="16"/>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September 30, 2022 and 2021 the Company incurred losses from operations of $16.0 million and $13.1 million, respectively. For the nine months ended September 30, 2022 and 2021, the Company incurred losses from operations of $48.3 million and $38.1 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95" w:lineRule="exact"/>
        <w:rPr>
          <w:sz w:val="20"/>
          <w:szCs w:val="20"/>
          <w:color w:val="auto"/>
        </w:rPr>
      </w:pPr>
    </w:p>
    <w:p>
      <w:pPr>
        <w:ind w:right="80" w:firstLine="374"/>
        <w:spacing w:after="0" w:line="273" w:lineRule="auto"/>
        <w:rPr>
          <w:sz w:val="20"/>
          <w:szCs w:val="20"/>
          <w:color w:val="auto"/>
        </w:rPr>
      </w:pPr>
      <w:r>
        <w:rPr>
          <w:rFonts w:ascii="Arial" w:cs="Arial" w:eastAsia="Arial" w:hAnsi="Arial"/>
          <w:sz w:val="16"/>
          <w:szCs w:val="16"/>
          <w:color w:val="auto"/>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though the Company expects to continue to incur operating losses and negative cash flows. The Company plans to continue to fund its losses from operations using its cash, cash equivalents and short-term investments as of September 30, 2022 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Accounting Policies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preparation of consolidated financial statements in conformity with GAAP requires management to make informed estimates, judgments and</w:t>
      </w:r>
    </w:p>
    <w:p>
      <w:pPr>
        <w:spacing w:after="0" w:line="4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 preparation of the accompanying condensed consolidated financial statements under different assumptions or conditions.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12" w:name="page13"/>
    <w:bookmarkEnd w:id="12"/>
    <w:p>
      <w:pPr>
        <w:jc w:val="both"/>
        <w:ind w:right="160" w:firstLine="374"/>
        <w:spacing w:after="0" w:line="255" w:lineRule="auto"/>
        <w:rPr>
          <w:sz w:val="20"/>
          <w:szCs w:val="20"/>
          <w:color w:val="auto"/>
        </w:rPr>
      </w:pPr>
      <w:r>
        <w:rPr>
          <w:rFonts w:ascii="Arial" w:cs="Arial" w:eastAsia="Arial" w:hAnsi="Arial"/>
          <w:sz w:val="18"/>
          <w:szCs w:val="18"/>
          <w:color w:val="auto"/>
        </w:rPr>
        <w:t>There have been no significant changes to the accounting policies during the nine months ended September 30, 2022, as compared to the significant accounting policies described in Note 2 of the “Notes to Consolidated Financial Statements” in the Company’s audited consolidated financial statements included in its Annual Report on Form 10-K filed with the SEC on March 8, 2022.</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ind w:firstLine="374"/>
        <w:spacing w:after="0" w:line="258" w:lineRule="auto"/>
        <w:rPr>
          <w:sz w:val="20"/>
          <w:szCs w:val="20"/>
          <w:color w:val="auto"/>
        </w:rPr>
      </w:pPr>
      <w:r>
        <w:rPr>
          <w:rFonts w:ascii="Arial" w:cs="Arial" w:eastAsia="Arial" w:hAnsi="Arial"/>
          <w:sz w:val="17"/>
          <w:szCs w:val="17"/>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110"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investment has been in a continuous loss position for over 12 months;</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to maturity of investments;</w:t>
      </w:r>
    </w:p>
    <w:p>
      <w:pPr>
        <w:spacing w:after="0" w:line="157" w:lineRule="exact"/>
        <w:rPr>
          <w:rFonts w:ascii="Arial" w:cs="Arial" w:eastAsia="Arial" w:hAnsi="Arial"/>
          <w:sz w:val="18"/>
          <w:szCs w:val="18"/>
          <w:color w:val="auto"/>
        </w:rPr>
      </w:pPr>
    </w:p>
    <w:p>
      <w:pPr>
        <w:ind w:left="380" w:right="24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intention and ability to hold the investment to maturity and if it is not more likely than not that the Company will be required to sell the investment before recovery of the amortized cost basis;</w:t>
      </w:r>
    </w:p>
    <w:p>
      <w:pPr>
        <w:spacing w:after="0" w:line="102"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credit rating, financial condition and near-term prospects of the issuer; and</w:t>
      </w:r>
    </w:p>
    <w:p>
      <w:pPr>
        <w:spacing w:after="0" w:line="15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type of investments made.</w:t>
      </w:r>
    </w:p>
    <w:p>
      <w:pPr>
        <w:spacing w:after="0" w:line="130" w:lineRule="exact"/>
        <w:rPr>
          <w:sz w:val="20"/>
          <w:szCs w:val="20"/>
          <w:color w:val="auto"/>
        </w:rPr>
      </w:pPr>
    </w:p>
    <w:p>
      <w:pPr>
        <w:ind w:right="340" w:firstLine="374"/>
        <w:spacing w:after="0" w:line="261" w:lineRule="auto"/>
        <w:rPr>
          <w:sz w:val="20"/>
          <w:szCs w:val="20"/>
          <w:color w:val="auto"/>
        </w:rPr>
      </w:pPr>
      <w:r>
        <w:rPr>
          <w:rFonts w:ascii="Arial" w:cs="Arial" w:eastAsia="Arial" w:hAnsi="Arial"/>
          <w:sz w:val="18"/>
          <w:szCs w:val="18"/>
          <w:color w:val="auto"/>
        </w:rPr>
        <w:t>The Company had $104,000 and $9,000 of unrealized losses related to short-term investments as of September 30, 2022 and December 31, 2021,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44" w:lineRule="exact"/>
        <w:rPr>
          <w:sz w:val="20"/>
          <w:szCs w:val="20"/>
          <w:color w:val="auto"/>
        </w:rPr>
      </w:pPr>
    </w:p>
    <w:p>
      <w:pPr>
        <w:ind w:right="20" w:firstLine="374"/>
        <w:spacing w:after="0" w:line="246"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Additionally,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116" w:lineRule="exact"/>
        <w:rPr>
          <w:sz w:val="20"/>
          <w:szCs w:val="20"/>
          <w:color w:val="auto"/>
        </w:rPr>
      </w:pPr>
    </w:p>
    <w:p>
      <w:pPr>
        <w:ind w:right="160" w:firstLine="374"/>
        <w:spacing w:after="0" w:line="248" w:lineRule="auto"/>
        <w:rPr>
          <w:sz w:val="20"/>
          <w:szCs w:val="20"/>
          <w:color w:val="auto"/>
        </w:rPr>
      </w:pPr>
      <w:r>
        <w:rPr>
          <w:rFonts w:ascii="Arial" w:cs="Arial" w:eastAsia="Arial" w:hAnsi="Arial"/>
          <w:sz w:val="18"/>
          <w:szCs w:val="18"/>
          <w:color w:val="auto"/>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115" w:lineRule="exact"/>
        <w:rPr>
          <w:sz w:val="20"/>
          <w:szCs w:val="20"/>
          <w:color w:val="auto"/>
        </w:rPr>
      </w:pPr>
    </w:p>
    <w:p>
      <w:pPr>
        <w:jc w:val="both"/>
        <w:ind w:right="180" w:firstLine="374"/>
        <w:spacing w:after="0" w:line="247" w:lineRule="auto"/>
        <w:rPr>
          <w:sz w:val="20"/>
          <w:szCs w:val="20"/>
          <w:color w:val="auto"/>
        </w:rPr>
      </w:pPr>
      <w:r>
        <w:rPr>
          <w:rFonts w:ascii="Arial" w:cs="Arial" w:eastAsia="Arial" w:hAnsi="Arial"/>
          <w:sz w:val="18"/>
          <w:szCs w:val="18"/>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5"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uncertainty of market acceptance of the Company's products, product liability and the need to obtain additional financing.</w:t>
      </w:r>
    </w:p>
    <w:p>
      <w:pPr>
        <w:spacing w:after="0" w:line="144" w:lineRule="exact"/>
        <w:rPr>
          <w:sz w:val="20"/>
          <w:szCs w:val="20"/>
          <w:color w:val="auto"/>
        </w:rPr>
      </w:pPr>
    </w:p>
    <w:p>
      <w:pPr>
        <w:ind w:right="60" w:firstLine="374"/>
        <w:spacing w:after="0" w:line="246" w:lineRule="auto"/>
        <w:rPr>
          <w:sz w:val="20"/>
          <w:szCs w:val="20"/>
          <w:color w:val="auto"/>
        </w:rPr>
      </w:pPr>
      <w:r>
        <w:rPr>
          <w:rFonts w:ascii="Arial" w:cs="Arial" w:eastAsia="Arial" w:hAnsi="Arial"/>
          <w:sz w:val="18"/>
          <w:szCs w:val="18"/>
          <w:color w:val="auto"/>
        </w:rPr>
        <w:t>The Company is subject to the risks related to the global pandemic associated with COVID-19, including local, state, federal and other world-wide mandates imposed to reduce the spread of the virus which could interrupt or reduce the number of cataract surgeries, limit access to ambulatory surgery centers, doctors’ offices and manufacturing facilities, and the expansion of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40" w:firstLine="374"/>
        <w:spacing w:after="0" w:line="268" w:lineRule="auto"/>
        <w:rPr>
          <w:sz w:val="20"/>
          <w:szCs w:val="20"/>
          <w:color w:val="auto"/>
        </w:rPr>
      </w:pPr>
      <w:r>
        <w:rPr>
          <w:rFonts w:ascii="Arial" w:cs="Arial" w:eastAsia="Arial" w:hAnsi="Arial"/>
          <w:sz w:val="17"/>
          <w:szCs w:val="17"/>
          <w:color w:val="auto"/>
        </w:rPr>
        <w:t>The Company has a diverse customer base and as of September 30, 2022 and December 31, 2021 the Company had no customers who individually accounted for more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September 30, 2022 or December 31,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0" w:lineRule="exact"/>
        <w:rPr>
          <w:sz w:val="20"/>
          <w:szCs w:val="20"/>
          <w:color w:val="auto"/>
        </w:rPr>
      </w:pPr>
    </w:p>
    <w:p>
      <w:pPr>
        <w:ind w:right="160" w:firstLine="374"/>
        <w:spacing w:after="0" w:line="260"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The Company’s financial instruments consist principally of cash, cash equivalents, short-term investments, accounts receivable, accounts payable, operating lease liabilities and a term loan.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105"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Level 1—Observable inputs such as unadjusted quoted prices in active markets that are accessible at the measurement date for identical unrestricted assets or liabilities.</w:t>
      </w:r>
    </w:p>
    <w:p>
      <w:pPr>
        <w:spacing w:after="0" w:line="103" w:lineRule="exact"/>
        <w:rPr>
          <w:sz w:val="20"/>
          <w:szCs w:val="20"/>
          <w:color w:val="auto"/>
        </w:rPr>
      </w:pPr>
    </w:p>
    <w:p>
      <w:pPr>
        <w:ind w:firstLine="374"/>
        <w:spacing w:after="0" w:line="249" w:lineRule="auto"/>
        <w:rPr>
          <w:sz w:val="20"/>
          <w:szCs w:val="20"/>
          <w:color w:val="auto"/>
        </w:rPr>
      </w:pPr>
      <w:r>
        <w:rPr>
          <w:rFonts w:ascii="Arial" w:cs="Arial" w:eastAsia="Arial" w:hAnsi="Arial"/>
          <w:sz w:val="18"/>
          <w:szCs w:val="18"/>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113" w:lineRule="exact"/>
        <w:rPr>
          <w:sz w:val="20"/>
          <w:szCs w:val="20"/>
          <w:color w:val="auto"/>
        </w:rPr>
      </w:pPr>
    </w:p>
    <w:p>
      <w:pPr>
        <w:ind w:right="100" w:firstLine="374"/>
        <w:spacing w:after="0" w:line="289" w:lineRule="auto"/>
        <w:rPr>
          <w:sz w:val="20"/>
          <w:szCs w:val="20"/>
          <w:color w:val="auto"/>
        </w:rPr>
      </w:pPr>
      <w:r>
        <w:rPr>
          <w:rFonts w:ascii="Arial" w:cs="Arial" w:eastAsia="Arial" w:hAnsi="Arial"/>
          <w:sz w:val="16"/>
          <w:szCs w:val="16"/>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71" w:lineRule="exact"/>
        <w:rPr>
          <w:sz w:val="20"/>
          <w:szCs w:val="20"/>
          <w:color w:val="auto"/>
        </w:rPr>
      </w:pPr>
    </w:p>
    <w:p>
      <w:pPr>
        <w:ind w:right="100" w:firstLine="374"/>
        <w:spacing w:after="0" w:line="248"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30" w:lineRule="exact"/>
        <w:rPr>
          <w:sz w:val="20"/>
          <w:szCs w:val="20"/>
          <w:color w:val="auto"/>
        </w:rPr>
      </w:pPr>
    </w:p>
    <w:p>
      <w:pPr>
        <w:ind w:right="120" w:firstLine="374"/>
        <w:spacing w:after="0" w:line="248" w:lineRule="auto"/>
        <w:rPr>
          <w:sz w:val="20"/>
          <w:szCs w:val="20"/>
          <w:color w:val="auto"/>
        </w:rPr>
      </w:pPr>
      <w:r>
        <w:rPr>
          <w:rFonts w:ascii="Arial" w:cs="Arial" w:eastAsia="Arial" w:hAnsi="Arial"/>
          <w:sz w:val="18"/>
          <w:szCs w:val="18"/>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14" w:name="page15"/>
    <w:bookmarkEnd w:id="14"/>
    <w:p>
      <w:pPr>
        <w:ind w:right="40"/>
        <w:spacing w:after="0" w:line="246" w:lineRule="auto"/>
        <w:rPr>
          <w:sz w:val="20"/>
          <w:szCs w:val="20"/>
          <w:color w:val="auto"/>
        </w:rPr>
      </w:pPr>
      <w:r>
        <w:rPr>
          <w:rFonts w:ascii="Arial" w:cs="Arial" w:eastAsia="Arial" w:hAnsi="Arial"/>
          <w:sz w:val="18"/>
          <w:szCs w:val="18"/>
          <w:color w:val="auto"/>
        </w:rPr>
        <w:t>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57" w:lineRule="exact"/>
        <w:rPr>
          <w:sz w:val="20"/>
          <w:szCs w:val="20"/>
          <w:color w:val="auto"/>
        </w:rPr>
      </w:pPr>
    </w:p>
    <w:p>
      <w:pPr>
        <w:ind w:right="60" w:firstLine="374"/>
        <w:spacing w:after="0" w:line="274"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144" w:lineRule="exact"/>
        <w:rPr>
          <w:sz w:val="20"/>
          <w:szCs w:val="20"/>
          <w:color w:val="auto"/>
        </w:rPr>
      </w:pPr>
    </w:p>
    <w:p>
      <w:pPr>
        <w:ind w:right="60" w:firstLine="374"/>
        <w:spacing w:after="0" w:line="249" w:lineRule="auto"/>
        <w:rPr>
          <w:sz w:val="20"/>
          <w:szCs w:val="20"/>
          <w:color w:val="auto"/>
        </w:rPr>
      </w:pPr>
      <w:r>
        <w:rPr>
          <w:rFonts w:ascii="Arial" w:cs="Arial" w:eastAsia="Arial" w:hAnsi="Arial"/>
          <w:sz w:val="18"/>
          <w:szCs w:val="18"/>
          <w:color w:val="auto"/>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p>
    <w:p>
      <w:pPr>
        <w:spacing w:after="0" w:line="113" w:lineRule="exact"/>
        <w:rPr>
          <w:sz w:val="20"/>
          <w:szCs w:val="20"/>
          <w:color w:val="auto"/>
        </w:rPr>
      </w:pPr>
    </w:p>
    <w:p>
      <w:pPr>
        <w:ind w:right="500" w:firstLine="374"/>
        <w:spacing w:after="0" w:line="324" w:lineRule="auto"/>
        <w:rPr>
          <w:sz w:val="20"/>
          <w:szCs w:val="20"/>
          <w:color w:val="auto"/>
        </w:rPr>
      </w:pPr>
      <w:r>
        <w:rPr>
          <w:rFonts w:ascii="Arial" w:cs="Arial" w:eastAsia="Arial" w:hAnsi="Arial"/>
          <w:sz w:val="16"/>
          <w:szCs w:val="16"/>
          <w:color w:val="auto"/>
        </w:rPr>
        <w:t>The following outstanding potentially dilutive securities were excluded from the calculation of diluted net loss per share attributable to common stockholders because their impact under the “treasury stock method” and “if-converted method” was anti-dilutive for the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1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8"/>
                <w:szCs w:val="18"/>
                <w:b w:val="1"/>
                <w:bCs w:val="1"/>
                <w:color w:val="auto"/>
                <w:w w:val="95"/>
              </w:rPr>
              <w:t>Three Months Ended September 30,</w:t>
            </w:r>
          </w:p>
        </w:tc>
        <w:tc>
          <w:tcPr>
            <w:tcW w:w="220" w:type="dxa"/>
            <w:vAlign w:val="bottom"/>
          </w:tcPr>
          <w:p>
            <w:pPr>
              <w:spacing w:after="0"/>
              <w:rPr>
                <w:sz w:val="20"/>
                <w:szCs w:val="20"/>
                <w:color w:val="auto"/>
              </w:rPr>
            </w:pPr>
          </w:p>
        </w:tc>
        <w:tc>
          <w:tcPr>
            <w:tcW w:w="31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8"/>
                <w:szCs w:val="18"/>
                <w:b w:val="1"/>
                <w:bCs w:val="1"/>
                <w:color w:val="auto"/>
                <w:w w:val="97"/>
              </w:rPr>
              <w:t>Nine Months Ended September 30,</w:t>
            </w:r>
          </w:p>
        </w:tc>
        <w:tc>
          <w:tcPr>
            <w:tcW w:w="100" w:type="dxa"/>
            <w:vAlign w:val="bottom"/>
          </w:tcPr>
          <w:p>
            <w:pPr>
              <w:spacing w:after="0"/>
              <w:rPr>
                <w:sz w:val="20"/>
                <w:szCs w:val="20"/>
                <w:color w:val="auto"/>
              </w:rPr>
            </w:pPr>
          </w:p>
        </w:tc>
      </w:tr>
      <w:tr>
        <w:trPr>
          <w:trHeight w:val="209"/>
        </w:trPr>
        <w:tc>
          <w:tcPr>
            <w:tcW w:w="4680" w:type="dxa"/>
            <w:vAlign w:val="bottom"/>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92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72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168"/>
        </w:trPr>
        <w:tc>
          <w:tcPr>
            <w:tcW w:w="4680" w:type="dxa"/>
            <w:vAlign w:val="bottom"/>
            <w:tcBorders>
              <w:top w:val="single" w:sz="8" w:color="auto"/>
            </w:tcBorders>
          </w:tcPr>
          <w:p>
            <w:pPr>
              <w:ind w:left="200"/>
              <w:spacing w:after="0" w:line="168" w:lineRule="exact"/>
              <w:rPr>
                <w:sz w:val="20"/>
                <w:szCs w:val="20"/>
                <w:color w:val="auto"/>
              </w:rPr>
            </w:pPr>
            <w:r>
              <w:rPr>
                <w:rFonts w:ascii="Arial" w:cs="Arial" w:eastAsia="Arial" w:hAnsi="Arial"/>
                <w:sz w:val="18"/>
                <w:szCs w:val="18"/>
                <w:color w:val="auto"/>
                <w:w w:val="98"/>
              </w:rPr>
              <w:t>Stock options issued and outstanding under the Calhoun</w:t>
            </w:r>
          </w:p>
        </w:tc>
        <w:tc>
          <w:tcPr>
            <w:tcW w:w="1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680" w:type="dxa"/>
            <w:vAlign w:val="bottom"/>
          </w:tcPr>
          <w:p>
            <w:pPr>
              <w:ind w:left="200"/>
              <w:spacing w:after="0" w:line="189" w:lineRule="exact"/>
              <w:rPr>
                <w:sz w:val="20"/>
                <w:szCs w:val="20"/>
                <w:color w:val="auto"/>
              </w:rPr>
            </w:pPr>
            <w:r>
              <w:rPr>
                <w:rFonts w:ascii="Arial" w:cs="Arial" w:eastAsia="Arial" w:hAnsi="Arial"/>
                <w:sz w:val="18"/>
                <w:szCs w:val="18"/>
                <w:color w:val="auto"/>
              </w:rPr>
              <w:t>Vision, Inc. 2006 Stock Plan, Calhoun Vision, Inc. 2015</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680" w:type="dxa"/>
            <w:vAlign w:val="bottom"/>
          </w:tcPr>
          <w:p>
            <w:pPr>
              <w:ind w:left="200"/>
              <w:spacing w:after="0"/>
              <w:rPr>
                <w:sz w:val="20"/>
                <w:szCs w:val="20"/>
                <w:color w:val="auto"/>
              </w:rPr>
            </w:pPr>
            <w:r>
              <w:rPr>
                <w:rFonts w:ascii="Arial" w:cs="Arial" w:eastAsia="Arial" w:hAnsi="Arial"/>
                <w:sz w:val="18"/>
                <w:szCs w:val="18"/>
                <w:color w:val="auto"/>
                <w:w w:val="98"/>
              </w:rPr>
              <w:t>Equity Incentive Plan and the 2021 Equity Incentive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1,894,845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5,046,965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1,947,260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4,565,932</w:t>
            </w:r>
          </w:p>
        </w:tc>
        <w:tc>
          <w:tcPr>
            <w:tcW w:w="100" w:type="dxa"/>
            <w:vAlign w:val="bottom"/>
          </w:tcPr>
          <w:p>
            <w:pPr>
              <w:spacing w:after="0"/>
              <w:rPr>
                <w:sz w:val="20"/>
                <w:szCs w:val="20"/>
                <w:color w:val="auto"/>
              </w:rPr>
            </w:pPr>
          </w:p>
        </w:tc>
      </w:tr>
      <w:tr>
        <w:trPr>
          <w:trHeight w:val="216"/>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stock units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546,908</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232,805</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567,203</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78,455</w:t>
            </w:r>
          </w:p>
        </w:tc>
        <w:tc>
          <w:tcPr>
            <w:tcW w:w="100" w:type="dxa"/>
            <w:vAlign w:val="bottom"/>
            <w:shd w:val="clear" w:color="auto" w:fill="CFF0FC"/>
          </w:tcPr>
          <w:p>
            <w:pPr>
              <w:spacing w:after="0"/>
              <w:rPr>
                <w:sz w:val="18"/>
                <w:szCs w:val="18"/>
                <w:color w:val="auto"/>
              </w:rPr>
            </w:pPr>
          </w:p>
        </w:tc>
      </w:tr>
      <w:tr>
        <w:trPr>
          <w:trHeight w:val="174"/>
        </w:trPr>
        <w:tc>
          <w:tcPr>
            <w:tcW w:w="4680" w:type="dxa"/>
            <w:vAlign w:val="bottom"/>
          </w:tcPr>
          <w:p>
            <w:pPr>
              <w:ind w:left="200"/>
              <w:spacing w:after="0" w:line="175" w:lineRule="exact"/>
              <w:rPr>
                <w:sz w:val="20"/>
                <w:szCs w:val="20"/>
                <w:color w:val="auto"/>
              </w:rPr>
            </w:pPr>
            <w:r>
              <w:rPr>
                <w:rFonts w:ascii="Arial" w:cs="Arial" w:eastAsia="Arial" w:hAnsi="Arial"/>
                <w:sz w:val="18"/>
                <w:szCs w:val="18"/>
                <w:color w:val="auto"/>
                <w:w w:val="95"/>
              </w:rPr>
              <w:t>Stock issuable in offering period under the 2021 Employee</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2"/>
        </w:trPr>
        <w:tc>
          <w:tcPr>
            <w:tcW w:w="4680" w:type="dxa"/>
            <w:vAlign w:val="bottom"/>
          </w:tcPr>
          <w:p>
            <w:pPr>
              <w:ind w:left="200"/>
              <w:spacing w:after="0"/>
              <w:rPr>
                <w:sz w:val="20"/>
                <w:szCs w:val="20"/>
                <w:color w:val="auto"/>
              </w:rPr>
            </w:pPr>
            <w:r>
              <w:rPr>
                <w:rFonts w:ascii="Arial" w:cs="Arial" w:eastAsia="Arial" w:hAnsi="Arial"/>
                <w:sz w:val="18"/>
                <w:szCs w:val="18"/>
                <w:color w:val="auto"/>
              </w:rPr>
              <w:t>Stock 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50,250</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48,448</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30" w:lineRule="exact"/>
        <w:rPr>
          <w:sz w:val="20"/>
          <w:szCs w:val="20"/>
          <w:color w:val="auto"/>
        </w:rPr>
      </w:pPr>
    </w:p>
    <w:p>
      <w:pPr>
        <w:jc w:val="both"/>
        <w:ind w:right="80" w:firstLine="374"/>
        <w:spacing w:after="0" w:line="247" w:lineRule="auto"/>
        <w:rPr>
          <w:sz w:val="20"/>
          <w:szCs w:val="20"/>
          <w:color w:val="auto"/>
        </w:rPr>
      </w:pPr>
      <w:r>
        <w:rPr>
          <w:rFonts w:ascii="Arial" w:cs="Arial" w:eastAsia="Arial" w:hAnsi="Arial"/>
          <w:sz w:val="18"/>
          <w:szCs w:val="18"/>
          <w:color w:val="auto"/>
        </w:rPr>
        <w:t>The Company’s revenue is generated from the sale of LALs used in cataract surgery along with a specifically designed machine for delivering light to the eye, the LDD, to adjust the lens post-surgery, as needed. Revenue is recognized from sales of products in the U.S. and Europe. Customers are primarily comprised of ambulatory surgery centers, hospitals, and physician private practices.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5" w:name="page16"/>
    <w:bookmarkEnd w:id="15"/>
    <w:p>
      <w:pPr>
        <w:ind w:right="40" w:firstLine="374"/>
        <w:spacing w:after="0" w:line="276" w:lineRule="auto"/>
        <w:rPr>
          <w:sz w:val="20"/>
          <w:szCs w:val="20"/>
          <w:color w:val="auto"/>
        </w:rPr>
      </w:pPr>
      <w:r>
        <w:rPr>
          <w:rFonts w:ascii="Arial" w:cs="Arial" w:eastAsia="Arial" w:hAnsi="Arial"/>
          <w:sz w:val="16"/>
          <w:szCs w:val="16"/>
          <w:color w:val="auto"/>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w:t>
      </w:r>
    </w:p>
    <w:p>
      <w:pPr>
        <w:spacing w:after="0" w:line="2" w:lineRule="exact"/>
        <w:rPr>
          <w:sz w:val="20"/>
          <w:szCs w:val="20"/>
          <w:color w:val="auto"/>
        </w:rPr>
      </w:pPr>
    </w:p>
    <w:p>
      <w:pPr>
        <w:ind w:firstLine="8"/>
        <w:spacing w:after="0" w:line="257" w:lineRule="auto"/>
        <w:tabs>
          <w:tab w:leader="none" w:pos="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109" w:lineRule="exact"/>
        <w:rPr>
          <w:sz w:val="20"/>
          <w:szCs w:val="20"/>
          <w:color w:val="auto"/>
        </w:rPr>
      </w:pPr>
    </w:p>
    <w:p>
      <w:pPr>
        <w:ind w:right="20" w:firstLine="374"/>
        <w:spacing w:after="0" w:line="273" w:lineRule="auto"/>
        <w:rPr>
          <w:sz w:val="20"/>
          <w:szCs w:val="20"/>
          <w:color w:val="auto"/>
        </w:rPr>
      </w:pPr>
      <w:r>
        <w:rPr>
          <w:rFonts w:ascii="Arial" w:cs="Arial" w:eastAsia="Arial" w:hAnsi="Arial"/>
          <w:sz w:val="16"/>
          <w:szCs w:val="16"/>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96" w:lineRule="exact"/>
        <w:rPr>
          <w:sz w:val="20"/>
          <w:szCs w:val="20"/>
          <w:color w:val="auto"/>
        </w:rPr>
      </w:pPr>
    </w:p>
    <w:p>
      <w:pPr>
        <w:ind w:right="300" w:firstLine="374"/>
        <w:spacing w:after="0" w:line="247" w:lineRule="auto"/>
        <w:rPr>
          <w:sz w:val="20"/>
          <w:szCs w:val="20"/>
          <w:color w:val="auto"/>
        </w:rPr>
      </w:pPr>
      <w:r>
        <w:rPr>
          <w:rFonts w:ascii="Arial" w:cs="Arial" w:eastAsia="Arial" w:hAnsi="Arial"/>
          <w:sz w:val="18"/>
          <w:szCs w:val="18"/>
          <w:color w:val="auto"/>
        </w:rPr>
        <w:t>LALs are generally held at customer sites on consignment. The single performance obligation is satisfied, and revenue from sales is recognized for LALs upon customer notification that the LALs have been implanted in a patient. For the three and nine months ended September 30, 2022 and 2021, credits related to returns and rebates on list prices were not significant.</w:t>
      </w:r>
    </w:p>
    <w:p>
      <w:pPr>
        <w:spacing w:after="0" w:line="116"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The Company adopted the practical expedient permitting the direct expensing of costs incurred to obtain contracts where the amortization of such costs would occur over one year or less, and it applied to substantially all the Company’s contracts.</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6" w:name="page17"/>
    <w:bookmarkEnd w:id="16"/>
    <w:p>
      <w:pPr>
        <w:ind w:left="380"/>
        <w:spacing w:after="0"/>
        <w:rPr>
          <w:sz w:val="20"/>
          <w:szCs w:val="20"/>
          <w:color w:val="auto"/>
        </w:rPr>
      </w:pPr>
      <w:r>
        <w:rPr>
          <w:rFonts w:ascii="Arial" w:cs="Arial" w:eastAsia="Arial" w:hAnsi="Arial"/>
          <w:sz w:val="16"/>
          <w:szCs w:val="16"/>
          <w:color w:val="auto"/>
        </w:rPr>
        <w:t>For the three and nine months ended September 30, 2022 and 2021, revenue from contracts with customers consisted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8"/>
              </w:rPr>
              <w:t>Three Months Ended September 30,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 September 30,</w:t>
            </w:r>
          </w:p>
        </w:tc>
        <w:tc>
          <w:tcPr>
            <w:tcW w:w="100" w:type="dxa"/>
            <w:vAlign w:val="bottom"/>
          </w:tcPr>
          <w:p>
            <w:pPr>
              <w:spacing w:after="0"/>
              <w:rPr>
                <w:sz w:val="20"/>
                <w:szCs w:val="20"/>
                <w:color w:val="auto"/>
              </w:rPr>
            </w:pPr>
          </w:p>
        </w:tc>
      </w:tr>
      <w:tr>
        <w:trPr>
          <w:trHeight w:val="209"/>
        </w:trPr>
        <w:tc>
          <w:tcPr>
            <w:tcW w:w="40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LDD (including training)</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5,688</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15,941</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LAL</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6,526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15,979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5"/>
              </w:rPr>
              <w:t>Service warranty, service contracts, and accessories</w:t>
            </w:r>
          </w:p>
        </w:tc>
        <w:tc>
          <w:tcPr>
            <w:tcW w:w="10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4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12,615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5,786</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32,917</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-170815</wp:posOffset>
            </wp:positionV>
            <wp:extent cx="7683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-170815</wp:posOffset>
            </wp:positionV>
            <wp:extent cx="7683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-170815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September 30, 2022 and December 31, 2021, the Company recognized contract liabilities on its condensed consolidated balance sheets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$1,041,000 and $540,000 respectively, related to the service agreement performance obligation. Revenue for service agreements is recognized ratably over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term of each contract.</w:t>
      </w:r>
    </w:p>
    <w:p>
      <w:pPr>
        <w:spacing w:after="0" w:line="128" w:lineRule="exact"/>
        <w:rPr>
          <w:sz w:val="20"/>
          <w:szCs w:val="20"/>
          <w:color w:val="auto"/>
        </w:rPr>
      </w:pPr>
    </w:p>
    <w:p>
      <w:pPr>
        <w:ind w:right="380" w:firstLine="374"/>
        <w:spacing w:after="0" w:line="261" w:lineRule="auto"/>
        <w:rPr>
          <w:sz w:val="20"/>
          <w:szCs w:val="20"/>
          <w:color w:val="auto"/>
        </w:rPr>
      </w:pPr>
      <w:r>
        <w:rPr>
          <w:rFonts w:ascii="Arial" w:cs="Arial" w:eastAsia="Arial" w:hAnsi="Arial"/>
          <w:sz w:val="18"/>
          <w:szCs w:val="18"/>
          <w:color w:val="auto"/>
        </w:rPr>
        <w:t>The following table represents the contract liabilities from sales activity for the nine months ended September 30, 2022 and 2021, respectively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43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40" w:type="dxa"/>
            <w:vAlign w:val="bottom"/>
          </w:tcPr>
          <w:p>
            <w:pPr>
              <w:spacing w:after="0"/>
              <w:rPr>
                <w:sz w:val="18"/>
                <w:szCs w:val="18"/>
                <w:color w:val="auto"/>
              </w:rPr>
            </w:pP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425"/>
        </w:trPr>
        <w:tc>
          <w:tcPr>
            <w:tcW w:w="60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20" w:type="dxa"/>
            <w:vAlign w:val="bottom"/>
          </w:tcPr>
          <w:p>
            <w:pPr>
              <w:jc w:val="right"/>
              <w:ind w:right="16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24"/>
                <w:szCs w:val="24"/>
                <w:color w:val="auto"/>
              </w:rPr>
            </w:pP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4"/>
                <w:szCs w:val="24"/>
                <w:color w:val="auto"/>
              </w:rPr>
            </w:pPr>
          </w:p>
        </w:tc>
      </w:tr>
      <w:tr>
        <w:trPr>
          <w:trHeight w:val="216"/>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Additions during the period</w:t>
            </w:r>
          </w:p>
        </w:tc>
        <w:tc>
          <w:tcPr>
            <w:tcW w:w="18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Revenue recognized during the period</w:t>
            </w:r>
          </w:p>
        </w:tc>
        <w:tc>
          <w:tcPr>
            <w:tcW w:w="18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(916 )</w:t>
            </w:r>
          </w:p>
        </w:tc>
        <w:tc>
          <w:tcPr>
            <w:tcW w:w="14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(402 )</w:t>
            </w:r>
          </w:p>
        </w:tc>
      </w:tr>
      <w:tr>
        <w:trPr>
          <w:trHeight w:val="249"/>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1820" w:type="dxa"/>
            <w:vAlign w:val="bottom"/>
            <w:tcBorders>
              <w:top w:val="single" w:sz="8" w:color="auto"/>
              <w:bottom w:val="single" w:sz="8" w:color="auto"/>
            </w:tcBorders>
            <w:shd w:val="clear" w:color="auto" w:fill="CFF0FC"/>
          </w:tcPr>
          <w:p>
            <w:pPr>
              <w:jc w:val="right"/>
              <w:ind w:right="16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3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ind w:right="100" w:firstLine="374"/>
        <w:spacing w:after="0" w:line="277" w:lineRule="auto"/>
        <w:rPr>
          <w:sz w:val="20"/>
          <w:szCs w:val="20"/>
          <w:color w:val="auto"/>
        </w:rPr>
      </w:pPr>
      <w:r>
        <w:rPr>
          <w:rFonts w:ascii="Arial" w:cs="Arial" w:eastAsia="Arial" w:hAnsi="Arial"/>
          <w:sz w:val="17"/>
          <w:szCs w:val="17"/>
          <w:color w:val="auto"/>
        </w:rPr>
        <w:t>For the three and nine months ended September 30, 2022, the Company had no customers who individually accounted for more than 10% of revenue. For the three months ended September 30, 2021, the Company had one customer who individually accounted for approximately 11% of revenue. For the nine months ended September 30, 2021, the Company had no customer who individually accounted for 10% or more of revenue.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three stock-based incentive compensation plans, the Calhoun Vision, Inc. 2006 Stock Plan (“2006 Plan”), the Calhoun Vision, Inc.</w:t>
      </w:r>
    </w:p>
    <w:p>
      <w:pPr>
        <w:spacing w:after="0" w:line="3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2015 Equity Incentive Plan (“2015 Plan”), and the 2021 Equity Incentive Plan (“2021 Plan”), which are collectively referred to as the (“Equity Plans”). The Company also has an employee stock purchase plan, the 2021 Employee Stock Purchase Plan (“2021 ESPP”).</w:t>
      </w:r>
    </w:p>
    <w:p>
      <w:pPr>
        <w:spacing w:after="0" w:line="105" w:lineRule="exact"/>
        <w:rPr>
          <w:sz w:val="20"/>
          <w:szCs w:val="20"/>
          <w:color w:val="auto"/>
        </w:rPr>
      </w:pPr>
    </w:p>
    <w:p>
      <w:pPr>
        <w:ind w:right="180" w:firstLine="374"/>
        <w:spacing w:after="0" w:line="247" w:lineRule="auto"/>
        <w:rPr>
          <w:sz w:val="20"/>
          <w:szCs w:val="20"/>
          <w:color w:val="auto"/>
        </w:rPr>
      </w:pPr>
      <w:r>
        <w:rPr>
          <w:rFonts w:ascii="Arial" w:cs="Arial" w:eastAsia="Arial" w:hAnsi="Arial"/>
          <w:sz w:val="18"/>
          <w:szCs w:val="18"/>
          <w:color w:val="auto"/>
        </w:rPr>
        <w:t>The purpose of the 2021 Plan and 2021 ESPP is to provide a means by which eligible participants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116" w:lineRule="exact"/>
        <w:rPr>
          <w:sz w:val="20"/>
          <w:szCs w:val="20"/>
          <w:color w:val="auto"/>
        </w:rPr>
      </w:pPr>
    </w:p>
    <w:p>
      <w:pPr>
        <w:ind w:right="100" w:firstLine="374"/>
        <w:spacing w:after="0" w:line="248" w:lineRule="auto"/>
        <w:rPr>
          <w:sz w:val="20"/>
          <w:szCs w:val="20"/>
          <w:color w:val="auto"/>
        </w:rPr>
      </w:pPr>
      <w:r>
        <w:rPr>
          <w:rFonts w:ascii="Arial" w:cs="Arial" w:eastAsia="Arial" w:hAnsi="Arial"/>
          <w:sz w:val="18"/>
          <w:szCs w:val="18"/>
          <w:color w:val="auto"/>
        </w:rPr>
        <w:t>Stock option awards are generally granted with an exercise price of no less than 100% of estimated fair market value on the date of grant. Time based awards generally vest over four years as follows, subject to the optionee’s continuing service, one fourth of the total number of shares vest and become exercisable on the one-year anniversary; 1/48th of the total number of shares subject to the option vest and become exercisable on each monthly anniversary thereafter for the remaining three years.</w:t>
      </w:r>
    </w:p>
    <w:p>
      <w:pPr>
        <w:spacing w:after="0" w:line="115" w:lineRule="exact"/>
        <w:rPr>
          <w:sz w:val="20"/>
          <w:szCs w:val="20"/>
          <w:color w:val="auto"/>
        </w:rPr>
      </w:pPr>
    </w:p>
    <w:p>
      <w:pPr>
        <w:ind w:right="160" w:firstLine="374"/>
        <w:spacing w:after="0" w:line="268" w:lineRule="auto"/>
        <w:rPr>
          <w:sz w:val="20"/>
          <w:szCs w:val="20"/>
          <w:color w:val="auto"/>
        </w:rPr>
      </w:pPr>
      <w:r>
        <w:rPr>
          <w:rFonts w:ascii="Arial" w:cs="Arial" w:eastAsia="Arial" w:hAnsi="Arial"/>
          <w:sz w:val="17"/>
          <w:szCs w:val="17"/>
          <w:color w:val="auto"/>
        </w:rPr>
        <w:t>Prior to the Company's shares being traded on the Nasdaq Global Market, the fair value of the Company’s common stock was determined by the Board at the time of each option grant by considering a number of objective and subjective factors.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7" w:name="page18"/>
    <w:bookmarkEnd w:id="17"/>
    <w:p>
      <w:pPr>
        <w:ind w:right="40"/>
        <w:spacing w:after="0" w:line="248" w:lineRule="auto"/>
        <w:rPr>
          <w:sz w:val="20"/>
          <w:szCs w:val="20"/>
          <w:color w:val="auto"/>
        </w:rPr>
      </w:pPr>
      <w:r>
        <w:rPr>
          <w:rFonts w:ascii="Arial" w:cs="Arial" w:eastAsia="Arial" w:hAnsi="Arial"/>
          <w:sz w:val="18"/>
          <w:szCs w:val="18"/>
          <w:color w:val="auto"/>
        </w:rPr>
        <w:t>Company’s common stock; (v) the Company’s operating results and financial condition, including the Company’s levels of available capital resources; (vi) equity market conditions affecting comparable public companies; (vii) general U.S. market conditions and (viii) the lack of marketability of the Company’s common stock. After completion of the Company’s IPO in July 2021, the fair value of common stock is based on the closing price of the Company’s common stock as reported on the Nasdaq Global Market.</w:t>
      </w:r>
    </w:p>
    <w:p>
      <w:pPr>
        <w:spacing w:after="0" w:line="115" w:lineRule="exact"/>
        <w:rPr>
          <w:sz w:val="20"/>
          <w:szCs w:val="20"/>
          <w:color w:val="auto"/>
        </w:rPr>
      </w:pPr>
    </w:p>
    <w:p>
      <w:pPr>
        <w:ind w:right="740" w:firstLine="374"/>
        <w:spacing w:after="0" w:line="341" w:lineRule="auto"/>
        <w:rPr>
          <w:sz w:val="20"/>
          <w:szCs w:val="20"/>
          <w:color w:val="auto"/>
        </w:rPr>
      </w:pPr>
      <w:r>
        <w:rPr>
          <w:rFonts w:ascii="Arial" w:cs="Arial" w:eastAsia="Arial" w:hAnsi="Arial"/>
          <w:sz w:val="16"/>
          <w:szCs w:val="16"/>
          <w:color w:val="auto"/>
        </w:rPr>
        <w:t>In determining the fair value of the stock options granted, the Company uses the Black-Scholes option-pricing model and requires the use of assumptions about a number of variables as discussed below. Each of these inputs is subjective and generally requires significant judgment.</w:t>
      </w:r>
    </w:p>
    <w:p>
      <w:pPr>
        <w:spacing w:after="0" w:line="111" w:lineRule="exact"/>
        <w:rPr>
          <w:sz w:val="20"/>
          <w:szCs w:val="20"/>
          <w:color w:val="auto"/>
        </w:rPr>
      </w:pPr>
    </w:p>
    <w:p>
      <w:pPr>
        <w:ind w:left="660" w:right="120"/>
        <w:spacing w:after="0" w:line="27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 to be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simplified method (based on the mid-point between the vesting date and the end of the contractual term) to determine the expected term.</w:t>
      </w:r>
    </w:p>
    <w:p>
      <w:pPr>
        <w:spacing w:after="0" w:line="195" w:lineRule="exact"/>
        <w:rPr>
          <w:sz w:val="20"/>
          <w:szCs w:val="20"/>
          <w:color w:val="auto"/>
        </w:rPr>
      </w:pPr>
    </w:p>
    <w:p>
      <w:pPr>
        <w:ind w:left="660" w:right="220"/>
        <w:spacing w:after="0" w:line="281"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—Prior to the completion of the Company</w:t>
      </w:r>
      <w:r>
        <w:rPr>
          <w:rFonts w:ascii="Arial" w:cs="Arial" w:eastAsia="Arial" w:hAnsi="Arial"/>
          <w:sz w:val="20"/>
          <w:szCs w:val="20"/>
          <w:color w:val="auto"/>
        </w:rPr>
        <w:t>’</w:t>
      </w:r>
      <w:r>
        <w:rPr>
          <w:rFonts w:ascii="Arial" w:cs="Arial" w:eastAsia="Arial" w:hAnsi="Arial"/>
          <w:sz w:val="17"/>
          <w:szCs w:val="17"/>
          <w:color w:val="auto"/>
        </w:rPr>
        <w:t>s IPO, when the Company was privately held and did not have any trading history</w:t>
      </w:r>
      <w:r>
        <w:rPr>
          <w:rFonts w:ascii="Arial" w:cs="Arial" w:eastAsia="Arial" w:hAnsi="Arial"/>
          <w:sz w:val="17"/>
          <w:szCs w:val="17"/>
          <w:i w:val="1"/>
          <w:iCs w:val="1"/>
          <w:color w:val="auto"/>
        </w:rPr>
        <w:t xml:space="preserve"> </w:t>
      </w:r>
      <w:r>
        <w:rPr>
          <w:rFonts w:ascii="Arial" w:cs="Arial" w:eastAsia="Arial" w:hAnsi="Arial"/>
          <w:sz w:val="17"/>
          <w:szCs w:val="17"/>
          <w:color w:val="auto"/>
        </w:rPr>
        <w:t>for its common stock, the expected volatility was estimated based on the average historical volatilities for comparable publicly traded medical device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184" w:lineRule="exact"/>
        <w:rPr>
          <w:sz w:val="20"/>
          <w:szCs w:val="20"/>
          <w:color w:val="auto"/>
        </w:rPr>
      </w:pPr>
    </w:p>
    <w:p>
      <w:pPr>
        <w:ind w:left="640" w:right="80"/>
        <w:spacing w:after="0" w:line="290"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used is based on the published U.S. Department of Treasury interest rates in effect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grant for zero coupon U.S. Treasury notes with maturities approximating each grant’s expected term.</w:t>
      </w:r>
    </w:p>
    <w:p>
      <w:pPr>
        <w:spacing w:after="0" w:line="161" w:lineRule="exact"/>
        <w:rPr>
          <w:sz w:val="20"/>
          <w:szCs w:val="20"/>
          <w:color w:val="auto"/>
        </w:rPr>
      </w:pPr>
    </w:p>
    <w:p>
      <w:pPr>
        <w:ind w:left="640" w:right="100"/>
        <w:spacing w:after="0" w:line="261"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an expected dividend yield of zero.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ind w:right="60" w:firstLine="374"/>
        <w:spacing w:after="0" w:line="247"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ASUs not listed below were assessed and determined not to be applicable or are expected to have minimal impact on the Company’s consolidated financial statements.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In June 2020, the FASB issued ASU No. 2020-06, </w:t>
      </w:r>
      <w:r>
        <w:rPr>
          <w:rFonts w:ascii="Arial" w:cs="Arial" w:eastAsia="Arial" w:hAnsi="Arial"/>
          <w:sz w:val="17"/>
          <w:szCs w:val="17"/>
          <w:i w:val="1"/>
          <w:iCs w:val="1"/>
          <w:color w:val="auto"/>
        </w:rPr>
        <w:t>“Debt with Conversion and Other Options (Subtopic 470-20) and Derivatives and Hedging —</w:t>
      </w:r>
    </w:p>
    <w:p>
      <w:pPr>
        <w:spacing w:after="0" w:line="35" w:lineRule="exact"/>
        <w:rPr>
          <w:sz w:val="20"/>
          <w:szCs w:val="20"/>
          <w:color w:val="auto"/>
        </w:rPr>
      </w:pPr>
    </w:p>
    <w:p>
      <w:pPr>
        <w:spacing w:after="0" w:line="256" w:lineRule="auto"/>
        <w:rPr>
          <w:sz w:val="20"/>
          <w:szCs w:val="20"/>
          <w:color w:val="auto"/>
        </w:rPr>
      </w:pPr>
      <w:r>
        <w:rPr>
          <w:rFonts w:ascii="Arial" w:cs="Arial" w:eastAsia="Arial" w:hAnsi="Arial"/>
          <w:sz w:val="17"/>
          <w:szCs w:val="17"/>
          <w:i w:val="1"/>
          <w:iCs w:val="1"/>
          <w:color w:val="auto"/>
        </w:rPr>
        <w:t>Contracts in Entity’s Own Equity (Subtopic 815-40): Accounting for Convertible Instruments and Contracts in an Entity’s Own Equity,</w:t>
      </w:r>
      <w:r>
        <w:rPr>
          <w:rFonts w:ascii="Arial" w:cs="Arial" w:eastAsia="Arial" w:hAnsi="Arial"/>
          <w:sz w:val="17"/>
          <w:szCs w:val="17"/>
          <w:color w:val="auto"/>
        </w:rPr>
        <w:t>” (</w:t>
      </w:r>
      <w:r>
        <w:rPr>
          <w:rFonts w:ascii="Arial" w:cs="Arial" w:eastAsia="Arial" w:hAnsi="Arial"/>
          <w:sz w:val="17"/>
          <w:szCs w:val="17"/>
          <w:i w:val="1"/>
          <w:iCs w:val="1"/>
          <w:color w:val="auto"/>
        </w:rPr>
        <w:t>“</w:t>
      </w:r>
      <w:r>
        <w:rPr>
          <w:rFonts w:ascii="Arial" w:cs="Arial" w:eastAsia="Arial" w:hAnsi="Arial"/>
          <w:sz w:val="17"/>
          <w:szCs w:val="17"/>
          <w:color w:val="auto"/>
        </w:rPr>
        <w:t>ASU No. 2020-06”) which is intended to simplify the accounting for convertible instruments. This new guidance eliminates certain models that require 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The Company adopted ASU 2020-06 effective January 1, 2022 using the modified retrospective method and the adoption did not have a material impact on the Company’s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jc w:val="both"/>
        <w:ind w:firstLine="374"/>
        <w:spacing w:after="0" w:line="302"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18" w:name="page19"/>
    <w:bookmarkEnd w:id="18"/>
    <w:p>
      <w:pPr>
        <w:ind w:right="640"/>
        <w:spacing w:after="0" w:line="277" w:lineRule="auto"/>
        <w:rPr>
          <w:sz w:val="20"/>
          <w:szCs w:val="20"/>
          <w:color w:val="auto"/>
        </w:rPr>
      </w:pPr>
      <w:r>
        <w:rPr>
          <w:rFonts w:ascii="Arial" w:cs="Arial" w:eastAsia="Arial" w:hAnsi="Arial"/>
          <w:sz w:val="18"/>
          <w:szCs w:val="18"/>
          <w:color w:val="auto"/>
        </w:rPr>
        <w:t>revised accounting standards on the relevant effective dates on which adoption of such standards is required for other public companies that are not emerging growth companies.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Short-Term Investments</w:t>
      </w:r>
    </w:p>
    <w:p>
      <w:pPr>
        <w:spacing w:after="0" w:line="107"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Short-term investments consist of U.S. Treasury bills and are available-for-sale. The following tables show the Company's short-term investments as of September 30, 2022 and December 31, 2021 (in thousands):</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As of September 30, 2022</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r>
      <w:tr>
        <w:trPr>
          <w:trHeight w:val="209"/>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Amortized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3"/>
          </w:tcPr>
          <w:p>
            <w:pPr>
              <w:ind w:left="180"/>
              <w:spacing w:after="0"/>
              <w:rPr>
                <w:sz w:val="20"/>
                <w:szCs w:val="20"/>
                <w:color w:val="auto"/>
              </w:rPr>
            </w:pPr>
            <w:r>
              <w:rPr>
                <w:rFonts w:ascii="Arial" w:cs="Arial" w:eastAsia="Arial" w:hAnsi="Arial"/>
                <w:sz w:val="18"/>
                <w:szCs w:val="18"/>
                <w:b w:val="1"/>
                <w:bCs w:val="1"/>
                <w:color w:val="auto"/>
              </w:rPr>
              <w:t>Unrealized Loss, Net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Estimated Fair Value</w:t>
            </w: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tcPr>
          <w:p>
            <w:pPr>
              <w:ind w:left="1860"/>
              <w:spacing w:after="0"/>
              <w:rPr>
                <w:sz w:val="20"/>
                <w:szCs w:val="20"/>
                <w:color w:val="auto"/>
              </w:rPr>
            </w:pPr>
            <w:r>
              <w:rPr>
                <w:rFonts w:ascii="Arial" w:cs="Arial" w:eastAsia="Arial" w:hAnsi="Arial"/>
                <w:sz w:val="18"/>
                <w:szCs w:val="18"/>
                <w:color w:val="auto"/>
                <w:w w:val="88"/>
              </w:rPr>
              <w:t>(104</w:t>
            </w:r>
          </w:p>
        </w:tc>
        <w:tc>
          <w:tcPr>
            <w:tcW w:w="260" w:type="dxa"/>
            <w:vAlign w:val="bottom"/>
            <w:gridSpan w:val="2"/>
          </w:tcPr>
          <w:p>
            <w:pPr>
              <w:jc w:val="right"/>
              <w:ind w:right="11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103,923</w:t>
            </w: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398"/>
        </w:trPr>
        <w:tc>
          <w:tcPr>
            <w:tcW w:w="3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As of December 31, 2021</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209"/>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Amortized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3"/>
          </w:tcPr>
          <w:p>
            <w:pPr>
              <w:ind w:left="140"/>
              <w:spacing w:after="0"/>
              <w:rPr>
                <w:sz w:val="20"/>
                <w:szCs w:val="20"/>
                <w:color w:val="auto"/>
              </w:rPr>
            </w:pPr>
            <w:r>
              <w:rPr>
                <w:rFonts w:ascii="Arial" w:cs="Arial" w:eastAsia="Arial" w:hAnsi="Arial"/>
                <w:sz w:val="18"/>
                <w:szCs w:val="18"/>
                <w:b w:val="1"/>
                <w:bCs w:val="1"/>
                <w:color w:val="auto"/>
              </w:rPr>
              <w:t>Unrealized Loss, Net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Estimated Fair Value</w:t>
            </w: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ind w:left="2080"/>
              <w:spacing w:after="0"/>
              <w:rPr>
                <w:sz w:val="20"/>
                <w:szCs w:val="20"/>
                <w:color w:val="auto"/>
              </w:rPr>
            </w:pPr>
            <w:r>
              <w:rPr>
                <w:rFonts w:ascii="Arial" w:cs="Arial" w:eastAsia="Arial" w:hAnsi="Arial"/>
                <w:sz w:val="18"/>
                <w:szCs w:val="18"/>
                <w:color w:val="auto"/>
                <w:w w:val="87"/>
              </w:rPr>
              <w:t>(9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134,971</w:t>
            </w:r>
          </w:p>
        </w:tc>
      </w:tr>
      <w:tr>
        <w:trPr>
          <w:trHeight w:val="20"/>
        </w:trPr>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20" w:firstLine="374"/>
        <w:spacing w:after="0" w:line="255" w:lineRule="auto"/>
        <w:rPr>
          <w:sz w:val="20"/>
          <w:szCs w:val="20"/>
          <w:color w:val="auto"/>
        </w:rPr>
      </w:pPr>
      <w:r>
        <w:rPr>
          <w:rFonts w:ascii="Arial" w:cs="Arial" w:eastAsia="Arial" w:hAnsi="Arial"/>
          <w:sz w:val="18"/>
          <w:szCs w:val="18"/>
          <w:color w:val="auto"/>
        </w:rPr>
        <w:t>All available-for-sale securities held as of September 30, 2022 and December 31, 2021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ind w:left="380"/>
              <w:spacing w:after="0"/>
              <w:rPr>
                <w:sz w:val="20"/>
                <w:szCs w:val="20"/>
                <w:color w:val="auto"/>
              </w:rPr>
            </w:pPr>
            <w:r>
              <w:rPr>
                <w:rFonts w:ascii="Arial" w:cs="Arial" w:eastAsia="Arial" w:hAnsi="Arial"/>
                <w:sz w:val="18"/>
                <w:szCs w:val="18"/>
                <w:color w:val="auto"/>
              </w:rPr>
              <w:t>Inventories consisted of the following (in thousands):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1"/>
        </w:trPr>
        <w:tc>
          <w:tcPr>
            <w:tcW w:w="7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24"/>
                <w:szCs w:val="2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reserve for excess and obsolete inventory</w:t>
            </w: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(414 )</w:t>
            </w:r>
          </w:p>
        </w:tc>
        <w:tc>
          <w:tcPr>
            <w:tcW w:w="2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(115 )</w:t>
            </w:r>
          </w:p>
        </w:tc>
      </w:tr>
      <w:tr>
        <w:trPr>
          <w:trHeight w:val="209"/>
        </w:trPr>
        <w:tc>
          <w:tcPr>
            <w:tcW w:w="75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15,336</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Borders>
              <w:top w:val="single" w:sz="8" w:color="CFF0FC"/>
            </w:tcBorders>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-453390</wp:posOffset>
            </wp:positionV>
            <wp:extent cx="6858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-170815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9"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At September 30, 2022 and December 31, 2021, finished goods included $2.6 million and $1.8 million of inventory held on consignment at customer sites,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21"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The table and disclosures below (in thousands) present the Company’s assets and liabilities measured at fair value on a recurring basis and indicate the fair value hierarchy of the valuation techniques utilized by the Company to determine such fair value.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rPr>
              <w:t>As of September 30, 2022</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II</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Money market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4,026</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103,923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200"/>
              <w:spacing w:after="0"/>
              <w:rPr>
                <w:sz w:val="20"/>
                <w:szCs w:val="20"/>
                <w:color w:val="auto"/>
              </w:rPr>
            </w:pPr>
            <w:r>
              <w:rPr>
                <w:rFonts w:ascii="Arial" w:cs="Arial" w:eastAsia="Arial" w:hAnsi="Arial"/>
                <w:sz w:val="18"/>
                <w:szCs w:val="18"/>
                <w:color w:val="auto"/>
              </w:rPr>
              <w:t>Total assets at fair value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4,026</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103,923</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-804545</wp:posOffset>
            </wp:positionV>
            <wp:extent cx="7683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-804545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-804545</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w w:val="87"/>
              </w:rPr>
              <w:t>As of December 31, 2021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I</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II</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Money market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21,390</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21,390</w:t>
            </w:r>
          </w:p>
        </w:tc>
        <w:tc>
          <w:tcPr>
            <w:tcW w:w="10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134,971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21,390</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134,971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156,361</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-170815</wp:posOffset>
            </wp:positionV>
            <wp:extent cx="7683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-170815</wp:posOffset>
            </wp:positionV>
            <wp:extent cx="6858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9" w:lineRule="exact"/>
        <w:rPr>
          <w:sz w:val="20"/>
          <w:szCs w:val="20"/>
          <w:color w:val="auto"/>
        </w:rPr>
      </w:pPr>
    </w:p>
    <w:p>
      <w:pPr>
        <w:ind w:right="900" w:firstLine="374"/>
        <w:spacing w:after="0" w:line="261" w:lineRule="auto"/>
        <w:rPr>
          <w:sz w:val="20"/>
          <w:szCs w:val="20"/>
          <w:color w:val="auto"/>
        </w:rPr>
      </w:pPr>
      <w:r>
        <w:rPr>
          <w:rFonts w:ascii="Arial" w:cs="Arial" w:eastAsia="Arial" w:hAnsi="Arial"/>
          <w:sz w:val="18"/>
          <w:szCs w:val="18"/>
          <w:color w:val="auto"/>
        </w:rPr>
        <w:t>The Series W warrant expired unexercised on March 31, 2021 and the remaining fair value of $5.0 million was recorded in the Condensed Consolidated Statement of Operations and Comprehensive Loss for the nine months ended September 30, 2021.</w:t>
      </w:r>
    </w:p>
    <w:p>
      <w:pPr>
        <w:spacing w:after="0" w:line="103" w:lineRule="exact"/>
        <w:rPr>
          <w:sz w:val="20"/>
          <w:szCs w:val="20"/>
          <w:color w:val="auto"/>
        </w:rPr>
      </w:pPr>
    </w:p>
    <w:p>
      <w:pPr>
        <w:ind w:firstLine="374"/>
        <w:spacing w:after="0" w:line="273" w:lineRule="auto"/>
        <w:rPr>
          <w:sz w:val="20"/>
          <w:szCs w:val="20"/>
          <w:color w:val="auto"/>
        </w:rPr>
      </w:pPr>
      <w:r>
        <w:rPr>
          <w:rFonts w:ascii="Arial" w:cs="Arial" w:eastAsia="Arial" w:hAnsi="Arial"/>
          <w:sz w:val="16"/>
          <w:szCs w:val="16"/>
          <w:color w:val="auto"/>
        </w:rPr>
        <w:t>The fair value of the preferred stock warrants was determined by management, with input and assistance from a third-party valuation specialist using a probability weighted expected return model/option pricing model (“PWERM/OPM”) hybrid valuation model. This method essentially utilizes a combination of market and income method approaches for each part of the calculation of enterprise value using assumptions and financial data prepared by the Company and combines them in a probabilistic manner. The valuation considered several future scenarios for the Company, each of which assumed a shareholder exit either through initial public offering, sale (“M&amp;A”) or dissolution. Based upon the current initial public offering market, M&amp;A values for private companies and the historical likelihood of dissolution or no exit, the Company concluded that the probabilities and time frames were reasonable. Implicit in the timing used in the application of the PWERM/OPM Hybrid Method is also the possibility of no exit. The option pricing model's significant unobservable inputs included: (1) the assumed time until a liquidity event, (2) the risk-free interest rate over the period until the assumed liquidity event, (3) the assumed volatility in the value of the equity of the company (which corresponds to the model's underlying asset volatility), (4) the enterprise value and 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 Upon completion of the Company's IPO in July 2021 all of the 14,376,272 issued and outstanding shares of Convertible Preferred Stock outstanding were converted to common stock and 225,945 warrants to purchase Series H convertible preferred stock were exercised and converted into 100,261 shares of common stock.</w:t>
      </w:r>
    </w:p>
    <w:p>
      <w:pPr>
        <w:spacing w:after="0" w:line="104" w:lineRule="exact"/>
        <w:rPr>
          <w:sz w:val="20"/>
          <w:szCs w:val="20"/>
          <w:color w:val="auto"/>
        </w:rPr>
      </w:pPr>
    </w:p>
    <w:p>
      <w:pPr>
        <w:ind w:right="460" w:firstLine="374"/>
        <w:spacing w:after="0" w:line="261" w:lineRule="auto"/>
        <w:rPr>
          <w:sz w:val="20"/>
          <w:szCs w:val="20"/>
          <w:color w:val="auto"/>
        </w:rPr>
      </w:pPr>
      <w:r>
        <w:rPr>
          <w:rFonts w:ascii="Arial" w:cs="Arial" w:eastAsia="Arial" w:hAnsi="Arial"/>
          <w:sz w:val="18"/>
          <w:szCs w:val="18"/>
          <w:color w:val="auto"/>
        </w:rPr>
        <w:t>The following table sets forth changes in the estimated fair values for the Company’s warrant liabilities measured using significant unobservable inputs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20" w:type="dxa"/>
            <w:vAlign w:val="bottom"/>
          </w:tcPr>
          <w:p>
            <w:pPr>
              <w:jc w:val="right"/>
              <w:ind w:right="130"/>
              <w:spacing w:after="0"/>
              <w:rPr>
                <w:sz w:val="20"/>
                <w:szCs w:val="20"/>
                <w:color w:val="auto"/>
              </w:rPr>
            </w:pPr>
            <w:r>
              <w:rPr>
                <w:rFonts w:ascii="Arial" w:cs="Arial" w:eastAsia="Arial" w:hAnsi="Arial"/>
                <w:sz w:val="18"/>
                <w:szCs w:val="18"/>
                <w:b w:val="1"/>
                <w:bCs w:val="1"/>
                <w:color w:val="auto"/>
              </w:rPr>
              <w:t>Nine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500" w:type="dxa"/>
            <w:vAlign w:val="bottom"/>
          </w:tcPr>
          <w:p>
            <w:pPr>
              <w:spacing w:after="0"/>
              <w:rPr>
                <w:sz w:val="20"/>
                <w:szCs w:val="20"/>
                <w:color w:val="auto"/>
              </w:rPr>
            </w:pPr>
          </w:p>
        </w:tc>
        <w:tc>
          <w:tcPr>
            <w:tcW w:w="242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 2022</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9"/>
              </w:rPr>
              <w:t>September 30, 2021</w:t>
            </w:r>
          </w:p>
        </w:tc>
      </w:tr>
      <w:tr>
        <w:trPr>
          <w:trHeight w:val="20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period</w:t>
            </w:r>
          </w:p>
        </w:tc>
        <w:tc>
          <w:tcPr>
            <w:tcW w:w="2420" w:type="dxa"/>
            <w:vAlign w:val="bottom"/>
            <w:tcBorders>
              <w:top w:val="single" w:sz="8" w:color="auto"/>
            </w:tcBorders>
            <w:shd w:val="clear" w:color="auto" w:fill="CFF0FC"/>
          </w:tcPr>
          <w:p>
            <w:pPr>
              <w:jc w:val="right"/>
              <w:ind w:right="22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8,846</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Exercise of preferred stock warrants</w:t>
            </w:r>
          </w:p>
        </w:tc>
        <w:tc>
          <w:tcPr>
            <w:tcW w:w="24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(1,111 )</w:t>
            </w: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Expiration of common stock warrant</w:t>
            </w:r>
          </w:p>
        </w:tc>
        <w:tc>
          <w:tcPr>
            <w:tcW w:w="2420" w:type="dxa"/>
            <w:vAlign w:val="bottom"/>
            <w:shd w:val="clear" w:color="auto" w:fill="CFF0FC"/>
          </w:tcPr>
          <w:p>
            <w:pPr>
              <w:spacing w:after="0"/>
              <w:rPr>
                <w:sz w:val="18"/>
                <w:szCs w:val="18"/>
                <w:color w:val="auto"/>
              </w:rPr>
            </w:pP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(5,018 )</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Change in fair value of preferred stock warrants</w:t>
            </w:r>
          </w:p>
        </w:tc>
        <w:tc>
          <w:tcPr>
            <w:tcW w:w="24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(2,717 )</w:t>
            </w:r>
          </w:p>
        </w:tc>
      </w:tr>
      <w:tr>
        <w:trPr>
          <w:trHeight w:val="24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 of period</w:t>
            </w:r>
          </w:p>
        </w:tc>
        <w:tc>
          <w:tcPr>
            <w:tcW w:w="2420" w:type="dxa"/>
            <w:vAlign w:val="bottom"/>
            <w:tcBorders>
              <w:top w:val="single" w:sz="8" w:color="auto"/>
              <w:bottom w:val="single" w:sz="8" w:color="auto"/>
            </w:tcBorders>
            <w:shd w:val="clear" w:color="auto" w:fill="CFF0FC"/>
          </w:tcPr>
          <w:p>
            <w:pPr>
              <w:jc w:val="right"/>
              <w:ind w:right="22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Term Loan</w:t>
      </w:r>
    </w:p>
    <w:p>
      <w:pPr>
        <w:spacing w:after="0" w:line="121" w:lineRule="exact"/>
        <w:rPr>
          <w:sz w:val="20"/>
          <w:szCs w:val="20"/>
          <w:color w:val="auto"/>
        </w:rPr>
      </w:pPr>
    </w:p>
    <w:p>
      <w:pPr>
        <w:ind w:right="220" w:firstLine="374"/>
        <w:spacing w:after="0" w:line="243" w:lineRule="auto"/>
        <w:rPr>
          <w:sz w:val="20"/>
          <w:szCs w:val="20"/>
          <w:color w:val="auto"/>
        </w:rPr>
      </w:pPr>
      <w:r>
        <w:rPr>
          <w:rFonts w:ascii="Arial" w:cs="Arial" w:eastAsia="Arial" w:hAnsi="Arial"/>
          <w:sz w:val="18"/>
          <w:szCs w:val="18"/>
          <w:color w:val="auto"/>
        </w:rPr>
        <w:t>In October 2020, the Company entered into a loan facility (“Term Loan”) with an initial draw of $25.0 million. Proceeds were used to help fund the Company’s ongoing operations. As part of the Term Loan, Oxford Finance LLC, (“Oxford Finance”) committed to providing further loans of up to $35.0 million to the Company at its election (or for one specific draw, upon the occurrence of a revenue milestone) during various draw periods in the future, provided the Company is not in default at the time of the additional loan draws. In March 2021, the Company drew an additional $5.0 million from the facility for the purpose of funding ongoing operations. In June 2021, the Company drew an additional $10.0 million from the facility for the purpose of funding ongoing operations.</w:t>
      </w:r>
    </w:p>
    <w:p>
      <w:pPr>
        <w:spacing w:after="0" w:line="118" w:lineRule="exact"/>
        <w:rPr>
          <w:sz w:val="20"/>
          <w:szCs w:val="20"/>
          <w:color w:val="auto"/>
        </w:rPr>
      </w:pPr>
    </w:p>
    <w:p>
      <w:pPr>
        <w:ind w:right="120" w:firstLine="374"/>
        <w:spacing w:after="0" w:line="302" w:lineRule="auto"/>
        <w:rPr>
          <w:sz w:val="20"/>
          <w:szCs w:val="20"/>
          <w:color w:val="auto"/>
        </w:rPr>
      </w:pPr>
      <w:r>
        <w:rPr>
          <w:rFonts w:ascii="Arial" w:cs="Arial" w:eastAsia="Arial" w:hAnsi="Arial"/>
          <w:sz w:val="16"/>
          <w:szCs w:val="16"/>
          <w:color w:val="auto"/>
        </w:rPr>
        <w:t>On May 3, 2022, the Company entered into a Second Amendment (“Second Amendment”) to the Term Loan (as amended through the Second Amendment, the (“Amended Term Loan”)). The Amended Term Loan increased the loan and security agreement to $60.0 million, of which $40.0 million was fully funded as of May 3, 2022 from the original term loan. Under the Amended Term Loan, the Company may borrow an additional amount of up to</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0" w:name="page21"/>
    <w:bookmarkEnd w:id="20"/>
    <w:p>
      <w:pPr>
        <w:ind w:right="120"/>
        <w:spacing w:after="0" w:line="279" w:lineRule="auto"/>
        <w:rPr>
          <w:sz w:val="20"/>
          <w:szCs w:val="20"/>
          <w:color w:val="auto"/>
        </w:rPr>
      </w:pPr>
      <w:r>
        <w:rPr>
          <w:rFonts w:ascii="Arial" w:cs="Arial" w:eastAsia="Arial" w:hAnsi="Arial"/>
          <w:sz w:val="16"/>
          <w:szCs w:val="16"/>
          <w:color w:val="auto"/>
        </w:rPr>
        <w:t>$10.0 million through June 30, 2023, upon satisfaction of the applicable drawdown conditions and achieves sufficient trailing twelve-month sales as provided in the agreement for the measurement period ending March 31, 2023. Subject to the terms and conditions of the Amended Term Loan, the Company may also borrow an additional amount of up to $10.0 million through September 30, 2023, upon satisfaction of the applicable drawdown conditions and achieves sufficient trailing twelve-month sales as provided in the agreement for the measurement period ending June 30, 2023. The Amended Term Loan bears interest at a rate per annum equal to the greater of (i) 9.25% or (ii) 1-Month Term Secured Overnight Financing Rate (“SOFR”) (or, if greater, 0.16%) plus an applicable margin of 9.09%. If there is an event of default under the Amended Term Loan additional interest of 5% applies. The Amended Term Loan extends the maturity date of the loan and security agreement, which was due to expire on October 1, 2025, to February 1, 2027. The Company refers to its $60.0 million Amended Term Loan as its credit facility. The Amended Term Loan was recorded as a debt modification.</w:t>
      </w:r>
    </w:p>
    <w:p>
      <w:pPr>
        <w:spacing w:after="0" w:line="82" w:lineRule="exact"/>
        <w:rPr>
          <w:sz w:val="20"/>
          <w:szCs w:val="20"/>
          <w:color w:val="auto"/>
        </w:rPr>
      </w:pPr>
    </w:p>
    <w:p>
      <w:pPr>
        <w:ind w:right="140" w:firstLine="374"/>
        <w:spacing w:after="0" w:line="267" w:lineRule="auto"/>
        <w:rPr>
          <w:sz w:val="20"/>
          <w:szCs w:val="20"/>
          <w:color w:val="auto"/>
        </w:rPr>
      </w:pPr>
      <w:r>
        <w:rPr>
          <w:rFonts w:ascii="Arial" w:cs="Arial" w:eastAsia="Arial" w:hAnsi="Arial"/>
          <w:sz w:val="17"/>
          <w:szCs w:val="17"/>
          <w:color w:val="auto"/>
        </w:rPr>
        <w:t>The Amended Term Loan is secured by substantially all of the Company's personal property other than its intellectual property, but includes any accounts receivable, other amounts owed and any proceeds of intellectual property. The Company also entered into a negative pledge arrangement with the collateral agent and lenders where the Company agreed not to encumber any of its intellectual property. The Amended Term Loan also includes certain customary representations and warranties, affirmative and negative covenants, and events of default, including a financial performance-to-plan covenant that requires the Company to achieve certain minimum net sales, measured on a trailing twelve-month basis.</w:t>
      </w:r>
    </w:p>
    <w:p>
      <w:pPr>
        <w:spacing w:after="0" w:line="99" w:lineRule="exact"/>
        <w:rPr>
          <w:sz w:val="20"/>
          <w:szCs w:val="20"/>
          <w:color w:val="auto"/>
        </w:rPr>
      </w:pPr>
    </w:p>
    <w:p>
      <w:pPr>
        <w:ind w:right="60" w:firstLine="374"/>
        <w:spacing w:after="0" w:line="256" w:lineRule="auto"/>
        <w:rPr>
          <w:sz w:val="20"/>
          <w:szCs w:val="20"/>
          <w:color w:val="auto"/>
        </w:rPr>
      </w:pPr>
      <w:r>
        <w:rPr>
          <w:rFonts w:ascii="Arial" w:cs="Arial" w:eastAsia="Arial" w:hAnsi="Arial"/>
          <w:sz w:val="17"/>
          <w:szCs w:val="17"/>
          <w:color w:val="auto"/>
        </w:rPr>
        <w:t>The Amended Term Loan requires 35 months of interest-only payments, followed by 22-months of principal and accrued interest payments. If the Company is in compliance with its performance-to-plan covenant through April 1, 2025 and has not provided an IP lien election notice before May 1, 2025, the interest-only period is extended by 12 months, and the amortization period is reduced to ten months. Payments are due on the first day of each month in arrears. All unpaid amounts under the Amended Term Loan mature on February 1, 2027. The Company may elect to prepay the loans under the credit facility at any time in full or in part; however, the Company may only elect to prepay the loans in part once, in an amount not less than $5.0 million. Any amounts prepaid may not be subsequently reborrowed. Under the Amended Term Loan, a final payment (“Final Payment”) will be due at the earlier of the maturity date, acceleration of the loans, or a voluntary or mandatory prepayment of the loans, in an amount equal to (a) if the Final Payment is due on or after January 1, 2022 through and including October 31, 2022, three percent (3.00%) of the original principal amount of the loans (or, in the case of a partial prepayment, the amount of principal to be prepaid), (b) if the Final Payment is due on or after November 1, 2022 through and including October 31, 2023, four percent (4.00%) of the original principal amount of the loans (or, in the case of a partial prepayment, the amount of principal to be prepaid) and (c) if the Final Payment is due on or after November 1, 2023, five percent (5.00%) of the original principal amount of the loans (or, in the case of a partial prepayment, the amount of principal to be prepaid). The Final Payment is being accreted to the carrying value of the debt as a debt premium and interest expense over the life of the loan using the effective interest method.</w:t>
      </w:r>
    </w:p>
    <w:p>
      <w:pPr>
        <w:spacing w:after="0" w:line="108" w:lineRule="exact"/>
        <w:rPr>
          <w:sz w:val="20"/>
          <w:szCs w:val="20"/>
          <w:color w:val="auto"/>
        </w:rPr>
      </w:pPr>
    </w:p>
    <w:p>
      <w:pPr>
        <w:ind w:right="180" w:firstLine="374"/>
        <w:spacing w:after="0" w:line="268" w:lineRule="auto"/>
        <w:rPr>
          <w:sz w:val="20"/>
          <w:szCs w:val="20"/>
          <w:color w:val="auto"/>
        </w:rPr>
      </w:pPr>
      <w:r>
        <w:rPr>
          <w:rFonts w:ascii="Arial" w:cs="Arial" w:eastAsia="Arial" w:hAnsi="Arial"/>
          <w:sz w:val="17"/>
          <w:szCs w:val="17"/>
          <w:color w:val="auto"/>
        </w:rPr>
        <w:t>The Company paid $0.1 million in loan amendment fees and other closing costs that are directly attributable to execution of the Amended Term Loan transaction. These issuance costs are recorded as a discount to the carrying amount of the debt and are being amortized, along with the unaccreted portion of the Final Payment and unamortized debt issuance costs from the original Term Loan, to interest expense over the expected term of the debt using the effective interest method. The loans may be accelerated by Oxford Finance in the event of default.</w:t>
      </w:r>
    </w:p>
    <w:p>
      <w:pPr>
        <w:spacing w:after="0" w:line="98" w:lineRule="exact"/>
        <w:rPr>
          <w:sz w:val="20"/>
          <w:szCs w:val="20"/>
          <w:color w:val="auto"/>
        </w:rPr>
      </w:pPr>
    </w:p>
    <w:p>
      <w:pPr>
        <w:ind w:right="720" w:firstLine="374"/>
        <w:spacing w:after="0" w:line="277" w:lineRule="auto"/>
        <w:rPr>
          <w:sz w:val="20"/>
          <w:szCs w:val="20"/>
          <w:color w:val="auto"/>
        </w:rPr>
      </w:pPr>
      <w:r>
        <w:rPr>
          <w:rFonts w:ascii="Arial" w:cs="Arial" w:eastAsia="Arial" w:hAnsi="Arial"/>
          <w:sz w:val="18"/>
          <w:szCs w:val="18"/>
          <w:color w:val="auto"/>
        </w:rPr>
        <w:t>As of September 30, 2022 and December 31, 2021, the Company was in compliance with all Amended Term Loan and Term Loan covenants, respectively.</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and nine months ended September 30, 2022 and 2021 the cash interest paid and effective interest rate on the Amended Term Loan and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Term Loan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27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5"/>
              </w:rPr>
              <w:t>For the Three Months Ended</w:t>
            </w:r>
          </w:p>
        </w:tc>
        <w:tc>
          <w:tcPr>
            <w:tcW w:w="268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w w:val="97"/>
              </w:rPr>
              <w:t>For the Nine Months Ended</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276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268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860" w:type="dxa"/>
            <w:vAlign w:val="bottom"/>
            <w:vMerge w:val="restart"/>
          </w:tcPr>
          <w:p>
            <w:pPr>
              <w:ind w:left="380"/>
              <w:spacing w:after="0"/>
              <w:rPr>
                <w:sz w:val="20"/>
                <w:szCs w:val="20"/>
                <w:color w:val="auto"/>
              </w:rPr>
            </w:pPr>
            <w:r>
              <w:rPr>
                <w:rFonts w:ascii="Arial" w:cs="Arial" w:eastAsia="Arial" w:hAnsi="Arial"/>
                <w:sz w:val="18"/>
                <w:szCs w:val="18"/>
                <w:color w:val="auto"/>
              </w:rPr>
              <w:t>Cash interest paid</w:t>
            </w: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9.87</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9.25</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80"/>
              <w:spacing w:after="0"/>
              <w:rPr>
                <w:sz w:val="20"/>
                <w:szCs w:val="20"/>
                <w:color w:val="auto"/>
              </w:rPr>
            </w:pPr>
            <w:r>
              <w:rPr>
                <w:rFonts w:ascii="Arial" w:cs="Arial" w:eastAsia="Arial" w:hAnsi="Arial"/>
                <w:sz w:val="18"/>
                <w:szCs w:val="18"/>
                <w:color w:val="auto"/>
              </w:rPr>
              <w:t>Effective interest rate</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12.66 %</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10.69 %</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11.63 %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10.97 %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5" w:right="279" w:bottom="1440" w:gutter="0" w:footer="0" w:header="0"/>
        </w:sectPr>
      </w:pPr>
    </w:p>
    <w:bookmarkStart w:id="21" w:name="page22"/>
    <w:bookmarkEnd w:id="21"/>
    <w:p>
      <w:pPr>
        <w:ind w:left="380"/>
        <w:spacing w:after="0"/>
        <w:rPr>
          <w:sz w:val="20"/>
          <w:szCs w:val="20"/>
          <w:color w:val="auto"/>
        </w:rPr>
      </w:pPr>
      <w:r>
        <w:rPr>
          <w:rFonts w:ascii="Arial" w:cs="Arial" w:eastAsia="Arial" w:hAnsi="Arial"/>
          <w:sz w:val="18"/>
          <w:szCs w:val="18"/>
          <w:color w:val="auto"/>
        </w:rPr>
        <w:t>As of September 30, 2022 future principal payments due under the Amended Term Loan were as follows (in thousands):</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0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2022 (remainder)</w:t>
            </w:r>
          </w:p>
        </w:tc>
        <w:tc>
          <w:tcPr>
            <w:tcW w:w="1600" w:type="dxa"/>
            <w:vAlign w:val="bottom"/>
            <w:tcBorders>
              <w:top w:val="single" w:sz="8" w:color="auto"/>
            </w:tcBorders>
            <w:shd w:val="clear" w:color="auto" w:fill="CFF0FC"/>
          </w:tcPr>
          <w:p>
            <w:pPr>
              <w:jc w:val="right"/>
              <w:ind w:right="14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Arial" w:cs="Arial" w:eastAsia="Arial" w:hAnsi="Arial"/>
                <w:sz w:val="18"/>
                <w:szCs w:val="18"/>
                <w:color w:val="auto"/>
              </w:rPr>
              <w:t>2023</w:t>
            </w:r>
          </w:p>
        </w:tc>
        <w:tc>
          <w:tcPr>
            <w:tcW w:w="16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2024</w:t>
            </w:r>
          </w:p>
        </w:tc>
        <w:tc>
          <w:tcPr>
            <w:tcW w:w="16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Arial" w:cs="Arial" w:eastAsia="Arial" w:hAnsi="Arial"/>
                <w:sz w:val="18"/>
                <w:szCs w:val="18"/>
                <w:color w:val="auto"/>
              </w:rPr>
              <w:t>2025</w:t>
            </w:r>
          </w:p>
        </w:tc>
        <w:tc>
          <w:tcPr>
            <w:tcW w:w="16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2026</w:t>
            </w:r>
          </w:p>
        </w:tc>
        <w:tc>
          <w:tcPr>
            <w:tcW w:w="16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21,818</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Arial" w:cs="Arial" w:eastAsia="Arial" w:hAnsi="Arial"/>
                <w:sz w:val="18"/>
                <w:szCs w:val="18"/>
                <w:color w:val="auto"/>
              </w:rPr>
              <w:t>2027</w:t>
            </w:r>
          </w:p>
        </w:tc>
        <w:tc>
          <w:tcPr>
            <w:tcW w:w="16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r>
      <w:tr>
        <w:trPr>
          <w:trHeight w:val="209"/>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Arial" w:cs="Arial" w:eastAsia="Arial" w:hAnsi="Arial"/>
                <w:sz w:val="18"/>
                <w:szCs w:val="18"/>
                <w:color w:val="auto"/>
              </w:rPr>
              <w:t>Plus: exit fee and unamortized issuance costs</w:t>
            </w:r>
          </w:p>
        </w:tc>
        <w:tc>
          <w:tcPr>
            <w:tcW w:w="16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49"/>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 net</w:t>
            </w:r>
          </w:p>
        </w:tc>
        <w:tc>
          <w:tcPr>
            <w:tcW w:w="1600" w:type="dxa"/>
            <w:vAlign w:val="bottom"/>
            <w:tcBorders>
              <w:bottom w:val="single" w:sz="8" w:color="auto"/>
            </w:tcBorders>
            <w:shd w:val="clear" w:color="auto" w:fill="CFF0FC"/>
          </w:tcPr>
          <w:p>
            <w:pPr>
              <w:jc w:val="right"/>
              <w:ind w:right="141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 Expense</w:t>
      </w:r>
    </w:p>
    <w:p>
      <w:pPr>
        <w:spacing w:after="0" w:line="161" w:lineRule="exact"/>
        <w:rPr>
          <w:sz w:val="20"/>
          <w:szCs w:val="20"/>
          <w:color w:val="auto"/>
        </w:rPr>
      </w:pPr>
    </w:p>
    <w:p>
      <w:pPr>
        <w:ind w:right="240" w:firstLine="374"/>
        <w:spacing w:after="0" w:line="261" w:lineRule="auto"/>
        <w:rPr>
          <w:sz w:val="20"/>
          <w:szCs w:val="20"/>
          <w:color w:val="auto"/>
        </w:rPr>
      </w:pPr>
      <w:r>
        <w:rPr>
          <w:rFonts w:ascii="Arial" w:cs="Arial" w:eastAsia="Arial" w:hAnsi="Arial"/>
          <w:sz w:val="18"/>
          <w:szCs w:val="18"/>
          <w:color w:val="auto"/>
        </w:rPr>
        <w:t>The Company has three stock-based incentive compensation plans collectively referred to as the Equity Plans. The Company also has an employee stock purchase plan, the 2021 ESPP.</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Plan</w:t>
      </w:r>
    </w:p>
    <w:p>
      <w:pPr>
        <w:spacing w:after="0" w:line="117" w:lineRule="exact"/>
        <w:rPr>
          <w:sz w:val="20"/>
          <w:szCs w:val="20"/>
          <w:color w:val="auto"/>
        </w:rPr>
      </w:pPr>
    </w:p>
    <w:p>
      <w:pPr>
        <w:ind w:right="280" w:firstLine="374"/>
        <w:spacing w:after="0" w:line="293" w:lineRule="auto"/>
        <w:rPr>
          <w:sz w:val="20"/>
          <w:szCs w:val="20"/>
          <w:color w:val="auto"/>
        </w:rPr>
      </w:pPr>
      <w:r>
        <w:rPr>
          <w:rFonts w:ascii="Arial" w:cs="Arial" w:eastAsia="Arial" w:hAnsi="Arial"/>
          <w:sz w:val="16"/>
          <w:szCs w:val="16"/>
          <w:color w:val="auto"/>
        </w:rPr>
        <w:t>The Company’s 2006 Stock Plan was originally adopted by the Board and approved by the Company’s stockholders in 2006. The Company’s 2006 Plan was terminated in 2015 in connection with the adoption of the Company’s 2015 Plan and as a result no new awards may be issued under the 2006 Plan. However, the 2006 Plan will continue to govern the terms and conditions of the outstanding awards previously granted under the 2006 Plan.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Plan</w:t>
      </w:r>
    </w:p>
    <w:p>
      <w:pPr>
        <w:spacing w:after="0" w:line="117" w:lineRule="exact"/>
        <w:rPr>
          <w:sz w:val="20"/>
          <w:szCs w:val="20"/>
          <w:color w:val="auto"/>
        </w:rPr>
      </w:pPr>
    </w:p>
    <w:p>
      <w:pPr>
        <w:ind w:right="160" w:firstLine="374"/>
        <w:spacing w:after="0" w:line="243" w:lineRule="auto"/>
        <w:rPr>
          <w:sz w:val="20"/>
          <w:szCs w:val="20"/>
          <w:color w:val="auto"/>
        </w:rPr>
      </w:pPr>
      <w:r>
        <w:rPr>
          <w:rFonts w:ascii="Arial" w:cs="Arial" w:eastAsia="Arial" w:hAnsi="Arial"/>
          <w:sz w:val="18"/>
          <w:szCs w:val="18"/>
          <w:color w:val="auto"/>
        </w:rPr>
        <w:t>The Company’s 2015 Plan was originally adopted by the Board and approved by the Company’s stockholders in 2015. The 2015 Plan was most recently amended in March 2021. In July 2021, upon completion of the IPO, the 2015 Plan terminated immediately prior to effectiveness of the 2021 Plan with respect to the grant of future awards. However, the 2015 Plan will continue to govern the terms and conditions of the outstanding awards previously granted under the 2015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Plan</w:t>
      </w:r>
    </w:p>
    <w:p>
      <w:pPr>
        <w:spacing w:after="0" w:line="117" w:lineRule="exact"/>
        <w:rPr>
          <w:sz w:val="20"/>
          <w:szCs w:val="20"/>
          <w:color w:val="auto"/>
        </w:rPr>
      </w:pPr>
    </w:p>
    <w:p>
      <w:pPr>
        <w:ind w:right="40" w:firstLine="374"/>
        <w:spacing w:after="0" w:line="277" w:lineRule="auto"/>
        <w:rPr>
          <w:sz w:val="20"/>
          <w:szCs w:val="20"/>
          <w:color w:val="auto"/>
        </w:rPr>
      </w:pPr>
      <w:r>
        <w:rPr>
          <w:rFonts w:ascii="Arial" w:cs="Arial" w:eastAsia="Arial" w:hAnsi="Arial"/>
          <w:sz w:val="16"/>
          <w:szCs w:val="16"/>
          <w:color w:val="auto"/>
        </w:rPr>
        <w:t>On July 28, 2021, the Company’s 2021 Plan was adopted and approved by the Board and stockholders and became effective. The 2021 Plan provides for the grant of incentive stock options to employees and any subsidiary corporations’ employees, and for the grant of nonstatutory stock options, stock appreciation rights, restricted stock, restricted stock units, or (“RSUs”), and performance awards to employees, directors, and consultants and subsidiary corporations’ employees and consultants. The number of shares of the Company’s common stock available for issuance under the 2021 Plan is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being equal to 4,569,530 shares of common stock.</w:t>
      </w:r>
    </w:p>
    <w:p>
      <w:pPr>
        <w:spacing w:after="0" w:line="95" w:lineRule="exact"/>
        <w:rPr>
          <w:sz w:val="20"/>
          <w:szCs w:val="20"/>
          <w:color w:val="auto"/>
        </w:rPr>
      </w:pPr>
    </w:p>
    <w:p>
      <w:pPr>
        <w:ind w:right="40" w:firstLine="374"/>
        <w:spacing w:after="0" w:line="245" w:lineRule="auto"/>
        <w:rPr>
          <w:sz w:val="20"/>
          <w:szCs w:val="20"/>
          <w:color w:val="auto"/>
        </w:rPr>
      </w:pPr>
      <w:r>
        <w:rPr>
          <w:rFonts w:ascii="Arial" w:cs="Arial" w:eastAsia="Arial" w:hAnsi="Arial"/>
          <w:sz w:val="18"/>
          <w:szCs w:val="18"/>
          <w:color w:val="auto"/>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 shares of the Company's common stock; (ii) 4% of the outstanding shares of common stock on the last day of the Company's immediately preceding fiscal year; or (iii) such lesser number of shares of the Company's common stock as the administrator may determine. The 2021 Plan is administered by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ESPP</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2" w:name="page23"/>
    <w:bookmarkEnd w:id="22"/>
    <w:p>
      <w:pPr>
        <w:ind w:right="80" w:firstLine="374"/>
        <w:spacing w:after="0" w:line="277" w:lineRule="auto"/>
        <w:rPr>
          <w:sz w:val="20"/>
          <w:szCs w:val="20"/>
          <w:color w:val="auto"/>
        </w:rPr>
      </w:pPr>
      <w:r>
        <w:rPr>
          <w:rFonts w:ascii="Arial" w:cs="Arial" w:eastAsia="Arial" w:hAnsi="Arial"/>
          <w:sz w:val="18"/>
          <w:szCs w:val="18"/>
          <w:color w:val="auto"/>
        </w:rPr>
        <w:t>On July 28, 2021, the Board and stockholders adopted and approved the Company’s 2021 ESPP. There are 711,643 shares of the Company’s common stock available for issuance under the 2021 ESPP as of September 30, 2022.</w:t>
      </w:r>
    </w:p>
    <w:p>
      <w:pPr>
        <w:spacing w:after="0" w:line="89" w:lineRule="exact"/>
        <w:rPr>
          <w:sz w:val="20"/>
          <w:szCs w:val="20"/>
          <w:color w:val="auto"/>
        </w:rPr>
      </w:pPr>
    </w:p>
    <w:p>
      <w:pPr>
        <w:ind w:right="180" w:firstLine="374"/>
        <w:spacing w:after="0" w:line="248" w:lineRule="auto"/>
        <w:rPr>
          <w:sz w:val="20"/>
          <w:szCs w:val="20"/>
          <w:color w:val="auto"/>
        </w:rPr>
      </w:pPr>
      <w:r>
        <w:rPr>
          <w:rFonts w:ascii="Arial" w:cs="Arial" w:eastAsia="Arial" w:hAnsi="Arial"/>
          <w:sz w:val="18"/>
          <w:szCs w:val="18"/>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The initial purchase period began on November 1, 2021.</w:t>
      </w:r>
    </w:p>
    <w:p>
      <w:pPr>
        <w:spacing w:after="0" w:line="115" w:lineRule="exact"/>
        <w:rPr>
          <w:sz w:val="20"/>
          <w:szCs w:val="20"/>
          <w:color w:val="auto"/>
        </w:rPr>
      </w:pPr>
    </w:p>
    <w:p>
      <w:pPr>
        <w:jc w:val="both"/>
        <w:ind w:right="80" w:firstLine="374"/>
        <w:spacing w:after="0" w:line="243" w:lineRule="auto"/>
        <w:rPr>
          <w:sz w:val="20"/>
          <w:szCs w:val="20"/>
          <w:color w:val="auto"/>
        </w:rPr>
      </w:pPr>
      <w:r>
        <w:rPr>
          <w:rFonts w:ascii="Arial" w:cs="Arial" w:eastAsia="Arial" w:hAnsi="Arial"/>
          <w:sz w:val="18"/>
          <w:szCs w:val="18"/>
          <w:color w:val="auto"/>
        </w:rPr>
        <w:t>The number of common shares reserved for issuance under the 2021 ESPP are increased automatically on the first day of each fiscal year beginning with the Company's 2022 fiscal year, by a number equal to the least of: (i) 1,452,081 shares; (ii) 1% of the outstanding shares of common stock on the last day of the Company's immediately preceding fiscal year; or (iii) such other amount as the administrator may determine. The 2021 ESPP is administered by the Board.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shares pursuant to evergreen increases</w:t>
      </w:r>
    </w:p>
    <w:p>
      <w:pPr>
        <w:spacing w:after="0" w:line="171" w:lineRule="exact"/>
        <w:rPr>
          <w:sz w:val="20"/>
          <w:szCs w:val="20"/>
          <w:color w:val="auto"/>
        </w:rPr>
      </w:pPr>
    </w:p>
    <w:p>
      <w:pPr>
        <w:ind w:right="180" w:firstLine="374"/>
        <w:spacing w:after="0" w:line="290" w:lineRule="auto"/>
        <w:rPr>
          <w:sz w:val="20"/>
          <w:szCs w:val="20"/>
          <w:color w:val="auto"/>
        </w:rPr>
      </w:pPr>
      <w:r>
        <w:rPr>
          <w:rFonts w:ascii="Arial" w:cs="Arial" w:eastAsia="Arial" w:hAnsi="Arial"/>
          <w:sz w:val="17"/>
          <w:szCs w:val="17"/>
          <w:color w:val="auto"/>
        </w:rPr>
        <w:t>On March 8, 2022, the Company filed a Form S-8 registration statement under the Securities Act to register the offer and sale of 1,094,670 shares of common stock under the 2021 Plan and 273,667 shares of common stock reserved for future issuance under the 2021 ESPP.</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 Activities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stock option activities for the nine months ended September 30, 2022 is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7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outstanding as of December 31, 2021</w:t>
            </w:r>
          </w:p>
        </w:tc>
        <w:tc>
          <w:tcPr>
            <w:tcW w:w="1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5,754,005</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11.64</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845,089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12.69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17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(176,091 )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4.14</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700" w:type="dxa"/>
            <w:vAlign w:val="bottom"/>
            <w:gridSpan w:val="3"/>
          </w:tcPr>
          <w:p>
            <w:pPr>
              <w:jc w:val="right"/>
              <w:ind w:right="200"/>
              <w:spacing w:after="0"/>
              <w:rPr>
                <w:sz w:val="20"/>
                <w:szCs w:val="20"/>
                <w:color w:val="auto"/>
              </w:rPr>
            </w:pPr>
            <w:r>
              <w:rPr>
                <w:rFonts w:ascii="Arial" w:cs="Arial" w:eastAsia="Arial" w:hAnsi="Arial"/>
                <w:sz w:val="16"/>
                <w:szCs w:val="16"/>
                <w:color w:val="auto"/>
              </w:rPr>
              <w:t>(149,531 )</w:t>
            </w:r>
          </w:p>
        </w:tc>
        <w:tc>
          <w:tcPr>
            <w:tcW w:w="14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14.04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Expired</w:t>
            </w:r>
          </w:p>
        </w:tc>
        <w:tc>
          <w:tcPr>
            <w:tcW w:w="17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(112,119 )</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17.08</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Options outstanding as of September 30, 2022</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6,161,353</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11.84</w:t>
            </w:r>
          </w:p>
        </w:tc>
        <w:tc>
          <w:tcPr>
            <w:tcW w:w="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6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Exercisable as of September 30, 2022</w:t>
            </w: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3,712,145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10.33</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260" w:type="dxa"/>
            <w:vAlign w:val="bottom"/>
            <w:gridSpan w:val="7"/>
          </w:tcPr>
          <w:p>
            <w:pPr>
              <w:ind w:left="380"/>
              <w:spacing w:after="0"/>
              <w:rPr>
                <w:sz w:val="20"/>
                <w:szCs w:val="20"/>
                <w:color w:val="auto"/>
              </w:rPr>
            </w:pPr>
            <w:r>
              <w:rPr>
                <w:rFonts w:ascii="Arial" w:cs="Arial" w:eastAsia="Arial" w:hAnsi="Arial"/>
                <w:sz w:val="18"/>
                <w:szCs w:val="18"/>
                <w:color w:val="auto"/>
                <w:w w:val="95"/>
              </w:rPr>
              <w:t>A summary of non-vested restricted stock unit activities for the nine months ended September 30, 2022 is as follows: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center"/>
              <w:ind w:right="124"/>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Unvested at December 31, 2021</w:t>
            </w: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640,479</w:t>
            </w:r>
          </w:p>
        </w:tc>
        <w:tc>
          <w:tcPr>
            <w:tcW w:w="2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20"/>
              <w:spacing w:after="0"/>
              <w:rPr>
                <w:sz w:val="20"/>
                <w:szCs w:val="20"/>
                <w:color w:val="auto"/>
              </w:rPr>
            </w:pPr>
            <w:r>
              <w:rPr>
                <w:rFonts w:ascii="Arial" w:cs="Arial" w:eastAsia="Arial" w:hAnsi="Arial"/>
                <w:sz w:val="16"/>
                <w:szCs w:val="16"/>
                <w:color w:val="auto"/>
              </w:rPr>
              <w:t>Granted</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80,427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(179,700 )</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(46,420 )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Unvested at September 30, 2022</w:t>
            </w:r>
          </w:p>
        </w:tc>
        <w:tc>
          <w:tcPr>
            <w:tcW w:w="1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494,786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-1985645</wp:posOffset>
            </wp:positionV>
            <wp:extent cx="76835"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-1711960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-1694815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As of September 30, 2022 and December 31, 2021 the intrinsic value of options vested was $14.8 million and $14.7 million, respectively, and of all options outstanding was $15.0 million and $14.7 million, respectively. During the nine months ended September 30, 2022 and 2021, the total cash received from the exercise of stock options was $0.7 million and $1.2 million, respectively. The total fair value less strike price of these options was $1.6 million and $3.1 million, respectively.</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3" w:name="page24"/>
    <w:bookmarkEnd w:id="23"/>
    <w:p>
      <w:pPr>
        <w:ind w:right="160" w:firstLine="374"/>
        <w:spacing w:after="0" w:line="277" w:lineRule="auto"/>
        <w:rPr>
          <w:sz w:val="20"/>
          <w:szCs w:val="20"/>
          <w:color w:val="auto"/>
        </w:rPr>
      </w:pPr>
      <w:r>
        <w:rPr>
          <w:rFonts w:ascii="Arial" w:cs="Arial" w:eastAsia="Arial" w:hAnsi="Arial"/>
          <w:sz w:val="18"/>
          <w:szCs w:val="18"/>
          <w:color w:val="auto"/>
        </w:rPr>
        <w:t>Stock-based compensation expense was classified in the accompanying condensed consolidated statements of operations and comprehensive income (loss)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c>
          <w:tcPr>
            <w:tcW w:w="100" w:type="dxa"/>
            <w:vAlign w:val="bottom"/>
          </w:tcPr>
          <w:p>
            <w:pPr>
              <w:spacing w:after="0"/>
              <w:rPr>
                <w:sz w:val="16"/>
                <w:szCs w:val="16"/>
                <w:color w:val="auto"/>
              </w:rPr>
            </w:pPr>
          </w:p>
        </w:tc>
      </w:tr>
      <w:tr>
        <w:trPr>
          <w:trHeight w:val="169"/>
        </w:trPr>
        <w:tc>
          <w:tcPr>
            <w:tcW w:w="4420" w:type="dxa"/>
            <w:vAlign w:val="bottom"/>
          </w:tcPr>
          <w:p>
            <w:pPr>
              <w:spacing w:after="0"/>
              <w:rPr>
                <w:sz w:val="14"/>
                <w:szCs w:val="14"/>
                <w:color w:val="auto"/>
              </w:rPr>
            </w:pPr>
          </w:p>
        </w:tc>
        <w:tc>
          <w:tcPr>
            <w:tcW w:w="1260" w:type="dxa"/>
            <w:vAlign w:val="bottom"/>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260" w:type="dxa"/>
            <w:vAlign w:val="bottom"/>
            <w:tcBorders>
              <w:top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1,931</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1,168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18"/>
                <w:szCs w:val="18"/>
                <w:color w:val="auto"/>
              </w:rPr>
            </w:pPr>
          </w:p>
        </w:tc>
      </w:tr>
      <w:tr>
        <w:trPr>
          <w:trHeight w:val="216"/>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1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20" w:type="dxa"/>
            <w:vAlign w:val="bottom"/>
          </w:tcPr>
          <w:p>
            <w:pPr>
              <w:spacing w:after="0"/>
              <w:rPr>
                <w:sz w:val="18"/>
                <w:szCs w:val="18"/>
                <w:color w:val="auto"/>
              </w:rPr>
            </w:pPr>
          </w:p>
        </w:tc>
        <w:tc>
          <w:tcPr>
            <w:tcW w:w="1260" w:type="dxa"/>
            <w:vAlign w:val="bottom"/>
          </w:tcPr>
          <w:p>
            <w:pPr>
              <w:jc w:val="right"/>
              <w:ind w:right="10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2,882</w:t>
            </w:r>
          </w:p>
        </w:tc>
        <w:tc>
          <w:tcPr>
            <w:tcW w:w="11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2,013</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8,435</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-170815</wp:posOffset>
            </wp:positionV>
            <wp:extent cx="7683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-170815</wp:posOffset>
            </wp:positionV>
            <wp:extent cx="7683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-170815</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76" w:lineRule="exact"/>
        <w:rPr>
          <w:sz w:val="20"/>
          <w:szCs w:val="20"/>
          <w:color w:val="auto"/>
        </w:rPr>
      </w:pPr>
    </w:p>
    <w:p>
      <w:pPr>
        <w:ind w:right="240" w:firstLine="374"/>
        <w:spacing w:after="0" w:line="277" w:lineRule="auto"/>
        <w:rPr>
          <w:sz w:val="20"/>
          <w:szCs w:val="20"/>
          <w:color w:val="auto"/>
        </w:rPr>
      </w:pPr>
      <w:r>
        <w:rPr>
          <w:rFonts w:ascii="Arial" w:cs="Arial" w:eastAsia="Arial" w:hAnsi="Arial"/>
          <w:sz w:val="17"/>
          <w:szCs w:val="17"/>
          <w:color w:val="auto"/>
        </w:rPr>
        <w:t>As of September 30, 2022 and December 31, 2021, there were 2,449,208 and 2,437,649 unvested options, respectively. Total unrecognized expense related to unvested stock options was approximately $19.1 million and $20.1 million as of September 30, 2022 and December 31, 2021, respectively. Amounts are expected to be recognized over a weighted average period of approximately 2.7 and 3.0 years, respectively.</w:t>
      </w:r>
    </w:p>
    <w:p>
      <w:pPr>
        <w:spacing w:after="0" w:line="92" w:lineRule="exact"/>
        <w:rPr>
          <w:sz w:val="20"/>
          <w:szCs w:val="20"/>
          <w:color w:val="auto"/>
        </w:rPr>
      </w:pPr>
    </w:p>
    <w:p>
      <w:pPr>
        <w:ind w:right="60" w:firstLine="374"/>
        <w:spacing w:after="0" w:line="247" w:lineRule="auto"/>
        <w:rPr>
          <w:sz w:val="20"/>
          <w:szCs w:val="20"/>
          <w:color w:val="auto"/>
        </w:rPr>
      </w:pPr>
      <w:r>
        <w:rPr>
          <w:rFonts w:ascii="Arial" w:cs="Arial" w:eastAsia="Arial" w:hAnsi="Arial"/>
          <w:sz w:val="18"/>
          <w:szCs w:val="18"/>
          <w:color w:val="auto"/>
        </w:rPr>
        <w:t>As of September 30, 2022, there was $6.9 million of total unrecognized compensation costs adjusted for any forfeitures, related to non-vested restricted stock units granted under the 2021 Plan. The unrecognized compensation cost is expected to be recognized over a weighted average period of 2.6 years.</w:t>
      </w:r>
    </w:p>
    <w:p>
      <w:pPr>
        <w:spacing w:after="0" w:line="116" w:lineRule="exact"/>
        <w:rPr>
          <w:sz w:val="20"/>
          <w:szCs w:val="20"/>
          <w:color w:val="auto"/>
        </w:rPr>
      </w:pPr>
    </w:p>
    <w:p>
      <w:pPr>
        <w:ind w:right="100" w:firstLine="374"/>
        <w:spacing w:after="0" w:line="261" w:lineRule="auto"/>
        <w:rPr>
          <w:sz w:val="20"/>
          <w:szCs w:val="20"/>
          <w:color w:val="auto"/>
        </w:rPr>
      </w:pPr>
      <w:r>
        <w:rPr>
          <w:rFonts w:ascii="Arial" w:cs="Arial" w:eastAsia="Arial" w:hAnsi="Arial"/>
          <w:sz w:val="18"/>
          <w:szCs w:val="18"/>
          <w:color w:val="auto"/>
        </w:rPr>
        <w:t>The following table presents the range and weighted-average assumptions, used in the Black-Scholes option pricing model to determine the fair value of stock options: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169"/>
        </w:trPr>
        <w:tc>
          <w:tcPr>
            <w:tcW w:w="288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1816"/>
              <w:spacing w:after="0"/>
              <w:rPr>
                <w:sz w:val="20"/>
                <w:szCs w:val="20"/>
                <w:color w:val="auto"/>
              </w:rPr>
            </w:pPr>
            <w:r>
              <w:rPr>
                <w:rFonts w:ascii="Arial" w:cs="Arial" w:eastAsia="Arial" w:hAnsi="Arial"/>
                <w:sz w:val="14"/>
                <w:szCs w:val="14"/>
                <w:b w:val="1"/>
                <w:bCs w:val="1"/>
                <w:color w:val="auto"/>
              </w:rPr>
              <w:t>2021</w:t>
            </w:r>
          </w:p>
        </w:tc>
      </w:tr>
      <w:tr>
        <w:trPr>
          <w:trHeight w:val="169"/>
        </w:trPr>
        <w:tc>
          <w:tcPr>
            <w:tcW w:w="2880" w:type="dxa"/>
            <w:vAlign w:val="bottom"/>
          </w:tcPr>
          <w:p>
            <w:pPr>
              <w:spacing w:after="0"/>
              <w:rPr>
                <w:sz w:val="14"/>
                <w:szCs w:val="14"/>
                <w:color w:val="auto"/>
              </w:rPr>
            </w:pPr>
          </w:p>
        </w:tc>
        <w:tc>
          <w:tcPr>
            <w:tcW w:w="2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Range</w:t>
            </w:r>
          </w:p>
        </w:tc>
        <w:tc>
          <w:tcPr>
            <w:tcW w:w="17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740" w:type="dxa"/>
            <w:vAlign w:val="bottom"/>
          </w:tcPr>
          <w:p>
            <w:pPr>
              <w:jc w:val="center"/>
              <w:ind w:left="114"/>
              <w:spacing w:after="0"/>
              <w:rPr>
                <w:sz w:val="20"/>
                <w:szCs w:val="20"/>
                <w:color w:val="auto"/>
              </w:rPr>
            </w:pPr>
            <w:r>
              <w:rPr>
                <w:rFonts w:ascii="Arial" w:cs="Arial" w:eastAsia="Arial" w:hAnsi="Arial"/>
                <w:sz w:val="14"/>
                <w:szCs w:val="14"/>
                <w:b w:val="1"/>
                <w:bCs w:val="1"/>
                <w:color w:val="auto"/>
                <w:w w:val="88"/>
              </w:rPr>
              <w:t>Range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209"/>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62.4% to 63.8%</w:t>
            </w:r>
          </w:p>
        </w:tc>
        <w:tc>
          <w:tcPr>
            <w:tcW w:w="1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ind w:right="155"/>
              <w:spacing w:after="0"/>
              <w:rPr>
                <w:sz w:val="20"/>
                <w:szCs w:val="20"/>
                <w:color w:val="auto"/>
              </w:rPr>
            </w:pPr>
            <w:r>
              <w:rPr>
                <w:rFonts w:ascii="Arial" w:cs="Arial" w:eastAsia="Arial" w:hAnsi="Arial"/>
                <w:sz w:val="18"/>
                <w:szCs w:val="18"/>
                <w:color w:val="auto"/>
                <w:w w:val="93"/>
              </w:rPr>
              <w:t>62.8%</w:t>
            </w:r>
          </w:p>
        </w:tc>
        <w:tc>
          <w:tcPr>
            <w:tcW w:w="18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center"/>
              <w:ind w:left="134"/>
              <w:spacing w:after="0"/>
              <w:rPr>
                <w:sz w:val="20"/>
                <w:szCs w:val="20"/>
                <w:color w:val="auto"/>
              </w:rPr>
            </w:pPr>
            <w:r>
              <w:rPr>
                <w:rFonts w:ascii="Arial" w:cs="Arial" w:eastAsia="Arial" w:hAnsi="Arial"/>
                <w:sz w:val="18"/>
                <w:szCs w:val="18"/>
                <w:color w:val="auto"/>
                <w:w w:val="91"/>
              </w:rPr>
              <w:t>62.3% to 63.7%</w:t>
            </w:r>
          </w:p>
        </w:tc>
        <w:tc>
          <w:tcPr>
            <w:tcW w:w="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63.3%</w:t>
            </w: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38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2.0% to 3.0%</w:t>
            </w: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7"/>
              </w:rPr>
              <w:t>2.3%</w:t>
            </w:r>
          </w:p>
        </w:tc>
        <w:tc>
          <w:tcPr>
            <w:tcW w:w="180" w:type="dxa"/>
            <w:vAlign w:val="bottom"/>
          </w:tcPr>
          <w:p>
            <w:pPr>
              <w:spacing w:after="0"/>
              <w:rPr>
                <w:sz w:val="18"/>
                <w:szCs w:val="18"/>
                <w:color w:val="auto"/>
              </w:rPr>
            </w:pPr>
          </w:p>
        </w:tc>
        <w:tc>
          <w:tcPr>
            <w:tcW w:w="1740" w:type="dxa"/>
            <w:vAlign w:val="bottom"/>
          </w:tcPr>
          <w:p>
            <w:pPr>
              <w:jc w:val="center"/>
              <w:ind w:left="114"/>
              <w:spacing w:after="0"/>
              <w:rPr>
                <w:sz w:val="20"/>
                <w:szCs w:val="20"/>
                <w:color w:val="auto"/>
              </w:rPr>
            </w:pPr>
            <w:r>
              <w:rPr>
                <w:rFonts w:ascii="Arial" w:cs="Arial" w:eastAsia="Arial" w:hAnsi="Arial"/>
                <w:sz w:val="18"/>
                <w:szCs w:val="18"/>
                <w:color w:val="auto"/>
                <w:w w:val="91"/>
              </w:rPr>
              <w:t>0.6% to 1.6%</w:t>
            </w:r>
          </w:p>
        </w:tc>
        <w:tc>
          <w:tcPr>
            <w:tcW w:w="2340" w:type="dxa"/>
            <w:vAlign w:val="bottom"/>
            <w:gridSpan w:val="3"/>
          </w:tcPr>
          <w:p>
            <w:pPr>
              <w:jc w:val="center"/>
              <w:ind w:left="295"/>
              <w:spacing w:after="0"/>
              <w:rPr>
                <w:sz w:val="20"/>
                <w:szCs w:val="20"/>
                <w:color w:val="auto"/>
              </w:rPr>
            </w:pPr>
            <w:r>
              <w:rPr>
                <w:rFonts w:ascii="Arial" w:cs="Arial" w:eastAsia="Arial" w:hAnsi="Arial"/>
                <w:sz w:val="18"/>
                <w:szCs w:val="18"/>
                <w:color w:val="auto"/>
                <w:w w:val="87"/>
              </w:rPr>
              <w:t>1.0%</w:t>
            </w:r>
          </w:p>
        </w:tc>
      </w:tr>
      <w:tr>
        <w:trPr>
          <w:trHeight w:val="216"/>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 (in years)</w:t>
            </w:r>
          </w:p>
        </w:tc>
        <w:tc>
          <w:tcPr>
            <w:tcW w:w="2380" w:type="dxa"/>
            <w:vAlign w:val="bottom"/>
            <w:gridSpan w:val="3"/>
            <w:shd w:val="clear" w:color="auto" w:fill="CFF0FC"/>
          </w:tcPr>
          <w:p>
            <w:pPr>
              <w:jc w:val="center"/>
              <w:ind w:right="420"/>
              <w:spacing w:after="0"/>
              <w:rPr>
                <w:sz w:val="20"/>
                <w:szCs w:val="20"/>
                <w:color w:val="auto"/>
              </w:rPr>
            </w:pPr>
            <w:r>
              <w:rPr>
                <w:rFonts w:ascii="Arial" w:cs="Arial" w:eastAsia="Arial" w:hAnsi="Arial"/>
                <w:sz w:val="18"/>
                <w:szCs w:val="18"/>
                <w:color w:val="auto"/>
                <w:w w:val="89"/>
              </w:rPr>
              <w:t>6.0 to 10.0 years</w:t>
            </w:r>
          </w:p>
        </w:tc>
        <w:tc>
          <w:tcPr>
            <w:tcW w:w="1720" w:type="dxa"/>
            <w:vAlign w:val="bottom"/>
            <w:shd w:val="clear" w:color="auto" w:fill="CFF0FC"/>
          </w:tcPr>
          <w:p>
            <w:pPr>
              <w:jc w:val="center"/>
              <w:ind w:right="155"/>
              <w:spacing w:after="0"/>
              <w:rPr>
                <w:sz w:val="20"/>
                <w:szCs w:val="20"/>
                <w:color w:val="auto"/>
              </w:rPr>
            </w:pPr>
            <w:r>
              <w:rPr>
                <w:rFonts w:ascii="Arial" w:cs="Arial" w:eastAsia="Arial" w:hAnsi="Arial"/>
                <w:sz w:val="18"/>
                <w:szCs w:val="18"/>
                <w:color w:val="auto"/>
                <w:w w:val="86"/>
              </w:rPr>
              <w:t>6.0 years</w:t>
            </w: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ind w:left="114"/>
              <w:spacing w:after="0"/>
              <w:rPr>
                <w:sz w:val="20"/>
                <w:szCs w:val="20"/>
                <w:color w:val="auto"/>
              </w:rPr>
            </w:pPr>
            <w:r>
              <w:rPr>
                <w:rFonts w:ascii="Arial" w:cs="Arial" w:eastAsia="Arial" w:hAnsi="Arial"/>
                <w:sz w:val="18"/>
                <w:szCs w:val="18"/>
                <w:color w:val="auto"/>
                <w:w w:val="87"/>
              </w:rPr>
              <w:t>5.5 to 10.0 years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6.0 years</w:t>
            </w: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7"/>
              </w:rPr>
              <w:t>0.0%</w:t>
            </w:r>
          </w:p>
        </w:tc>
        <w:tc>
          <w:tcPr>
            <w:tcW w:w="192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0.0%</w:t>
            </w:r>
          </w:p>
        </w:tc>
        <w:tc>
          <w:tcPr>
            <w:tcW w:w="2340" w:type="dxa"/>
            <w:vAlign w:val="bottom"/>
            <w:gridSpan w:val="3"/>
          </w:tcPr>
          <w:p>
            <w:pPr>
              <w:jc w:val="center"/>
              <w:ind w:left="295"/>
              <w:spacing w:after="0"/>
              <w:rPr>
                <w:sz w:val="20"/>
                <w:szCs w:val="20"/>
                <w:color w:val="auto"/>
              </w:rPr>
            </w:pPr>
            <w:r>
              <w:rPr>
                <w:rFonts w:ascii="Arial" w:cs="Arial" w:eastAsia="Arial" w:hAnsi="Arial"/>
                <w:sz w:val="18"/>
                <w:szCs w:val="18"/>
                <w:color w:val="auto"/>
                <w:w w:val="87"/>
              </w:rPr>
              <w:t>0.0%</w:t>
            </w:r>
          </w:p>
        </w:tc>
      </w:tr>
      <w:tr>
        <w:trPr>
          <w:trHeight w:val="216"/>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date fair value</w:t>
            </w:r>
          </w:p>
        </w:tc>
        <w:tc>
          <w:tcPr>
            <w:tcW w:w="2380" w:type="dxa"/>
            <w:vAlign w:val="bottom"/>
            <w:gridSpan w:val="3"/>
            <w:shd w:val="clear" w:color="auto" w:fill="CFF0FC"/>
          </w:tcPr>
          <w:p>
            <w:pPr>
              <w:jc w:val="center"/>
              <w:ind w:right="400"/>
              <w:spacing w:after="0"/>
              <w:rPr>
                <w:sz w:val="20"/>
                <w:szCs w:val="20"/>
                <w:color w:val="auto"/>
              </w:rPr>
            </w:pPr>
            <w:r>
              <w:rPr>
                <w:rFonts w:ascii="Arial" w:cs="Arial" w:eastAsia="Arial" w:hAnsi="Arial"/>
                <w:sz w:val="18"/>
                <w:szCs w:val="18"/>
                <w:color w:val="auto"/>
                <w:w w:val="90"/>
              </w:rPr>
              <w:t>$10.74 to $15.52</w:t>
            </w:r>
          </w:p>
        </w:tc>
        <w:tc>
          <w:tcPr>
            <w:tcW w:w="1720" w:type="dxa"/>
            <w:vAlign w:val="bottom"/>
            <w:shd w:val="clear" w:color="auto" w:fill="CFF0FC"/>
          </w:tcPr>
          <w:p>
            <w:pPr>
              <w:jc w:val="center"/>
              <w:ind w:right="155"/>
              <w:spacing w:after="0"/>
              <w:rPr>
                <w:sz w:val="20"/>
                <w:szCs w:val="20"/>
                <w:color w:val="auto"/>
              </w:rPr>
            </w:pPr>
            <w:r>
              <w:rPr>
                <w:rFonts w:ascii="Arial" w:cs="Arial" w:eastAsia="Arial" w:hAnsi="Arial"/>
                <w:sz w:val="18"/>
                <w:szCs w:val="18"/>
                <w:color w:val="auto"/>
                <w:w w:val="87"/>
              </w:rPr>
              <w:t>$12.63</w:t>
            </w: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jc w:val="center"/>
              <w:ind w:left="114"/>
              <w:spacing w:after="0"/>
              <w:rPr>
                <w:sz w:val="20"/>
                <w:szCs w:val="20"/>
                <w:color w:val="auto"/>
              </w:rPr>
            </w:pPr>
            <w:r>
              <w:rPr>
                <w:rFonts w:ascii="Arial" w:cs="Arial" w:eastAsia="Arial" w:hAnsi="Arial"/>
                <w:sz w:val="18"/>
                <w:szCs w:val="18"/>
                <w:color w:val="auto"/>
                <w:w w:val="90"/>
              </w:rPr>
              <w:t>$12.54 to $19.94</w:t>
            </w:r>
          </w:p>
        </w:tc>
        <w:tc>
          <w:tcPr>
            <w:tcW w:w="2340" w:type="dxa"/>
            <w:vAlign w:val="bottom"/>
            <w:gridSpan w:val="3"/>
            <w:shd w:val="clear" w:color="auto" w:fill="CFF0FC"/>
          </w:tcPr>
          <w:p>
            <w:pPr>
              <w:jc w:val="center"/>
              <w:ind w:left="295"/>
              <w:spacing w:after="0"/>
              <w:rPr>
                <w:sz w:val="20"/>
                <w:szCs w:val="20"/>
                <w:color w:val="auto"/>
              </w:rPr>
            </w:pPr>
            <w:r>
              <w:rPr>
                <w:rFonts w:ascii="Arial" w:cs="Arial" w:eastAsia="Arial" w:hAnsi="Arial"/>
                <w:sz w:val="18"/>
                <w:szCs w:val="18"/>
                <w:color w:val="auto"/>
                <w:w w:val="87"/>
              </w:rPr>
              <w:t>$15.51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Each share of common stock is entitled to one vote. Common stock reserved for future issuance under the Equity Plans and 2021 ESPP consisted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September 30, 2022</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December 31, 2021</w:t>
            </w:r>
          </w:p>
        </w:tc>
        <w:tc>
          <w:tcPr>
            <w:tcW w:w="100" w:type="dxa"/>
            <w:vAlign w:val="bottom"/>
          </w:tcPr>
          <w:p>
            <w:pPr>
              <w:spacing w:after="0"/>
              <w:rPr>
                <w:sz w:val="20"/>
                <w:szCs w:val="20"/>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issued and outstanding under the Equity Plans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6,161,353</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5,754,005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20" w:type="dxa"/>
            <w:vAlign w:val="bottom"/>
          </w:tcPr>
          <w:p>
            <w:pPr>
              <w:jc w:val="right"/>
              <w:spacing w:after="0"/>
              <w:rPr>
                <w:sz w:val="20"/>
                <w:szCs w:val="20"/>
                <w:color w:val="auto"/>
              </w:rPr>
            </w:pPr>
            <w:r>
              <w:rPr>
                <w:rFonts w:ascii="Arial" w:cs="Arial" w:eastAsia="Arial" w:hAnsi="Arial"/>
                <w:sz w:val="18"/>
                <w:szCs w:val="18"/>
                <w:color w:val="auto"/>
              </w:rPr>
              <w:t>494,786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640,479</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711,643</w:t>
            </w:r>
          </w:p>
        </w:tc>
        <w:tc>
          <w:tcPr>
            <w:tcW w:w="2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Total shares of common stock reserved</w:t>
            </w:r>
          </w:p>
        </w:tc>
        <w:tc>
          <w:tcPr>
            <w:tcW w:w="1620" w:type="dxa"/>
            <w:vAlign w:val="bottom"/>
          </w:tcPr>
          <w:p>
            <w:pPr>
              <w:jc w:val="right"/>
              <w:spacing w:after="0"/>
              <w:rPr>
                <w:sz w:val="20"/>
                <w:szCs w:val="20"/>
                <w:color w:val="auto"/>
              </w:rPr>
            </w:pPr>
            <w:r>
              <w:rPr>
                <w:rFonts w:ascii="Arial" w:cs="Arial" w:eastAsia="Arial" w:hAnsi="Arial"/>
                <w:sz w:val="18"/>
                <w:szCs w:val="18"/>
                <w:color w:val="auto"/>
              </w:rPr>
              <w:t>7,367,782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6,878,511</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-170815</wp:posOffset>
            </wp:positionV>
            <wp:extent cx="7683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On January 3, 2022, the Board approved the issuance of 19,196 restricted stock units to a non-employee director. The award will vest over three years of service.</w:t>
      </w:r>
    </w:p>
    <w:p>
      <w:pPr>
        <w:spacing w:after="0" w:line="89" w:lineRule="exact"/>
        <w:rPr>
          <w:sz w:val="20"/>
          <w:szCs w:val="20"/>
          <w:color w:val="auto"/>
        </w:rPr>
      </w:pPr>
    </w:p>
    <w:p>
      <w:pPr>
        <w:ind w:right="560" w:firstLine="374"/>
        <w:spacing w:after="0" w:line="261" w:lineRule="auto"/>
        <w:rPr>
          <w:sz w:val="20"/>
          <w:szCs w:val="20"/>
          <w:color w:val="auto"/>
        </w:rPr>
      </w:pPr>
      <w:r>
        <w:rPr>
          <w:rFonts w:ascii="Arial" w:cs="Arial" w:eastAsia="Arial" w:hAnsi="Arial"/>
          <w:sz w:val="18"/>
          <w:szCs w:val="18"/>
          <w:color w:val="auto"/>
        </w:rPr>
        <w:t>On June 2, 2022, the Company issued automatic annual awards of 61,231 restricted stock units to seven non-employee directors related to their continued service on the Board. The awards will vest over one year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134" w:lineRule="exact"/>
        <w:rPr>
          <w:sz w:val="20"/>
          <w:szCs w:val="20"/>
          <w:color w:val="auto"/>
        </w:rPr>
      </w:pPr>
    </w:p>
    <w:p>
      <w:pPr>
        <w:jc w:val="both"/>
        <w:ind w:right="140" w:firstLine="374"/>
        <w:spacing w:after="0" w:line="255" w:lineRule="auto"/>
        <w:rPr>
          <w:sz w:val="20"/>
          <w:szCs w:val="20"/>
          <w:color w:val="auto"/>
        </w:rPr>
      </w:pPr>
      <w:r>
        <w:rPr>
          <w:rFonts w:ascii="Arial" w:cs="Arial" w:eastAsia="Arial" w:hAnsi="Arial"/>
          <w:sz w:val="18"/>
          <w:szCs w:val="18"/>
          <w:color w:val="auto"/>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p>
    <w:p>
      <w:pPr>
        <w:spacing w:after="0" w:line="109" w:lineRule="exact"/>
        <w:rPr>
          <w:sz w:val="20"/>
          <w:szCs w:val="20"/>
          <w:color w:val="auto"/>
        </w:rPr>
      </w:pPr>
    </w:p>
    <w:p>
      <w:pPr>
        <w:ind w:right="100" w:firstLine="374"/>
        <w:spacing w:after="0" w:line="261" w:lineRule="auto"/>
        <w:rPr>
          <w:sz w:val="20"/>
          <w:szCs w:val="20"/>
          <w:color w:val="auto"/>
        </w:rPr>
      </w:pPr>
      <w:r>
        <w:rPr>
          <w:rFonts w:ascii="Arial" w:cs="Arial" w:eastAsia="Arial" w:hAnsi="Arial"/>
          <w:sz w:val="18"/>
          <w:szCs w:val="18"/>
          <w:color w:val="auto"/>
        </w:rPr>
        <w:t>As of September 30, 2022 the Company held four leases for office, manufacturing and warehouse facilities in Aliso Viejo, California. The four leases are for approximately 121,000 square feet in the aggregate and expire</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between August 31, 2024 and January 31, 2026. For one of the facilities operating leases, the lessor provided $900,000 in tenant allowances.</w:t>
      </w:r>
    </w:p>
    <w:p>
      <w:pPr>
        <w:spacing w:after="0" w:line="155" w:lineRule="exact"/>
        <w:rPr>
          <w:sz w:val="20"/>
          <w:szCs w:val="20"/>
          <w:color w:val="auto"/>
        </w:rPr>
      </w:pPr>
    </w:p>
    <w:p>
      <w:pPr>
        <w:ind w:right="20" w:firstLine="374"/>
        <w:spacing w:after="0" w:line="307" w:lineRule="auto"/>
        <w:rPr>
          <w:sz w:val="20"/>
          <w:szCs w:val="20"/>
          <w:color w:val="auto"/>
        </w:rPr>
      </w:pPr>
      <w:r>
        <w:rPr>
          <w:rFonts w:ascii="Arial" w:cs="Arial" w:eastAsia="Arial" w:hAnsi="Arial"/>
          <w:sz w:val="17"/>
          <w:szCs w:val="17"/>
          <w:color w:val="auto"/>
        </w:rPr>
        <w:t>On April 4, 2022, the Company entered into a thirty-four-month sublease agreement for a portion of the 5 Columbia Building, in Aliso Viejo, CA. The sublease commencement date was June 13, 2022 and will expire on March 31, 2025. The base rent receivable is $11,410 per month.</w:t>
      </w:r>
    </w:p>
    <w:p>
      <w:pPr>
        <w:spacing w:after="0" w:line="66" w:lineRule="exact"/>
        <w:rPr>
          <w:sz w:val="20"/>
          <w:szCs w:val="20"/>
          <w:color w:val="auto"/>
        </w:rPr>
      </w:pPr>
    </w:p>
    <w:p>
      <w:pPr>
        <w:ind w:right="100" w:firstLine="374"/>
        <w:spacing w:after="0" w:line="261" w:lineRule="auto"/>
        <w:rPr>
          <w:sz w:val="20"/>
          <w:szCs w:val="20"/>
          <w:color w:val="auto"/>
        </w:rPr>
      </w:pPr>
      <w:r>
        <w:rPr>
          <w:rFonts w:ascii="Arial" w:cs="Arial" w:eastAsia="Arial" w:hAnsi="Arial"/>
          <w:sz w:val="18"/>
          <w:szCs w:val="18"/>
          <w:color w:val="auto"/>
        </w:rPr>
        <w:t>The following table presents the lease balances within the Condensed Consolidated Balance Sheets as of September 30, 2022 and December 31, 2021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8"/>
                <w:szCs w:val="18"/>
                <w:color w:val="auto"/>
              </w:rPr>
            </w:pPr>
          </w:p>
        </w:tc>
      </w:tr>
      <w:tr>
        <w:trPr>
          <w:trHeight w:val="234"/>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Leases</w:t>
            </w:r>
          </w:p>
        </w:tc>
        <w:tc>
          <w:tcPr>
            <w:tcW w:w="180" w:type="dxa"/>
            <w:vAlign w:val="bottom"/>
          </w:tcPr>
          <w:p>
            <w:pPr>
              <w:spacing w:after="0"/>
              <w:rPr>
                <w:sz w:val="20"/>
                <w:szCs w:val="20"/>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3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w:t>
            </w:r>
          </w:p>
        </w:tc>
        <w:tc>
          <w:tcPr>
            <w:tcW w:w="180" w:type="dxa"/>
            <w:vAlign w:val="bottom"/>
            <w:shd w:val="clear" w:color="auto" w:fill="CFF0FC"/>
          </w:tcPr>
          <w:p>
            <w:pPr>
              <w:spacing w:after="0"/>
              <w:rPr>
                <w:sz w:val="18"/>
                <w:szCs w:val="18"/>
                <w:color w:val="auto"/>
              </w:rPr>
            </w:pPr>
          </w:p>
        </w:tc>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 right-of-use assets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FF0FC"/>
          </w:tcPr>
          <w:p>
            <w:pPr>
              <w:spacing w:after="0"/>
              <w:rPr>
                <w:sz w:val="18"/>
                <w:szCs w:val="18"/>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color w:val="auto"/>
              </w:rPr>
              <w:t>Finance</w:t>
            </w:r>
          </w:p>
        </w:tc>
        <w:tc>
          <w:tcPr>
            <w:tcW w:w="1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49"/>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assets</w:t>
            </w:r>
          </w:p>
        </w:tc>
        <w:tc>
          <w:tcPr>
            <w:tcW w:w="180" w:type="dxa"/>
            <w:vAlign w:val="bottom"/>
            <w:tcBorders>
              <w:bottom w:val="single" w:sz="8" w:color="CFF0FC"/>
            </w:tcBorders>
            <w:shd w:val="clear" w:color="auto" w:fill="CFF0FC"/>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4,580</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3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FF0FC"/>
          </w:tcPr>
          <w:p>
            <w:pPr>
              <w:spacing w:after="0"/>
              <w:rPr>
                <w:sz w:val="18"/>
                <w:szCs w:val="18"/>
                <w:color w:val="auto"/>
              </w:rPr>
            </w:pPr>
          </w:p>
        </w:tc>
        <w:tc>
          <w:tcPr>
            <w:tcW w:w="3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4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1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8"/>
                <w:szCs w:val="18"/>
                <w:color w:val="auto"/>
              </w:rPr>
            </w:pPr>
          </w:p>
        </w:tc>
      </w:tr>
      <w:tr>
        <w:trPr>
          <w:trHeight w:val="216"/>
        </w:trPr>
        <w:tc>
          <w:tcPr>
            <w:tcW w:w="3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w:t>
            </w:r>
          </w:p>
        </w:tc>
        <w:tc>
          <w:tcPr>
            <w:tcW w:w="180" w:type="dxa"/>
            <w:vAlign w:val="bottom"/>
            <w:shd w:val="clear" w:color="auto" w:fill="CFF0FC"/>
          </w:tcPr>
          <w:p>
            <w:pPr>
              <w:spacing w:after="0"/>
              <w:rPr>
                <w:sz w:val="18"/>
                <w:szCs w:val="18"/>
                <w:color w:val="auto"/>
              </w:rPr>
            </w:pPr>
          </w:p>
        </w:tc>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324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1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w:t>
            </w:r>
          </w:p>
        </w:tc>
        <w:tc>
          <w:tcPr>
            <w:tcW w:w="180" w:type="dxa"/>
            <w:vAlign w:val="bottom"/>
            <w:shd w:val="clear" w:color="auto" w:fill="CFF0FC"/>
          </w:tcPr>
          <w:p>
            <w:pPr>
              <w:spacing w:after="0"/>
              <w:rPr>
                <w:sz w:val="18"/>
                <w:szCs w:val="18"/>
                <w:color w:val="auto"/>
              </w:rPr>
            </w:pPr>
          </w:p>
        </w:tc>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FF0FC"/>
          </w:tcPr>
          <w:p>
            <w:pPr>
              <w:spacing w:after="0"/>
              <w:rPr>
                <w:sz w:val="18"/>
                <w:szCs w:val="18"/>
                <w:color w:val="auto"/>
              </w:rPr>
            </w:pPr>
          </w:p>
        </w:tc>
      </w:tr>
      <w:tr>
        <w:trPr>
          <w:trHeight w:val="216"/>
        </w:trPr>
        <w:tc>
          <w:tcPr>
            <w:tcW w:w="3240" w:type="dxa"/>
            <w:vAlign w:val="bottom"/>
          </w:tcPr>
          <w:p>
            <w:pPr>
              <w:ind w:left="200"/>
              <w:spacing w:after="0"/>
              <w:rPr>
                <w:sz w:val="20"/>
                <w:szCs w:val="20"/>
                <w:color w:val="auto"/>
              </w:rPr>
            </w:pPr>
            <w:r>
              <w:rPr>
                <w:rFonts w:ascii="Arial" w:cs="Arial" w:eastAsia="Arial" w:hAnsi="Arial"/>
                <w:sz w:val="18"/>
                <w:szCs w:val="18"/>
                <w:color w:val="auto"/>
              </w:rPr>
              <w:t>Finance</w:t>
            </w:r>
          </w:p>
        </w:tc>
        <w:tc>
          <w:tcPr>
            <w:tcW w:w="1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49"/>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5,302</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-1155065</wp:posOffset>
            </wp:positionV>
            <wp:extent cx="1292860"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9286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ind w:right="460" w:firstLine="419"/>
        <w:spacing w:after="0" w:line="277" w:lineRule="auto"/>
        <w:rPr>
          <w:sz w:val="20"/>
          <w:szCs w:val="20"/>
          <w:color w:val="auto"/>
        </w:rPr>
      </w:pPr>
      <w:r>
        <w:rPr>
          <w:rFonts w:ascii="Arial" w:cs="Arial" w:eastAsia="Arial" w:hAnsi="Arial"/>
          <w:sz w:val="18"/>
          <w:szCs w:val="18"/>
          <w:color w:val="auto"/>
        </w:rPr>
        <w:t>For the three and nine months ended September 30, 2022 and 2021, the components of operating and finance lease expenses were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5"/>
          </w:tcPr>
          <w:p>
            <w:pPr>
              <w:ind w:left="20"/>
              <w:spacing w:after="0"/>
              <w:rPr>
                <w:sz w:val="20"/>
                <w:szCs w:val="20"/>
                <w:color w:val="auto"/>
              </w:rPr>
            </w:pPr>
            <w:r>
              <w:rPr>
                <w:rFonts w:ascii="Arial" w:cs="Arial" w:eastAsia="Arial" w:hAnsi="Arial"/>
                <w:sz w:val="18"/>
                <w:szCs w:val="18"/>
                <w:b w:val="1"/>
                <w:bCs w:val="1"/>
                <w:color w:val="auto"/>
                <w:w w:val="92"/>
              </w:rPr>
              <w:t>Nine Months Ended September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Lease Cost</w:t>
            </w:r>
          </w:p>
        </w:tc>
        <w:tc>
          <w:tcPr>
            <w:tcW w:w="160" w:type="dxa"/>
            <w:vAlign w:val="bottom"/>
          </w:tcPr>
          <w:p>
            <w:pPr>
              <w:spacing w:after="0"/>
              <w:rPr>
                <w:sz w:val="20"/>
                <w:szCs w:val="20"/>
                <w:color w:val="auto"/>
              </w:rPr>
            </w:pPr>
          </w:p>
        </w:tc>
        <w:tc>
          <w:tcPr>
            <w:tcW w:w="3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vMerge w:val="restart"/>
          </w:tcPr>
          <w:p>
            <w:pPr>
              <w:spacing w:after="0"/>
              <w:rPr>
                <w:sz w:val="20"/>
                <w:szCs w:val="20"/>
                <w:color w:val="auto"/>
              </w:rPr>
            </w:pPr>
          </w:p>
        </w:tc>
        <w:tc>
          <w:tcPr>
            <w:tcW w:w="28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Three Months Ended September 30,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6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16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6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the Company’s operating and finance lease liabilities as of September 30, 2022 were as follows (in thousands):</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Operating</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Finance</w:t>
            </w:r>
          </w:p>
        </w:tc>
      </w:tr>
      <w:tr>
        <w:trPr>
          <w:trHeight w:val="234"/>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Leases</w:t>
            </w:r>
          </w:p>
        </w:tc>
      </w:tr>
      <w:tr>
        <w:trPr>
          <w:trHeight w:val="209"/>
        </w:trPr>
        <w:tc>
          <w:tcPr>
            <w:tcW w:w="736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2022 (remainder)</w:t>
            </w:r>
          </w:p>
        </w:tc>
        <w:tc>
          <w:tcPr>
            <w:tcW w:w="18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2,059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1,788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5,458</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(390 )</w:t>
            </w:r>
          </w:p>
        </w:tc>
        <w:tc>
          <w:tcPr>
            <w:tcW w:w="3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r>
      <w:tr>
        <w:trPr>
          <w:trHeight w:val="249"/>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5,068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The weighted average remaining lease term and weighted average discount rate used to determine lease liabilities related to the Company’s operating and finance leases as of September 30, 2022 and December 31, 2021 were: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3"/>
          </w:tcPr>
          <w:p>
            <w:pPr>
              <w:ind w:left="7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9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ind w:left="104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6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20" w:type="dxa"/>
            <w:vAlign w:val="bottom"/>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2440" w:type="dxa"/>
            <w:vAlign w:val="bottom"/>
          </w:tcPr>
          <w:p>
            <w:pPr>
              <w:ind w:left="2100"/>
              <w:spacing w:after="0"/>
              <w:rPr>
                <w:sz w:val="20"/>
                <w:szCs w:val="20"/>
                <w:color w:val="auto"/>
              </w:rPr>
            </w:pPr>
            <w:r>
              <w:rPr>
                <w:rFonts w:ascii="Arial" w:cs="Arial" w:eastAsia="Arial" w:hAnsi="Arial"/>
                <w:sz w:val="18"/>
                <w:szCs w:val="18"/>
                <w:color w:val="auto"/>
                <w:w w:val="91"/>
              </w:rPr>
              <w:t>3.30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8"/>
                <w:szCs w:val="18"/>
                <w:color w:val="auto"/>
              </w:rPr>
            </w:pPr>
          </w:p>
        </w:tc>
        <w:tc>
          <w:tcPr>
            <w:tcW w:w="2440" w:type="dxa"/>
            <w:vAlign w:val="bottom"/>
            <w:shd w:val="clear" w:color="auto" w:fill="CFF0FC"/>
          </w:tcPr>
          <w:p>
            <w:pPr>
              <w:ind w:left="2100"/>
              <w:spacing w:after="0"/>
              <w:rPr>
                <w:sz w:val="20"/>
                <w:szCs w:val="20"/>
                <w:color w:val="auto"/>
              </w:rPr>
            </w:pPr>
            <w:r>
              <w:rPr>
                <w:rFonts w:ascii="Arial" w:cs="Arial" w:eastAsia="Arial" w:hAnsi="Arial"/>
                <w:sz w:val="18"/>
                <w:szCs w:val="18"/>
                <w:color w:val="auto"/>
                <w:w w:val="91"/>
              </w:rPr>
              <w:t>1.72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8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10.3 %</w:t>
            </w:r>
          </w:p>
        </w:tc>
        <w:tc>
          <w:tcPr>
            <w:tcW w:w="2600" w:type="dxa"/>
            <w:vAlign w:val="bottom"/>
            <w:gridSpan w:val="3"/>
          </w:tcPr>
          <w:p>
            <w:pPr>
              <w:ind w:left="2100"/>
              <w:spacing w:after="0"/>
              <w:rPr>
                <w:sz w:val="20"/>
                <w:szCs w:val="20"/>
                <w:color w:val="auto"/>
              </w:rPr>
            </w:pPr>
            <w:r>
              <w:rPr>
                <w:rFonts w:ascii="Arial" w:cs="Arial" w:eastAsia="Arial" w:hAnsi="Arial"/>
                <w:sz w:val="18"/>
                <w:szCs w:val="18"/>
                <w:color w:val="auto"/>
                <w:w w:val="85"/>
              </w:rPr>
              <w:t>10.5 %</w:t>
            </w:r>
          </w:p>
        </w:tc>
      </w:tr>
      <w:tr>
        <w:trPr>
          <w:trHeight w:val="230"/>
        </w:trPr>
        <w:tc>
          <w:tcPr>
            <w:tcW w:w="608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2600" w:type="dxa"/>
            <w:vAlign w:val="bottom"/>
            <w:gridSpan w:val="3"/>
          </w:tcPr>
          <w:p>
            <w:pPr>
              <w:ind w:left="2100"/>
              <w:spacing w:after="0"/>
              <w:rPr>
                <w:sz w:val="20"/>
                <w:szCs w:val="20"/>
                <w:color w:val="auto"/>
              </w:rPr>
            </w:pPr>
            <w:r>
              <w:rPr>
                <w:rFonts w:ascii="Arial" w:cs="Arial" w:eastAsia="Arial" w:hAnsi="Arial"/>
                <w:sz w:val="18"/>
                <w:szCs w:val="18"/>
                <w:color w:val="auto"/>
                <w:w w:val="85"/>
              </w:rPr>
              <w:t>10.5 %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a standby letter of credit, expiring September 30, 2024, issued by a financial institution as required security for one operating 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the letter of credit was $260,000 as of September 30, 2022 and $310,000 as of December 31,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ind w:right="80" w:firstLine="374"/>
        <w:spacing w:after="0" w:line="276" w:lineRule="auto"/>
        <w:rPr>
          <w:sz w:val="20"/>
          <w:szCs w:val="20"/>
          <w:color w:val="auto"/>
        </w:rPr>
      </w:pPr>
      <w:r>
        <w:rPr>
          <w:rFonts w:ascii="Arial" w:cs="Arial" w:eastAsia="Arial" w:hAnsi="Arial"/>
          <w:sz w:val="16"/>
          <w:szCs w:val="16"/>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September 30, 2022 and December 31, 2021,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3"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374"/>
        <w:spacing w:after="0" w:line="27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to those statements included elsewhere in this Quarterly Report on Form 10-Q and our audited consolidated financial statements and related notes thereto for the year ended December 31, 2021, included in our Annual Report on Form 10-K filed with the U.S. Securities and Exchange Commission on March 8, 2022.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 of, and elsewhere in, this Quarterly Report on Form 10-Q. See “Special Note Regarding Forward-Looking Statements.”</w:t>
      </w:r>
    </w:p>
    <w:p>
      <w:pPr>
        <w:spacing w:after="0" w:line="53" w:lineRule="exact"/>
        <w:rPr>
          <w:sz w:val="20"/>
          <w:szCs w:val="20"/>
          <w:color w:val="auto"/>
        </w:rPr>
      </w:pPr>
    </w:p>
    <w:p>
      <w:pPr>
        <w:ind w:firstLine="374"/>
        <w:spacing w:after="0" w:line="273" w:lineRule="auto"/>
        <w:rPr>
          <w:sz w:val="20"/>
          <w:szCs w:val="20"/>
          <w:color w:val="auto"/>
        </w:rPr>
      </w:pPr>
      <w:r>
        <w:rPr>
          <w:rFonts w:ascii="Arial" w:cs="Arial" w:eastAsia="Arial" w:hAnsi="Arial"/>
          <w:sz w:val="16"/>
          <w:szCs w:val="16"/>
          <w:color w:val="auto"/>
        </w:rPr>
        <w:t>We are a commercial-stage medical technology company dedicated to improving the vision of patients following cataract surgery. Our proprietary RxSight system, comprised of our LAL, LDD and accessories, is the first and only commercially available intraocular lens (“IOL”) technology that enables doctors to customize and optimize visual acuity for patients after cataract surgery. Our LAL is made of proprietary photosensitive material that changes shape in response to specific patterns of ultraviolet light generated by our LDD. With the RxSight system, the surgeon performs a standard cataract procedure to implant the LAL, determines refractive error with patient input after healing is complete, and then uses the LDD to modify the lens with the exact amount of visual correction needed to achieve the patient’s desired vision outcomes. Alternative IOL technologies, in contrast, are not adjustable following the procedure and therefore require patients to make pre-operative choices about their visual preferences, which can often result in patient dissatisfaction when visual outcomes fail to meet expectations. We designed our RxSight system to maximize patient and doctor satisfaction through superior visual outcomes. In the pivotal study that formed the basis for our Food and Drug Administration (“FDA”) approval, the observed rate of eyes with 20/20 or better uncorrected distance visual acuity for our LAL was 70.1% and in follow-up readings of 139 eyes in an ongoing Phase IV commercial study 78.4% achieved 20/20 or better uncorrected distance visual acuity with our LAL.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September 30, 2022, we had an installed base of 343 LDDs in ophthalmology practices, and since our inception, surgeons have performed over 32,000 surgeries with our RxSight system.</w:t>
      </w:r>
    </w:p>
    <w:p>
      <w:pPr>
        <w:spacing w:after="0" w:line="70" w:lineRule="exact"/>
        <w:rPr>
          <w:sz w:val="20"/>
          <w:szCs w:val="20"/>
          <w:color w:val="auto"/>
        </w:rPr>
      </w:pPr>
    </w:p>
    <w:p>
      <w:pPr>
        <w:ind w:right="160" w:firstLine="374"/>
        <w:spacing w:after="0" w:line="245" w:lineRule="auto"/>
        <w:rPr>
          <w:sz w:val="20"/>
          <w:szCs w:val="20"/>
          <w:color w:val="auto"/>
        </w:rPr>
      </w:pPr>
      <w:r>
        <w:rPr>
          <w:rFonts w:ascii="Arial" w:cs="Arial" w:eastAsia="Arial" w:hAnsi="Arial"/>
          <w:sz w:val="18"/>
          <w:szCs w:val="18"/>
          <w:color w:val="auto"/>
        </w:rPr>
        <w:t>We compete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We are a Delaware corporation, headquartered in Aliso Viejo, California, and have one wholly owned subsidiary. Our subsidiary is located in Amsterdam, Netherlands, which itself has one wholly owned subsidiary in Germany and a registered branch in the United Kingdom.</w:t>
      </w:r>
    </w:p>
    <w:p>
      <w:pPr>
        <w:spacing w:after="0" w:line="76" w:lineRule="exact"/>
        <w:rPr>
          <w:sz w:val="20"/>
          <w:szCs w:val="20"/>
          <w:color w:val="auto"/>
        </w:rPr>
      </w:pPr>
    </w:p>
    <w:p>
      <w:pPr>
        <w:ind w:right="40" w:firstLine="374"/>
        <w:spacing w:after="0" w:line="263" w:lineRule="auto"/>
        <w:rPr>
          <w:sz w:val="20"/>
          <w:szCs w:val="20"/>
          <w:color w:val="auto"/>
        </w:rPr>
      </w:pPr>
      <w:r>
        <w:rPr>
          <w:rFonts w:ascii="Arial" w:cs="Arial" w:eastAsia="Arial" w:hAnsi="Arial"/>
          <w:sz w:val="17"/>
          <w:szCs w:val="17"/>
          <w:color w:val="auto"/>
        </w:rPr>
        <w:t>Our commercial strategy involves a “razor and razor blade” sales model, through which we aim to drive adoption of our RxSight system by increasing our installed base of LDDs, which enable consumable revenues from the sale of our LALs. We believe this commercial strategy over time may provide a degree of predictability in terms of our commercial growth and a consumable revenue stream from sales of our LALs. We are currently focused on driving adoption with surgeons performing a high volume of premium cataract procedures. According to the 2021 Premium Cataract Surgery Market Report (“Market Scope 2021 Premium Report”), approximately 10,000 surgeons perform cataract surgeries in the United States and we estimate that as many as 3,000 surgeons performed approximately 70% to 80% of the premium procedures in the United States in 2021.</w:t>
      </w:r>
    </w:p>
    <w:p>
      <w:pPr>
        <w:spacing w:after="0" w:line="63" w:lineRule="exact"/>
        <w:rPr>
          <w:sz w:val="20"/>
          <w:szCs w:val="20"/>
          <w:color w:val="auto"/>
        </w:rPr>
      </w:pPr>
    </w:p>
    <w:p>
      <w:pPr>
        <w:ind w:right="100" w:firstLine="374"/>
        <w:spacing w:after="0" w:line="245" w:lineRule="auto"/>
        <w:rPr>
          <w:sz w:val="20"/>
          <w:szCs w:val="20"/>
          <w:color w:val="auto"/>
        </w:rPr>
      </w:pPr>
      <w:r>
        <w:rPr>
          <w:rFonts w:ascii="Arial" w:cs="Arial" w:eastAsia="Arial" w:hAnsi="Arial"/>
          <w:sz w:val="18"/>
          <w:szCs w:val="18"/>
          <w:color w:val="auto"/>
        </w:rPr>
        <w:t>In 2022, according to the Market Scope 2022 IOL Market Report the (“Market Scope 2022 IOL Market Report”), conventional cataract surgery is expected to comprise 88% of procedures worldwide and 80% of procedures in the United States; however, revenue for the premium IOL market is approximately 42% of the worldwide IOL market, due to higher lens pricing, and is expected to grow significantly faster. In 2022, according to the Market Scope 2022 IOL Market Report, the conventional IOL market revenues are expected to be approximately $2.9 billion worldwide and expected to grow to $4.2 billion in 2027, a CAGR of 7.3%. In 2022, according to the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7" w:name="page28"/>
    <w:bookmarkEnd w:id="27"/>
    <w:p>
      <w:pPr>
        <w:ind w:right="560"/>
        <w:spacing w:after="0" w:line="277" w:lineRule="auto"/>
        <w:rPr>
          <w:sz w:val="20"/>
          <w:szCs w:val="20"/>
          <w:color w:val="auto"/>
        </w:rPr>
      </w:pPr>
      <w:r>
        <w:rPr>
          <w:rFonts w:ascii="Arial" w:cs="Arial" w:eastAsia="Arial" w:hAnsi="Arial"/>
          <w:sz w:val="18"/>
          <w:szCs w:val="18"/>
          <w:color w:val="auto"/>
        </w:rPr>
        <w:t>Market Scope 2022 IOL Market Report, premium IOL revenues are expected to be approximately $740 million in the United States and $2.2 billion worldwide and are expected to grow at a CAGR of 11.0% and 12.5%, respectively, through 2027.</w:t>
      </w:r>
    </w:p>
    <w:p>
      <w:pPr>
        <w:spacing w:after="0" w:line="48" w:lineRule="exact"/>
        <w:rPr>
          <w:sz w:val="20"/>
          <w:szCs w:val="20"/>
          <w:color w:val="auto"/>
        </w:rPr>
      </w:pPr>
    </w:p>
    <w:p>
      <w:pPr>
        <w:ind w:right="120" w:firstLine="374"/>
        <w:spacing w:after="0" w:line="279" w:lineRule="auto"/>
        <w:rPr>
          <w:sz w:val="20"/>
          <w:szCs w:val="20"/>
          <w:color w:val="auto"/>
        </w:rPr>
      </w:pPr>
      <w:r>
        <w:rPr>
          <w:rFonts w:ascii="Arial" w:cs="Arial" w:eastAsia="Arial" w:hAnsi="Arial"/>
          <w:sz w:val="16"/>
          <w:szCs w:val="16"/>
          <w:color w:val="auto"/>
        </w:rPr>
        <w:t>We believe this provides an attractive and concentrated market opportunity addressable with a focused sales force. We currently employ a sales team that, as of September 30, 2022, includes 20 LDD sales personnel, 17 LAL sales personnel, and a group of approximately 88 clinical specialists, field service, customer service, and marketing personnel. Our sales personnel generally have relevant experience selling cataract surgery products, as well as medical device service and clinical experience. We believe increasing the number of sales representatives, practice development personnel and clinical trainers will help facilitate further adoption of our products among existing customer accounts as well as broaden awareness of our products to new accounts. While we intend to initially focus our growing commercial efforts in the U.S., in the future, we may selectively pursue commercial expansion in Asia, Europe, Australia or other geographies with significant market opportunity for premium IOLs, leveraging our CE and FDA approvals.</w:t>
      </w:r>
    </w:p>
    <w:p>
      <w:pPr>
        <w:spacing w:after="0" w:line="53" w:lineRule="exact"/>
        <w:rPr>
          <w:sz w:val="20"/>
          <w:szCs w:val="20"/>
          <w:color w:val="auto"/>
        </w:rPr>
      </w:pPr>
    </w:p>
    <w:p>
      <w:pPr>
        <w:ind w:right="40" w:firstLine="374"/>
        <w:spacing w:after="0" w:line="244" w:lineRule="auto"/>
        <w:rPr>
          <w:sz w:val="20"/>
          <w:szCs w:val="20"/>
          <w:color w:val="auto"/>
        </w:rPr>
      </w:pPr>
      <w:r>
        <w:rPr>
          <w:rFonts w:ascii="Arial" w:cs="Arial" w:eastAsia="Arial" w:hAnsi="Arial"/>
          <w:sz w:val="18"/>
          <w:szCs w:val="18"/>
          <w:color w:val="auto"/>
        </w:rPr>
        <w:t>Our near-term research and development activities are focused on improving customer experience, expanding our indications for use, reducing manufacturing costs and lifecycle management and enhancements to the RxSight system to improve clinical outcomes to drive product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78"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On July 29, 2021, we completed our Initial Public Offering (“IPO”), which resulted in the issuance and sale of 8,248,549 shares of common stock, including 898,549 shares sold pursuant to the exercise of the underwriters’ over-allotment option at the IPO price of $16.00 per share. We received net proceeds of approximately $119.6 million from the IPO, after deducting underwriters’ discounts and commissions of $9.2 million and offering costs of $3.2 million.</w:t>
      </w:r>
    </w:p>
    <w:p>
      <w:pPr>
        <w:spacing w:after="0" w:line="88" w:lineRule="exact"/>
        <w:rPr>
          <w:sz w:val="20"/>
          <w:szCs w:val="20"/>
          <w:color w:val="auto"/>
        </w:rPr>
      </w:pPr>
    </w:p>
    <w:p>
      <w:pPr>
        <w:ind w:right="60" w:firstLine="374"/>
        <w:spacing w:after="0" w:line="258" w:lineRule="auto"/>
        <w:rPr>
          <w:sz w:val="20"/>
          <w:szCs w:val="20"/>
          <w:color w:val="auto"/>
        </w:rPr>
      </w:pPr>
      <w:r>
        <w:rPr>
          <w:rFonts w:ascii="Arial" w:cs="Arial" w:eastAsia="Arial" w:hAnsi="Arial"/>
          <w:sz w:val="17"/>
          <w:szCs w:val="17"/>
          <w:color w:val="auto"/>
        </w:rPr>
        <w:t>Prior to our IPO, our primary sources of capital had been private placements of preferred stock, a structured transaction with a strategic partner, debt financing and revenue from sales of our products. Since inception, we raised a total of $191.3 million in net proceeds from private placements of preferred stock, $120.0 million from a strategic partner, approximately $39.2 million in net proceeds from a credit facility, and approximately $12.5 million from issuance of common stock from stock option exercises and shares issued from the employee stock purchase plan. As of September 30, 2022, we had cash and cash equivalents of $8.9 million, short-term investments of $103.9 million, long-term debt of $40.0 million and an accumulated deficit of $530.4 million. We generated net sales of $32.9 million and had a net loss of $51.1 million for the nine months ended September 30, 2022, as compared to sales of $14.2 million and net loss of $33.0 million for the nine months ended September 30, 2021.</w:t>
      </w:r>
    </w:p>
    <w:p>
      <w:pPr>
        <w:spacing w:after="0" w:line="80" w:lineRule="exact"/>
        <w:rPr>
          <w:sz w:val="20"/>
          <w:szCs w:val="20"/>
          <w:color w:val="auto"/>
        </w:rPr>
      </w:pPr>
    </w:p>
    <w:p>
      <w:pPr>
        <w:ind w:right="60" w:firstLine="374"/>
        <w:spacing w:after="0" w:line="277" w:lineRule="auto"/>
        <w:rPr>
          <w:sz w:val="20"/>
          <w:szCs w:val="20"/>
          <w:color w:val="auto"/>
        </w:rPr>
      </w:pPr>
      <w:r>
        <w:rPr>
          <w:rFonts w:ascii="Arial" w:cs="Arial" w:eastAsia="Arial" w:hAnsi="Arial"/>
          <w:sz w:val="16"/>
          <w:szCs w:val="16"/>
          <w:color w:val="auto"/>
        </w:rPr>
        <w:t>We have made, and intend to continue to make, significant investments in our sales and marketing organization, primarily sales representatives, clinical applications specialists and technical service personnel to support new customers and upgrades and practice development personnel to facilitate adoption of use of our LALs among existing accounts. We will expand our marketing efforts with additional advertising and customer tools to expand their local advertising. We will also continue to make significant investments in research and development and clinical expenses to make enhancements in our current products. As a public company, we have incurred, and will continue to incur costs that we have not previously incurred or have previously incurred at lower rates, including increased costs for employee-related expenses, director and officer insurance premiums, audit and legal fees, investor relations fees, fees to members of our board of directors and expenses for compliance with public-company reporting requirements. Because of these and other factors, we expect to continue to incur substantial net losses and negative cash flows from operations for at least the next several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60" w:firstLine="374"/>
        <w:spacing w:after="0" w:line="302" w:lineRule="auto"/>
        <w:rPr>
          <w:sz w:val="20"/>
          <w:szCs w:val="20"/>
          <w:color w:val="auto"/>
        </w:rPr>
      </w:pPr>
      <w:r>
        <w:rPr>
          <w:rFonts w:ascii="Arial" w:cs="Arial" w:eastAsia="Arial" w:hAnsi="Arial"/>
          <w:sz w:val="16"/>
          <w:szCs w:val="16"/>
          <w:color w:val="auto"/>
        </w:rPr>
        <w:t>We regularly review several operating and financial metrics to evaluate our business, measure our performance, identify trends affecting our business, formulate our business plan and make strategic decisions. We believe the number of LDDs installed, LALs implanted and the number of doctors performing surgery with our products are indicators of our ability to drive adoption and generate revenue. We believe these are important metrics for our</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28" w:name="page29"/>
    <w:bookmarkEnd w:id="28"/>
    <w:p>
      <w:pPr>
        <w:ind w:right="60"/>
        <w:spacing w:after="0" w:line="277" w:lineRule="auto"/>
        <w:rPr>
          <w:sz w:val="20"/>
          <w:szCs w:val="20"/>
          <w:color w:val="auto"/>
        </w:rPr>
      </w:pPr>
      <w:r>
        <w:rPr>
          <w:rFonts w:ascii="Arial" w:cs="Arial" w:eastAsia="Arial" w:hAnsi="Arial"/>
          <w:sz w:val="18"/>
          <w:szCs w:val="18"/>
          <w:color w:val="auto"/>
        </w:rPr>
        <w:t>business. Due to our limited commercial history, we may not yet be able to accurately assess seasonality and other trends, and we will continue to evaluate our business in the future using these and other financial metrics as we observe trends in our business.</w:t>
      </w:r>
    </w:p>
    <w:p>
      <w:pPr>
        <w:spacing w:after="0" w:line="48"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We believe the number of LDDs sold in each quarter and our LDD installed base at the end of each period are important metrics as they represent an installed base into which we can sell our LALs.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Q1</w:t>
            </w:r>
          </w:p>
        </w:tc>
        <w:tc>
          <w:tcPr>
            <w:tcW w:w="720" w:type="dxa"/>
            <w:vAlign w:val="bottom"/>
          </w:tcPr>
          <w:p>
            <w:pPr>
              <w:jc w:val="right"/>
              <w:ind w:right="296"/>
              <w:spacing w:after="0"/>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36"/>
              <w:spacing w:after="0"/>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4"/>
                <w:szCs w:val="14"/>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4"/>
                <w:szCs w:val="14"/>
                <w:color w:val="auto"/>
              </w:rPr>
            </w:pPr>
          </w:p>
        </w:tc>
        <w:tc>
          <w:tcPr>
            <w:tcW w:w="840" w:type="dxa"/>
            <w:vAlign w:val="bottom"/>
          </w:tcPr>
          <w:p>
            <w:pPr>
              <w:jc w:val="right"/>
              <w:ind w:right="236"/>
              <w:spacing w:after="0"/>
              <w:rPr>
                <w:sz w:val="20"/>
                <w:szCs w:val="20"/>
                <w:color w:val="auto"/>
              </w:rPr>
            </w:pPr>
            <w:r>
              <w:rPr>
                <w:rFonts w:ascii="Arial" w:cs="Arial" w:eastAsia="Arial" w:hAnsi="Arial"/>
                <w:sz w:val="14"/>
                <w:szCs w:val="14"/>
                <w:b w:val="1"/>
                <w:bCs w:val="1"/>
                <w:color w:val="auto"/>
              </w:rPr>
              <w:t>Q2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Q3</w:t>
            </w:r>
          </w:p>
        </w:tc>
        <w:tc>
          <w:tcPr>
            <w:tcW w:w="220" w:type="dxa"/>
            <w:vAlign w:val="bottom"/>
          </w:tcPr>
          <w:p>
            <w:pPr>
              <w:spacing w:after="0"/>
              <w:rPr>
                <w:sz w:val="14"/>
                <w:szCs w:val="14"/>
                <w:color w:val="auto"/>
              </w:rPr>
            </w:pPr>
          </w:p>
        </w:tc>
        <w:tc>
          <w:tcPr>
            <w:tcW w:w="900" w:type="dxa"/>
            <w:vAlign w:val="bottom"/>
          </w:tcPr>
          <w:p>
            <w:pPr>
              <w:jc w:val="right"/>
              <w:ind w:right="276"/>
              <w:spacing w:after="0"/>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4"/>
                <w:szCs w:val="14"/>
                <w:color w:val="auto"/>
              </w:rPr>
            </w:pPr>
          </w:p>
        </w:tc>
      </w:tr>
      <w:tr>
        <w:trPr>
          <w:trHeight w:val="209"/>
        </w:trPr>
        <w:tc>
          <w:tcPr>
            <w:tcW w:w="3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LDDs Sold</w:t>
            </w: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Installed Base at End of Period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Reduced by one LDD taken out of installed base in Q2 2022.</w:t>
      </w:r>
    </w:p>
    <w:p>
      <w:pPr>
        <w:spacing w:after="0" w:line="103"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We believe the number of LALs sold (reported as implanted in a patient) in each quarter is an important metric indicative of adoption and utilization of our RxSight system. During the quarter ended September 30, 2022, we had increased LDD sales of 18 and increased LAL sales of 4,618 when compared to the quarter ended September 30, 2021 from strong adoption of our RxSight technology by practices and doctors combined with an increased LDD installed base.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1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Q1</w:t>
            </w: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Q1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6"/>
              </w:rPr>
              <w:t>Q2</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Q3</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Q4</w:t>
            </w:r>
          </w:p>
        </w:tc>
        <w:tc>
          <w:tcPr>
            <w:tcW w:w="320" w:type="dxa"/>
            <w:vAlign w:val="bottom"/>
          </w:tcPr>
          <w:p>
            <w:pPr>
              <w:spacing w:after="0"/>
              <w:rPr>
                <w:sz w:val="14"/>
                <w:szCs w:val="14"/>
                <w:color w:val="auto"/>
              </w:rPr>
            </w:pPr>
          </w:p>
        </w:tc>
      </w:tr>
      <w:tr>
        <w:trPr>
          <w:trHeight w:val="209"/>
        </w:trPr>
        <w:tc>
          <w:tcPr>
            <w:tcW w:w="1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LALs Sold</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300" w:type="dxa"/>
            <w:vAlign w:val="bottom"/>
            <w:gridSpan w:val="2"/>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w:t>
            </w:r>
          </w:p>
        </w:tc>
        <w:tc>
          <w:tcPr>
            <w:tcW w:w="32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3" w:lineRule="exact"/>
        <w:rPr>
          <w:sz w:val="20"/>
          <w:szCs w:val="20"/>
          <w:color w:val="auto"/>
        </w:rPr>
      </w:pPr>
    </w:p>
    <w:p>
      <w:pPr>
        <w:ind w:right="180" w:firstLine="374"/>
        <w:spacing w:after="0" w:line="287" w:lineRule="auto"/>
        <w:rPr>
          <w:sz w:val="20"/>
          <w:szCs w:val="20"/>
          <w:color w:val="auto"/>
        </w:rPr>
      </w:pPr>
      <w:r>
        <w:rPr>
          <w:rFonts w:ascii="Arial" w:cs="Arial" w:eastAsia="Arial" w:hAnsi="Arial"/>
          <w:sz w:val="16"/>
          <w:szCs w:val="16"/>
          <w:color w:val="auto"/>
        </w:rPr>
        <w:t>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including our ActivShield™ technology with new and existing customers and as doctors perform more premium procedures using our products.</w:t>
      </w:r>
    </w:p>
    <w:p>
      <w:pPr>
        <w:spacing w:after="0" w:line="46" w:lineRule="exact"/>
        <w:rPr>
          <w:sz w:val="20"/>
          <w:szCs w:val="20"/>
          <w:color w:val="auto"/>
        </w:rPr>
      </w:pPr>
    </w:p>
    <w:p>
      <w:pPr>
        <w:ind w:right="220" w:firstLine="374"/>
        <w:spacing w:after="0" w:line="261" w:lineRule="auto"/>
        <w:rPr>
          <w:sz w:val="20"/>
          <w:szCs w:val="20"/>
          <w:color w:val="auto"/>
        </w:rPr>
      </w:pPr>
      <w:r>
        <w:rPr>
          <w:rFonts w:ascii="Arial" w:cs="Arial" w:eastAsia="Arial" w:hAnsi="Arial"/>
          <w:sz w:val="18"/>
          <w:szCs w:val="18"/>
          <w:color w:val="auto"/>
        </w:rPr>
        <w:t>LALs are held at customer sites on consignment. The single performance obligation is satisfied, and revenue is recognized for LALs upon customer notification that the LALs have been implanted in a patient.</w:t>
      </w:r>
    </w:p>
    <w:p>
      <w:pPr>
        <w:spacing w:after="0" w:line="76" w:lineRule="exact"/>
        <w:rPr>
          <w:sz w:val="20"/>
          <w:szCs w:val="20"/>
          <w:color w:val="auto"/>
        </w:rPr>
      </w:pPr>
    </w:p>
    <w:p>
      <w:pPr>
        <w:ind w:right="140" w:firstLine="374"/>
        <w:spacing w:after="0" w:line="243" w:lineRule="auto"/>
        <w:rPr>
          <w:sz w:val="20"/>
          <w:szCs w:val="20"/>
          <w:color w:val="auto"/>
        </w:rPr>
      </w:pPr>
      <w:r>
        <w:rPr>
          <w:rFonts w:ascii="Arial" w:cs="Arial" w:eastAsia="Arial" w:hAnsi="Arial"/>
          <w:sz w:val="18"/>
          <w:szCs w:val="18"/>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is recognized upon completion of training by at least one doctor, and the initial warranty and service agreement are recognized ratably over the service period. After the first year, service contracts can be purchased separately on a standalone basis. We recorded contract liabilities of $1,041,000 and $540,000 related to such service agreements as of September 30, 2022 and December 31, 2021, respectively. Revenue for such service agreements will be recognized over the term of each contract.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three and nine months ended September 30, 2022 and 2021, sales from contracts with customers consisted of the following:</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8"/>
              </w:rPr>
              <w:t>Three Months Ended September 30,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 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LDD (including training)</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5,688</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15,941</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LAL</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6,526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15,979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5"/>
              </w:rPr>
              <w:t>Service warranty, service contracts, and accessories</w:t>
            </w:r>
          </w:p>
        </w:tc>
        <w:tc>
          <w:tcPr>
            <w:tcW w:w="10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12,615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5,786</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32,917</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8"/>
                <w:szCs w:val="18"/>
                <w:color w:val="auto"/>
              </w:rPr>
              <w:t>29</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0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-804545</wp:posOffset>
            </wp:positionV>
            <wp:extent cx="7683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-804545</wp:posOffset>
            </wp:positionV>
            <wp:extent cx="7683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-804545</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-804545</wp:posOffset>
            </wp:positionV>
            <wp:extent cx="6858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9" w:name="page30"/>
    <w:bookmarkEnd w:id="29"/>
    <w:p>
      <w:pPr>
        <w:ind w:right="420" w:firstLine="374"/>
        <w:spacing w:after="0" w:line="277" w:lineRule="auto"/>
        <w:rPr>
          <w:sz w:val="20"/>
          <w:szCs w:val="20"/>
          <w:color w:val="auto"/>
        </w:rPr>
      </w:pPr>
      <w:r>
        <w:rPr>
          <w:rFonts w:ascii="Arial" w:cs="Arial" w:eastAsia="Arial" w:hAnsi="Arial"/>
          <w:sz w:val="17"/>
          <w:szCs w:val="17"/>
          <w:color w:val="auto"/>
        </w:rPr>
        <w:t>For the three and nine months ended September 30, 2022 we did not have any one customer who individually accounted for more than 10% of revenue. For the three months ended September 30, 2021, we had one customer who individually accounted for 11% of revenue. For the nine months ended September 30, 2021, we did not have any one customer who individually accounted for more than 10% of revenue.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3" w:lineRule="exact"/>
        <w:rPr>
          <w:sz w:val="20"/>
          <w:szCs w:val="20"/>
          <w:color w:val="auto"/>
        </w:rPr>
      </w:pPr>
    </w:p>
    <w:p>
      <w:pPr>
        <w:ind w:right="80" w:firstLine="374"/>
        <w:spacing w:after="0" w:line="263" w:lineRule="auto"/>
        <w:rPr>
          <w:sz w:val="20"/>
          <w:szCs w:val="20"/>
          <w:color w:val="auto"/>
        </w:rPr>
      </w:pPr>
      <w:r>
        <w:rPr>
          <w:rFonts w:ascii="Arial" w:cs="Arial" w:eastAsia="Arial" w:hAnsi="Arial"/>
          <w:sz w:val="17"/>
          <w:szCs w:val="17"/>
          <w:color w:val="auto"/>
        </w:rPr>
        <w:t>Cost of sales consists of materials, labor and manufacturing overhead internally to produce our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62" w:lineRule="exact"/>
        <w:rPr>
          <w:sz w:val="20"/>
          <w:szCs w:val="20"/>
          <w:color w:val="auto"/>
        </w:rPr>
      </w:pPr>
    </w:p>
    <w:p>
      <w:pPr>
        <w:ind w:right="220" w:firstLine="374"/>
        <w:spacing w:after="0" w:line="248" w:lineRule="auto"/>
        <w:rPr>
          <w:sz w:val="20"/>
          <w:szCs w:val="20"/>
          <w:color w:val="auto"/>
        </w:rPr>
      </w:pPr>
      <w:r>
        <w:rPr>
          <w:rFonts w:ascii="Arial" w:cs="Arial" w:eastAsia="Arial" w:hAnsi="Arial"/>
          <w:sz w:val="18"/>
          <w:szCs w:val="18"/>
          <w:color w:val="auto"/>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based on product mix and also as we introduce new products and adopt new manufacturing processes and technologies.</w:t>
      </w:r>
    </w:p>
    <w:p>
      <w:pPr>
        <w:spacing w:after="0" w:line="88"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Our LDD, as is typical of many medical device capital equipment products, has a low gross margin, as the material cost of the LDD is significant, representing over 60% of the total cost to manufacture. In addition, we do not mark up our LDD substantially, as LDDs, once sold, generate LAL procedures. Our LAL gross margin is higher, with low material cost but high fixed overhead costs. As our manufacturing volume of the LAL increases, we expect the gross margin may improve significantly.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3"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color w:val="auto"/>
        </w:rPr>
        <w:t>Selling, general and administrative, or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and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R&amp;D expenses as a percentage of revenue to vary over time depending on the level and timing of our new product development efforts, as well as our clinical development, clinical trials and registries and other related activities.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w:t>
      </w:r>
    </w:p>
    <w:p>
      <w:pPr>
        <w:spacing w:after="0" w:line="103" w:lineRule="exact"/>
        <w:rPr>
          <w:sz w:val="20"/>
          <w:szCs w:val="20"/>
          <w:color w:val="auto"/>
        </w:rPr>
      </w:pPr>
    </w:p>
    <w:p>
      <w:pPr>
        <w:ind w:right="620" w:firstLine="374"/>
        <w:spacing w:after="0" w:line="261" w:lineRule="auto"/>
        <w:rPr>
          <w:sz w:val="20"/>
          <w:szCs w:val="20"/>
          <w:color w:val="auto"/>
        </w:rPr>
      </w:pPr>
      <w:r>
        <w:rPr>
          <w:rFonts w:ascii="Arial" w:cs="Arial" w:eastAsia="Arial" w:hAnsi="Arial"/>
          <w:sz w:val="18"/>
          <w:szCs w:val="18"/>
          <w:color w:val="auto"/>
        </w:rPr>
        <w:t>Change in fair value of warrants consists of gains and losses resulting from the remeasurement of the fair value of our preferred stock warrant liabilities at each balance sheet date. We recorded adjustments to the estimated fair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30" w:name="page31"/>
    <w:bookmarkEnd w:id="30"/>
    <w:p>
      <w:pPr>
        <w:ind w:right="440"/>
        <w:spacing w:after="0" w:line="277" w:lineRule="auto"/>
        <w:rPr>
          <w:sz w:val="20"/>
          <w:szCs w:val="20"/>
          <w:color w:val="auto"/>
        </w:rPr>
      </w:pPr>
      <w:r>
        <w:rPr>
          <w:rFonts w:ascii="Arial" w:cs="Arial" w:eastAsia="Arial" w:hAnsi="Arial"/>
          <w:sz w:val="18"/>
          <w:szCs w:val="18"/>
          <w:color w:val="auto"/>
        </w:rPr>
        <w:t>value of the preferred stock warrants until the conversion of the underlying convertible preferred stock into common stock which occurred immediately prior to the completion of our IPO in July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warrant</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Expiration of warrants represents the gain from the expiration of warrants unexercised and the reversal of the corresponding warrant liability.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3" w:lineRule="exact"/>
        <w:rPr>
          <w:sz w:val="20"/>
          <w:szCs w:val="20"/>
          <w:color w:val="auto"/>
        </w:rPr>
      </w:pPr>
    </w:p>
    <w:p>
      <w:pPr>
        <w:ind w:right="640" w:firstLine="374"/>
        <w:spacing w:after="0" w:line="277"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indebtedness.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and other income consists primarily of interest income earned on our short-term investments and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3" w:lineRule="exact"/>
        <w:rPr>
          <w:sz w:val="20"/>
          <w:szCs w:val="20"/>
          <w:color w:val="auto"/>
        </w:rPr>
      </w:pPr>
    </w:p>
    <w:p>
      <w:pPr>
        <w:ind w:right="200" w:firstLine="374"/>
        <w:spacing w:after="0" w:line="302" w:lineRule="auto"/>
        <w:rPr>
          <w:sz w:val="20"/>
          <w:szCs w:val="20"/>
          <w:color w:val="auto"/>
        </w:rPr>
      </w:pPr>
      <w:r>
        <w:rPr>
          <w:rFonts w:ascii="Arial" w:cs="Arial" w:eastAsia="Arial" w:hAnsi="Arial"/>
          <w:sz w:val="16"/>
          <w:szCs w:val="16"/>
          <w:color w:val="auto"/>
        </w:rPr>
        <w:t>All components of comprehensive loss, including net loss, are reported in the condensed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17"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2022 and 2021 together with the dollar increase or decrease and percentage change in those items.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120" w:type="dxa"/>
            <w:vAlign w:val="bottom"/>
          </w:tcPr>
          <w:p>
            <w:pPr>
              <w:spacing w:after="0"/>
              <w:rPr>
                <w:sz w:val="20"/>
                <w:szCs w:val="20"/>
                <w:color w:val="auto"/>
              </w:rPr>
            </w:pPr>
          </w:p>
        </w:tc>
        <w:tc>
          <w:tcPr>
            <w:tcW w:w="31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w w:val="90"/>
              </w:rPr>
              <w:t>Three Months Ended September 30,</w:t>
            </w:r>
          </w:p>
        </w:tc>
        <w:tc>
          <w:tcPr>
            <w:tcW w:w="320" w:type="dxa"/>
            <w:vAlign w:val="bottom"/>
          </w:tcPr>
          <w:p>
            <w:pPr>
              <w:spacing w:after="0"/>
              <w:rPr>
                <w:sz w:val="20"/>
                <w:szCs w:val="20"/>
                <w:color w:val="auto"/>
              </w:rPr>
            </w:pPr>
          </w:p>
        </w:tc>
        <w:tc>
          <w:tcPr>
            <w:tcW w:w="1660" w:type="dxa"/>
            <w:vAlign w:val="bottom"/>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auto"/>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12,615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5,786</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6,829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118.0</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FF0FC"/>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FF0FC"/>
              <w:bottom w:val="single" w:sz="8" w:color="auto"/>
            </w:tcBorders>
            <w:shd w:val="clear" w:color="auto" w:fill="CFF0FC"/>
          </w:tcPr>
          <w:p>
            <w:pPr>
              <w:spacing w:after="0"/>
              <w:rPr>
                <w:sz w:val="17"/>
                <w:szCs w:val="17"/>
                <w:color w:val="auto"/>
              </w:rPr>
            </w:pPr>
          </w:p>
        </w:tc>
        <w:tc>
          <w:tcPr>
            <w:tcW w:w="124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21,314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auto"/>
            </w:tcBorders>
            <w:shd w:val="clear" w:color="auto" w:fill="CFF0FC"/>
          </w:tcPr>
          <w:p>
            <w:pPr>
              <w:spacing w:after="0"/>
              <w:rPr>
                <w:sz w:val="17"/>
                <w:szCs w:val="17"/>
                <w:color w:val="auto"/>
              </w:rPr>
            </w:pPr>
          </w:p>
        </w:tc>
        <w:tc>
          <w:tcPr>
            <w:tcW w:w="108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14,453</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CFF0FC"/>
              <w:bottom w:val="single" w:sz="8" w:color="auto"/>
            </w:tcBorders>
            <w:shd w:val="clear" w:color="auto" w:fill="CFF0FC"/>
          </w:tcPr>
          <w:p>
            <w:pPr>
              <w:spacing w:after="0"/>
              <w:rPr>
                <w:sz w:val="17"/>
                <w:szCs w:val="17"/>
                <w:color w:val="auto"/>
              </w:rPr>
            </w:pPr>
          </w:p>
        </w:tc>
        <w:tc>
          <w:tcPr>
            <w:tcW w:w="100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6,861</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47.5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(15,958 )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(13,112 )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(2,846 )</w:t>
            </w:r>
          </w:p>
        </w:tc>
        <w:tc>
          <w:tcPr>
            <w:tcW w:w="4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Change in fair value of warrants</w:t>
            </w:r>
          </w:p>
        </w:tc>
        <w:tc>
          <w:tcPr>
            <w:tcW w:w="12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(1,503 )</w:t>
            </w:r>
          </w:p>
        </w:tc>
        <w:tc>
          <w:tcPr>
            <w:tcW w:w="4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(1,299 )</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(1,079 )</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(220 )</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0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(16,818 )</w:t>
            </w:r>
          </w:p>
        </w:tc>
        <w:tc>
          <w:tcPr>
            <w:tcW w:w="30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(12,677 )</w:t>
            </w:r>
          </w:p>
        </w:tc>
        <w:tc>
          <w:tcPr>
            <w:tcW w:w="32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(4,141 )</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(16,818 )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(12,673 )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(4,145 )</w:t>
            </w:r>
          </w:p>
        </w:tc>
        <w:tc>
          <w:tcPr>
            <w:tcW w:w="4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32.7 %</w:t>
            </w: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Unrealized gain (loss) on short-term investments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(1,168.6 )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loss</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(10 )</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(3 )</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(7 )</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(8 )</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(635.4 )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(16,773</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(12,681</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4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-3766820</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-3484245</wp:posOffset>
            </wp:positionV>
            <wp:extent cx="7132320" cy="2825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-2773680</wp:posOffset>
            </wp:positionV>
            <wp:extent cx="76835"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-2773680</wp:posOffset>
            </wp:positionV>
            <wp:extent cx="76835"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-2931795</wp:posOffset>
            </wp:positionV>
            <wp:extent cx="1168400" cy="303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68400" cy="303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290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4540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5402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Sales</w:t>
      </w:r>
    </w:p>
    <w:p>
      <w:pPr>
        <w:spacing w:after="0" w:line="103" w:lineRule="exact"/>
        <w:rPr>
          <w:sz w:val="20"/>
          <w:szCs w:val="20"/>
          <w:color w:val="auto"/>
        </w:rPr>
      </w:pPr>
    </w:p>
    <w:p>
      <w:pPr>
        <w:ind w:right="160" w:firstLine="374"/>
        <w:spacing w:after="0" w:line="255" w:lineRule="auto"/>
        <w:rPr>
          <w:sz w:val="20"/>
          <w:szCs w:val="20"/>
          <w:color w:val="auto"/>
        </w:rPr>
      </w:pPr>
      <w:r>
        <w:rPr>
          <w:rFonts w:ascii="Arial" w:cs="Arial" w:eastAsia="Arial" w:hAnsi="Arial"/>
          <w:sz w:val="18"/>
          <w:szCs w:val="18"/>
          <w:color w:val="auto"/>
        </w:rPr>
        <w:t>Sales increased by $6.8 million, or 118.0%, to $12.6 million for the three months ended September 30, 2022, from $5.8 million for the three months ended September 30, 2021. The increase in total sales was primarily due to incremental sales of 4,618 LALs and 18 LDDs from strong adoption of our RxSight technology by practices and doctors.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260" w:firstLine="374"/>
        <w:spacing w:after="0" w:line="243" w:lineRule="auto"/>
        <w:rPr>
          <w:sz w:val="20"/>
          <w:szCs w:val="20"/>
          <w:color w:val="auto"/>
        </w:rPr>
      </w:pPr>
      <w:r>
        <w:rPr>
          <w:rFonts w:ascii="Arial" w:cs="Arial" w:eastAsia="Arial" w:hAnsi="Arial"/>
          <w:sz w:val="18"/>
          <w:szCs w:val="18"/>
          <w:color w:val="auto"/>
        </w:rPr>
        <w:t>Cost of sales increased by $2.8 million, or 63.3%, to $7.3 million for the three months ended September 30, 2022, from $4.4 million for the three months ended September 30, 2021, primarily due to the increase in the number of LALs and LDDs sold during the period. Gross margin increased to 42.5% in the three months ended September 30, 2022, from 23.2% for the three months ended September 30, 2021 primarily due to improved operating leverage and favorable product mix.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Selling, general and administrative expenses increased by $5.9 million, or 64.5%, to $14.9 million for the three months ended September 30, 2022, from $9.1 million for the three months ended September 30, 2021. This increase was primarily attributable to an increase in selling and marketing costs of $5.2 million mainly due to increased salaries from increased headcount of 48, sales commissions, incentive bonuses and employee benefits of $3.3 million, $0.8 million of increased stock-based compensation expense due to increased headcount, $0.5 million in additional post market study costs, new customer acquisition costs and increased travel costs of $0.8 million from increased LDD sales when compared to the three months ended September 30, 2021. General and administrative expenses increased $0.8 million due to increased personnel expenses of $0.3 million primarily due to increased headcount, $0.3 million increased costs related to operating as a public company and increased stock-based compensation of $0.2 million when compared to the three months ended September 30,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3" w:lineRule="exact"/>
        <w:rPr>
          <w:sz w:val="20"/>
          <w:szCs w:val="20"/>
          <w:color w:val="auto"/>
        </w:rPr>
      </w:pPr>
    </w:p>
    <w:p>
      <w:pPr>
        <w:ind w:right="140" w:firstLine="374"/>
        <w:spacing w:after="0" w:line="341" w:lineRule="auto"/>
        <w:rPr>
          <w:sz w:val="20"/>
          <w:szCs w:val="20"/>
          <w:color w:val="auto"/>
        </w:rPr>
      </w:pPr>
      <w:r>
        <w:rPr>
          <w:rFonts w:ascii="Arial" w:cs="Arial" w:eastAsia="Arial" w:hAnsi="Arial"/>
          <w:sz w:val="16"/>
          <w:szCs w:val="16"/>
          <w:color w:val="auto"/>
        </w:rPr>
        <w:t>Research and development expenses increased by $1.0 million, or 18.8%, to $6.4 million for the three months ended September 30, 2022, from $5.4 million for the three months ended September 30, 2021. This increase was primarily attributable to $0.8 million from increased clinical study costs.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income (expense), net, increased by $1.3 million to expense of $0.9 million for the three months ended September 30, 2022 from income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$0.4 million for the three months ended September 30, 2021 due to an increase in interest expense of $0.2 million on our amended term loan due to higher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average outstanding balances and increased interest paid from higher interest rates which were offset by the change in the fair value of liability classified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warrants of $1.5 million.</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32" w:name="page33"/>
    <w:bookmarkEnd w:id="32"/>
    <w:p>
      <w:pPr>
        <w:ind w:right="440" w:firstLine="374"/>
        <w:spacing w:after="0" w:line="277" w:lineRule="auto"/>
        <w:rPr>
          <w:sz w:val="20"/>
          <w:szCs w:val="20"/>
          <w:color w:val="auto"/>
        </w:rPr>
      </w:pPr>
      <w:r>
        <w:rPr>
          <w:rFonts w:ascii="Arial" w:cs="Arial" w:eastAsia="Arial" w:hAnsi="Arial"/>
          <w:sz w:val="18"/>
          <w:szCs w:val="18"/>
          <w:color w:val="auto"/>
        </w:rPr>
        <w:t>The following table summarizes our results of operations for nine months ended September 30, 2022 and 2021 together with the dollar increase or decrease and percentage change in those items: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140" w:type="dxa"/>
            <w:vAlign w:val="bottom"/>
          </w:tcPr>
          <w:p>
            <w:pPr>
              <w:spacing w:after="0"/>
              <w:rPr>
                <w:sz w:val="20"/>
                <w:szCs w:val="20"/>
                <w:color w:val="auto"/>
              </w:rPr>
            </w:pPr>
          </w:p>
        </w:tc>
        <w:tc>
          <w:tcPr>
            <w:tcW w:w="314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w w:val="91"/>
              </w:rPr>
              <w:t>Nine Months Ended September 30,</w:t>
            </w:r>
          </w:p>
        </w:tc>
        <w:tc>
          <w:tcPr>
            <w:tcW w:w="340" w:type="dxa"/>
            <w:vAlign w:val="bottom"/>
          </w:tcPr>
          <w:p>
            <w:pPr>
              <w:spacing w:after="0"/>
              <w:rPr>
                <w:sz w:val="20"/>
                <w:szCs w:val="20"/>
                <w:color w:val="auto"/>
              </w:rPr>
            </w:pPr>
          </w:p>
        </w:tc>
        <w:tc>
          <w:tcPr>
            <w:tcW w:w="1640" w:type="dxa"/>
            <w:vAlign w:val="bottom"/>
            <w:gridSpan w:val="4"/>
          </w:tcPr>
          <w:p>
            <w:pPr>
              <w:ind w:left="90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auto"/>
            </w:tcBorders>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32,917</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14,167</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132.3</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19,011</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12,519</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42,934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19,300</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FF0FC"/>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FF0FC"/>
              <w:bottom w:val="single" w:sz="8" w:color="auto"/>
            </w:tcBorders>
            <w:shd w:val="clear" w:color="auto" w:fill="CFF0FC"/>
          </w:tcPr>
          <w:p>
            <w:pPr>
              <w:spacing w:after="0"/>
              <w:rPr>
                <w:sz w:val="17"/>
                <w:szCs w:val="17"/>
                <w:color w:val="auto"/>
              </w:rPr>
            </w:pPr>
          </w:p>
        </w:tc>
        <w:tc>
          <w:tcPr>
            <w:tcW w:w="122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62,234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auto"/>
            </w:tcBorders>
            <w:shd w:val="clear" w:color="auto" w:fill="CFF0FC"/>
          </w:tcPr>
          <w:p>
            <w:pPr>
              <w:spacing w:after="0"/>
              <w:rPr>
                <w:sz w:val="17"/>
                <w:szCs w:val="17"/>
                <w:color w:val="auto"/>
              </w:rPr>
            </w:pPr>
          </w:p>
        </w:tc>
        <w:tc>
          <w:tcPr>
            <w:tcW w:w="108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39,772</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22,462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56.5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(48,328 )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(38,124 )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(10,204 )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Change in fair value of warrants</w:t>
            </w:r>
          </w:p>
        </w:tc>
        <w:tc>
          <w:tcPr>
            <w:tcW w:w="140" w:type="dxa"/>
            <w:vAlign w:val="bottom"/>
          </w:tcPr>
          <w:p>
            <w:pPr>
              <w:spacing w:after="0"/>
              <w:rPr>
                <w:sz w:val="18"/>
                <w:szCs w:val="18"/>
                <w:color w:val="auto"/>
              </w:rPr>
            </w:pPr>
          </w:p>
        </w:tc>
        <w:tc>
          <w:tcPr>
            <w:tcW w:w="1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(2,717 )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Expiration of warrant</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(5,018 )</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(3,495 )</w:t>
            </w:r>
          </w:p>
        </w:tc>
        <w:tc>
          <w:tcPr>
            <w:tcW w:w="30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(2,603 )</w:t>
            </w: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(892 )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and other income</w:t>
            </w: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(2,814 )</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(7,990 )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xml:space="preserve">(154.4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(51,142</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(32,948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(51,146</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(32,954</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(18,192</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short-term investments</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(95 )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(2 )</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(93 )</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4,317.7</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Foreign currency translation loss</w:t>
            </w:r>
          </w:p>
        </w:tc>
        <w:tc>
          <w:tcPr>
            <w:tcW w:w="14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(23 )</w:t>
            </w:r>
          </w:p>
        </w:tc>
        <w:tc>
          <w:tcPr>
            <w:tcW w:w="30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(6 )</w:t>
            </w: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loss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(51,264 )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(32,962 )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(18,301 )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55.5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-3124835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-2842260</wp:posOffset>
            </wp:positionV>
            <wp:extent cx="7132320" cy="2825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-2131695</wp:posOffset>
            </wp:positionV>
            <wp:extent cx="76835"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-2289810</wp:posOffset>
            </wp:positionV>
            <wp:extent cx="2178685" cy="303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78685" cy="30353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-1301115</wp:posOffset>
            </wp:positionV>
            <wp:extent cx="76835"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-1301115</wp:posOffset>
            </wp:positionV>
            <wp:extent cx="6858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-1301115</wp:posOffset>
            </wp:positionV>
            <wp:extent cx="685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-864235</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-170815</wp:posOffset>
            </wp:positionV>
            <wp:extent cx="7683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-170815</wp:posOffset>
            </wp:positionV>
            <wp:extent cx="685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-170815</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right="220" w:firstLine="374"/>
        <w:spacing w:after="0" w:line="293" w:lineRule="auto"/>
        <w:rPr>
          <w:sz w:val="20"/>
          <w:szCs w:val="20"/>
          <w:color w:val="auto"/>
        </w:rPr>
      </w:pPr>
      <w:r>
        <w:rPr>
          <w:rFonts w:ascii="Arial" w:cs="Arial" w:eastAsia="Arial" w:hAnsi="Arial"/>
          <w:sz w:val="16"/>
          <w:szCs w:val="16"/>
          <w:color w:val="auto"/>
        </w:rPr>
        <w:t>Sales increased by $18.8 million, or 132.3%, to $32.9 million for the nine months ended September 30, 2022, from $14.2 million for the nine months ended September 30, 2021. The increase was due to incremental sales of 10,792 LALs primarily due to an increased LDD installed base and incremental sales of 69 LDDs from strong adoption of our RxSight technology by practices and doctors combined with an increased LDD installed base.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3" w:lineRule="exact"/>
        <w:rPr>
          <w:sz w:val="20"/>
          <w:szCs w:val="20"/>
          <w:color w:val="auto"/>
        </w:rPr>
      </w:pPr>
    </w:p>
    <w:p>
      <w:pPr>
        <w:ind w:right="480" w:firstLine="374"/>
        <w:spacing w:after="0" w:line="283" w:lineRule="auto"/>
        <w:rPr>
          <w:sz w:val="20"/>
          <w:szCs w:val="20"/>
          <w:color w:val="auto"/>
        </w:rPr>
      </w:pPr>
      <w:r>
        <w:rPr>
          <w:rFonts w:ascii="Arial" w:cs="Arial" w:eastAsia="Arial" w:hAnsi="Arial"/>
          <w:sz w:val="16"/>
          <w:szCs w:val="16"/>
          <w:color w:val="auto"/>
        </w:rPr>
        <w:t>Cost of sales increased by $6.5 million, or 51.9%, to $19.0 million for the nine months ended September 30, 2022 from $12.5 million for the nine months ended September 30, 2021, primarily due to the increase in the number of LALs and LDDs sold during the period. Gross margin increased to</w:t>
      </w:r>
    </w:p>
    <w:p>
      <w:pPr>
        <w:ind w:right="140"/>
        <w:spacing w:after="0" w:line="246" w:lineRule="auto"/>
        <w:rPr>
          <w:sz w:val="20"/>
          <w:szCs w:val="20"/>
          <w:color w:val="auto"/>
        </w:rPr>
      </w:pPr>
      <w:r>
        <w:rPr>
          <w:rFonts w:ascii="Arial" w:cs="Arial" w:eastAsia="Arial" w:hAnsi="Arial"/>
          <w:sz w:val="18"/>
          <w:szCs w:val="18"/>
          <w:color w:val="auto"/>
        </w:rPr>
        <w:t>42.3% for the nine months ended September 30, 2022, reflecting favorable product mix from 11.6% for the nine months ended September 30, 2021. Gross margin for the nine months ended September 30, 2021 was negatively impacted by a $2.3 million reserve for excess LAL inventory as a result of the introduction of our updated LAL including our ActivShield technology.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3" w:lineRule="exact"/>
        <w:rPr>
          <w:sz w:val="20"/>
          <w:szCs w:val="20"/>
          <w:color w:val="auto"/>
        </w:rPr>
      </w:pPr>
    </w:p>
    <w:p>
      <w:pPr>
        <w:ind w:right="100" w:firstLine="374"/>
        <w:spacing w:after="0" w:line="282" w:lineRule="auto"/>
        <w:rPr>
          <w:sz w:val="20"/>
          <w:szCs w:val="20"/>
          <w:color w:val="auto"/>
        </w:rPr>
      </w:pPr>
      <w:r>
        <w:rPr>
          <w:rFonts w:ascii="Arial" w:cs="Arial" w:eastAsia="Arial" w:hAnsi="Arial"/>
          <w:sz w:val="16"/>
          <w:szCs w:val="16"/>
          <w:color w:val="auto"/>
        </w:rPr>
        <w:t>Selling, general and administrative expenses increased by $21.7 million, or 102.6%, to $42.9 million for the nine months ended September 30, 2022, from $21.2 million for the nine months ended September 30, 2021. The increase was primarily driven by an increase in selling and marketing related expenses of $16.9 million due mainly to $10.3 million of 48 additional selling and marketing headcount, $1.6 million in higher selling and marketing stock-based compensation expenses, increased travel costs of $1.9 million due to increased LDD sales, the temporary reduction in selling and marketing travel costs during the nine months ended September 30, 2021 caused by COVID-19 and increased materials and post market study costs of $2.3 million. General and administrative costs increased $4.9 million, due to increased personnel expenses of $1.5 million primarily due to increased headcount,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35" w:right="239" w:bottom="1440" w:gutter="0" w:footer="0" w:header="0"/>
        </w:sectPr>
      </w:pPr>
    </w:p>
    <w:bookmarkStart w:id="33" w:name="page34"/>
    <w:bookmarkEnd w:id="33"/>
    <w:p>
      <w:pPr>
        <w:ind w:right="460"/>
        <w:spacing w:after="0" w:line="277" w:lineRule="auto"/>
        <w:rPr>
          <w:sz w:val="20"/>
          <w:szCs w:val="20"/>
          <w:color w:val="auto"/>
        </w:rPr>
      </w:pPr>
      <w:r>
        <w:rPr>
          <w:rFonts w:ascii="Arial" w:cs="Arial" w:eastAsia="Arial" w:hAnsi="Arial"/>
          <w:sz w:val="18"/>
          <w:szCs w:val="18"/>
          <w:color w:val="auto"/>
        </w:rPr>
        <w:t>$1.6 million in higher general and administrative stock-based compensation expenses and $2.0 million in higher costs related to operating as a public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3" w:lineRule="exact"/>
        <w:rPr>
          <w:sz w:val="20"/>
          <w:szCs w:val="20"/>
          <w:color w:val="auto"/>
        </w:rPr>
      </w:pPr>
    </w:p>
    <w:p>
      <w:pPr>
        <w:ind w:right="120" w:firstLine="374"/>
        <w:spacing w:after="0" w:line="277" w:lineRule="auto"/>
        <w:rPr>
          <w:sz w:val="20"/>
          <w:szCs w:val="20"/>
          <w:color w:val="auto"/>
        </w:rPr>
      </w:pPr>
      <w:r>
        <w:rPr>
          <w:rFonts w:ascii="Arial" w:cs="Arial" w:eastAsia="Arial" w:hAnsi="Arial"/>
          <w:sz w:val="17"/>
          <w:szCs w:val="17"/>
          <w:color w:val="auto"/>
        </w:rPr>
        <w:t>Research and development expenses increased by $0.7 million, or 3.9%, to $19.3 million for the nine months ended September 30, 2022, from $18.6 million for the nine months ended September 30, 2021. This increase was primarily attributable to $1.0 million in increased clinical study costs and $1.0 million in increased personnel costs which were partially offset by $1.5 million reduced material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3" w:lineRule="exact"/>
        <w:rPr>
          <w:sz w:val="20"/>
          <w:szCs w:val="20"/>
          <w:color w:val="auto"/>
        </w:rPr>
      </w:pPr>
    </w:p>
    <w:p>
      <w:pPr>
        <w:ind w:right="60" w:firstLine="374"/>
        <w:spacing w:after="0" w:line="263" w:lineRule="auto"/>
        <w:rPr>
          <w:sz w:val="20"/>
          <w:szCs w:val="20"/>
          <w:color w:val="auto"/>
        </w:rPr>
      </w:pPr>
      <w:r>
        <w:rPr>
          <w:rFonts w:ascii="Arial" w:cs="Arial" w:eastAsia="Arial" w:hAnsi="Arial"/>
          <w:sz w:val="17"/>
          <w:szCs w:val="17"/>
          <w:color w:val="auto"/>
        </w:rPr>
        <w:t>Other income (expense), net, increased by $8.0 million to an expense of $2.8 million for the nine months ended September 30, 2022, from income of $5.2 million for the nine months ended September 30, 2021, due primarily to a favorable change in fair value of warrant liabilities of $2.7 million and gain of expiration of warrant of $5.0 million during nine months ended September 30, 2021, which did not recur in the nine months ended September 30, 2022, and increased interest expense of $0.9 million on our amended term loan which was partially offset by increased interest income of $0.6 million from higher interest rates on our short-term investments when compared to the prior year period.</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September 30, 2022, we had cash, cash equivalents and short-term investments of $112.8 million. For the nine months ended September 30, 2022, and 2021, our loss from operations were $48.3 million and $38.1 million, respectively. We had an accumulated deficit of $530.4 million as of September 30, 2022.</w:t>
      </w:r>
    </w:p>
    <w:p>
      <w:pPr>
        <w:spacing w:after="0" w:line="75" w:lineRule="exact"/>
        <w:rPr>
          <w:sz w:val="20"/>
          <w:szCs w:val="20"/>
          <w:color w:val="auto"/>
        </w:rPr>
      </w:pPr>
    </w:p>
    <w:p>
      <w:pPr>
        <w:ind w:right="20" w:firstLine="374"/>
        <w:spacing w:after="0" w:line="261" w:lineRule="auto"/>
        <w:rPr>
          <w:sz w:val="20"/>
          <w:szCs w:val="20"/>
          <w:color w:val="auto"/>
        </w:rPr>
      </w:pPr>
      <w:r>
        <w:rPr>
          <w:rFonts w:ascii="Arial" w:cs="Arial" w:eastAsia="Arial" w:hAnsi="Arial"/>
          <w:sz w:val="18"/>
          <w:szCs w:val="18"/>
          <w:color w:val="auto"/>
        </w:rPr>
        <w:t>Prior to our IPO, which we completed in July 2021, our primary sources of capital were private placements of preferred stock, a structured transaction with a strategic partner, debt financing and from sales of our products.</w:t>
      </w:r>
    </w:p>
    <w:p>
      <w:pPr>
        <w:spacing w:after="0" w:line="76" w:lineRule="exact"/>
        <w:rPr>
          <w:sz w:val="20"/>
          <w:szCs w:val="20"/>
          <w:color w:val="auto"/>
        </w:rPr>
      </w:pPr>
    </w:p>
    <w:p>
      <w:pPr>
        <w:ind w:right="300" w:firstLine="374"/>
        <w:spacing w:after="0" w:line="293" w:lineRule="auto"/>
        <w:rPr>
          <w:sz w:val="20"/>
          <w:szCs w:val="20"/>
          <w:color w:val="auto"/>
        </w:rPr>
      </w:pPr>
      <w:r>
        <w:rPr>
          <w:rFonts w:ascii="Arial" w:cs="Arial" w:eastAsia="Arial" w:hAnsi="Arial"/>
          <w:sz w:val="16"/>
          <w:szCs w:val="16"/>
          <w:color w:val="auto"/>
        </w:rPr>
        <w:t>On July 29, 2021, we completed our IPO through an underwritten sale of 8,248,549 shares of its common stock at a price of $16.00 per share. The aggregate net proceeds from the offering, inclusive of an additional 898,549 common shares sold pursuant to the exercise of the underwriters’ over-allotment option, after deducting underwriting discounts and commissions and other offering expenses, were approximately $119.6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May 3, 2022, we entered into a Second Amendment (“Second Amendment”) to the Term Loan (as amended through the Second Amendment,</w:t>
      </w:r>
    </w:p>
    <w:p>
      <w:pPr>
        <w:spacing w:after="0" w:line="3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(“Amended Term Loan”). The Amended Term Loan increased the loan and security agreement to $60.0 million, of which $40.0 million was fully funded as of May 3, 2022 from the original term loan. Under the Amended Term Loan, we may borrow an additional amount of up to $10.0 million through June 30, 2023, upon satisfaction of the applicable drawdown conditions and we achieve sufficient trailing twelve-month sales as provided in the agreement for the measurement period ending March 31, 2023. Subject to the terms and conditions of the Amended Term Loan, we may also borrow an additional amount of up to $10.0 million through September 30, 2023, upon satisfaction of the applicable drawdown conditions and we achieve sufficient trailing twelve-month sales as provided in the agreement for the measurement period ending June 30, 2023. The Amended Term Loan bears interest at a rate per annum equal to the greater of (i) 9.25% or (ii) 1-Month Term Secured Overnight Financing Rate (“SOFR”) (or, if greater, 0.16%) plus an applicable margin of 9.09%. If there is an event of default under the Amended Term Loan additional interest of 5% applies. The Amended Term Loan extends the maturity date of the loan and security agreement, which was due to expire on October 1, 2025, to February 1, 2027. The Company refers to its $60.0 million Amended Term Loan as its credit facility. See Note 6 - Term Loan in the Notes to the unaudited condensed consolidated financial statements included in this quarterly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03" w:lineRule="exact"/>
        <w:rPr>
          <w:sz w:val="20"/>
          <w:szCs w:val="20"/>
          <w:color w:val="auto"/>
        </w:rPr>
      </w:pPr>
    </w:p>
    <w:p>
      <w:pPr>
        <w:ind w:right="120" w:firstLine="374"/>
        <w:spacing w:after="0" w:line="261" w:lineRule="auto"/>
        <w:rPr>
          <w:sz w:val="20"/>
          <w:szCs w:val="20"/>
          <w:color w:val="auto"/>
        </w:rPr>
      </w:pPr>
      <w:r>
        <w:rPr>
          <w:rFonts w:ascii="Arial" w:cs="Arial" w:eastAsia="Arial" w:hAnsi="Arial"/>
          <w:sz w:val="18"/>
          <w:szCs w:val="18"/>
          <w:color w:val="auto"/>
        </w:rPr>
        <w:t>On August 8, 2022, we filed a $200 million shelf registration statement on Form S-3 which became effective August 12, 2022. The shelf registration statement is effective for three years and permits us to sell, from time to</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5" w:right="379" w:bottom="1440" w:gutter="0" w:footer="0" w:header="0"/>
        </w:sectPr>
      </w:pPr>
    </w:p>
    <w:bookmarkStart w:id="34" w:name="page35"/>
    <w:bookmarkEnd w:id="34"/>
    <w:p>
      <w:pPr>
        <w:jc w:val="both"/>
        <w:ind w:right="60"/>
        <w:spacing w:after="0" w:line="276" w:lineRule="auto"/>
        <w:rPr>
          <w:sz w:val="20"/>
          <w:szCs w:val="20"/>
          <w:color w:val="auto"/>
        </w:rPr>
      </w:pPr>
      <w:r>
        <w:rPr>
          <w:rFonts w:ascii="Arial" w:cs="Arial" w:eastAsia="Arial" w:hAnsi="Arial"/>
          <w:sz w:val="16"/>
          <w:szCs w:val="16"/>
          <w:color w:val="auto"/>
        </w:rPr>
        <w:t>time, up to $200 million in aggregate value of our common stock, preferred stock, debt securities, warrants, and/or units. The shelf registration statement is intended to provide us with flexibility to access additional capital when market conditions are appropriate. Pursuant to the shelf registration statement, we filed a prospectus supplement to sell up to an aggregate value of $50 million dollars of our common stock through an “at-the-market” (“ATM”) offering.</w:t>
      </w:r>
    </w:p>
    <w:p>
      <w:pPr>
        <w:ind w:right="360"/>
        <w:spacing w:after="0" w:line="220" w:lineRule="auto"/>
        <w:rPr>
          <w:sz w:val="20"/>
          <w:szCs w:val="20"/>
          <w:color w:val="auto"/>
        </w:rPr>
      </w:pPr>
      <w:r>
        <w:rPr>
          <w:rFonts w:ascii="Arial" w:cs="Arial" w:eastAsia="Arial" w:hAnsi="Arial"/>
          <w:sz w:val="18"/>
          <w:szCs w:val="18"/>
          <w:color w:val="auto"/>
        </w:rPr>
        <w:t>The shares will be offered through BofA Securities as sales agent pursuant to the terms and conditions of an ATM Equity Offering</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Sales Agreement, dated August 8, 2022.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11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research and development efforts;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and marketing activities;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capital investments, primarily in inventories and accounts receivable;</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service and debt covenant requirements;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additional funds or borrow on our credit facility to finance our operations;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costs and timing of any clinical trial results for our current or future products;</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and effect of competing or complementary products;</w:t>
      </w:r>
    </w:p>
    <w:p>
      <w:pPr>
        <w:spacing w:after="0" w:line="103" w:lineRule="exact"/>
        <w:rPr>
          <w:rFonts w:ascii="Arial" w:cs="Arial" w:eastAsia="Arial" w:hAnsi="Arial"/>
          <w:sz w:val="18"/>
          <w:szCs w:val="18"/>
          <w:color w:val="auto"/>
        </w:rPr>
      </w:pPr>
    </w:p>
    <w:p>
      <w:pPr>
        <w:jc w:val="both"/>
        <w:ind w:left="380" w:right="160" w:hanging="372"/>
        <w:spacing w:after="0" w:line="255"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68" w:lineRule="exact"/>
        <w:rPr>
          <w:rFonts w:ascii="Arial" w:cs="Arial" w:eastAsia="Arial" w:hAnsi="Arial"/>
          <w:sz w:val="18"/>
          <w:szCs w:val="18"/>
          <w:color w:val="auto"/>
        </w:rPr>
      </w:pPr>
    </w:p>
    <w:p>
      <w:pPr>
        <w:ind w:left="380" w:right="340" w:hanging="372"/>
        <w:spacing w:after="0" w:line="261"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our current employees and the need and ability to hire additional management, sales, research and development, scientific and customer support personnel;</w:t>
      </w:r>
    </w:p>
    <w:p>
      <w:pPr>
        <w:spacing w:after="0" w:line="75"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and finance lease payments for our facilities;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116"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03" w:lineRule="exact"/>
        <w:rPr>
          <w:sz w:val="20"/>
          <w:szCs w:val="20"/>
          <w:color w:val="auto"/>
        </w:rPr>
      </w:pPr>
    </w:p>
    <w:p>
      <w:pPr>
        <w:ind w:firstLine="374"/>
        <w:spacing w:after="0" w:line="275" w:lineRule="auto"/>
        <w:rPr>
          <w:sz w:val="20"/>
          <w:szCs w:val="20"/>
          <w:color w:val="auto"/>
        </w:rPr>
      </w:pPr>
      <w:r>
        <w:rPr>
          <w:rFonts w:ascii="Arial" w:cs="Arial" w:eastAsia="Arial" w:hAnsi="Arial"/>
          <w:sz w:val="16"/>
          <w:szCs w:val="16"/>
          <w:color w:val="auto"/>
        </w:rPr>
        <w:t>Based on our current planned operations, we expect that our current cash, cash equivalents and short-term investments will be sufficient to fund our operations for the next 12 months after the date our most recent financial statements were issued. Our ability to continue as a going concern is dependent upon our ability to successfully secure sources of financing from equity or debt securities, loans or collaborative agreements and ultimately achieve profitable operations. In the long-term it is likely we will require additional financing from debt or equity to satisfy our liquidity requirements, fund working capital and pay our obligations. There can be no assurance that we will be successful in acquiring additional funding at levels sufficient to fund our operations or on terms favorable to us, if at all. If adequate funds are not available on acceptable terms when needed, we may be required to significantly reduce operating activities, which may have a material adverse effect on our business and/or results of operations and financial condition. If we do raise additional capital through public or private equity or convertible debt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Part II, Item 1A (“Risk Factors”) of this Quarterly Report on Form 10-Q for additional risks associated with our substantial capital requirements.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sources and uses of cash, cash equivalents, and restricted cash for each of the periods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50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1"/>
              </w:rPr>
              <w:t>For the Nine Months Ended September 30,</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(unaudited)</w:t>
            </w: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(44,996 )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(35,986 )</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29,545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(46,561 )</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7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Effect of foreign exchange rate on cash, cash equivalents</w:t>
            </w:r>
          </w:p>
        </w:tc>
        <w:tc>
          <w:tcPr>
            <w:tcW w:w="980" w:type="dxa"/>
            <w:vAlign w:val="bottom"/>
            <w:shd w:val="clear" w:color="auto" w:fill="CFF0FC"/>
          </w:tcPr>
          <w:p>
            <w:pPr>
              <w:spacing w:after="0"/>
              <w:rPr>
                <w:sz w:val="15"/>
                <w:szCs w:val="15"/>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(23 )</w:t>
            </w:r>
          </w:p>
        </w:tc>
        <w:tc>
          <w:tcPr>
            <w:tcW w:w="460" w:type="dxa"/>
            <w:vAlign w:val="bottom"/>
            <w:shd w:val="clear" w:color="auto" w:fill="CFF0FC"/>
          </w:tcPr>
          <w:p>
            <w:pPr>
              <w:spacing w:after="0"/>
              <w:rPr>
                <w:sz w:val="15"/>
                <w:szCs w:val="15"/>
                <w:color w:val="auto"/>
              </w:rPr>
            </w:pPr>
          </w:p>
        </w:tc>
        <w:tc>
          <w:tcPr>
            <w:tcW w:w="12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restricted cash</w:t>
            </w:r>
          </w:p>
        </w:tc>
        <w:tc>
          <w:tcPr>
            <w:tcW w:w="98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(15,449 )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operating activities</w:t>
      </w:r>
    </w:p>
    <w:p>
      <w:pPr>
        <w:spacing w:after="0" w:line="107"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2022, was $45.0 million, consisting primarily of a net loss of $51.1 million, a change in operating assets and liabilities of $5.6 million, partially offset by non-cash stock-based compensation of $8.4 million, and depreciation and amortization of $3.0 million.</w:t>
      </w:r>
    </w:p>
    <w:p>
      <w:pPr>
        <w:spacing w:after="0" w:line="68" w:lineRule="exact"/>
        <w:rPr>
          <w:sz w:val="20"/>
          <w:szCs w:val="20"/>
          <w:color w:val="auto"/>
        </w:rPr>
      </w:pPr>
    </w:p>
    <w:p>
      <w:pPr>
        <w:ind w:right="380" w:firstLine="374"/>
        <w:spacing w:after="0" w:line="248" w:lineRule="auto"/>
        <w:rPr>
          <w:sz w:val="20"/>
          <w:szCs w:val="20"/>
          <w:color w:val="auto"/>
        </w:rPr>
      </w:pPr>
      <w:r>
        <w:rPr>
          <w:rFonts w:ascii="Arial" w:cs="Arial" w:eastAsia="Arial" w:hAnsi="Arial"/>
          <w:sz w:val="18"/>
          <w:szCs w:val="18"/>
          <w:color w:val="auto"/>
        </w:rPr>
        <w:t>Net cash used in operating activities for the nine months ended September 30, 2021, was $36.0 million, consisting primarily of a net loss of $33.0 million, a non-cash gain on expiration of an unexercised warrant of $5.0 million, an increase in operating assets and liabilities of $5.6 million, partially offset by non-cash stock-based compensation of $4.7 million, provision for excess and obsolete inventory of $2.4 million, and depreciation and amortization of $3.0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(used in) investing activities</w:t>
      </w:r>
    </w:p>
    <w:p>
      <w:pPr>
        <w:spacing w:after="0" w:line="107"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Net cash provided by investing activities for the nine months ended September 30, 2022, was $29.5 million, consisting of net maturities of short-term investments of $31.6 million which were offset by purchases of property and equipment of $2.0 million.</w:t>
      </w:r>
    </w:p>
    <w:p>
      <w:pPr>
        <w:spacing w:after="0" w:line="48" w:lineRule="exact"/>
        <w:rPr>
          <w:sz w:val="20"/>
          <w:szCs w:val="20"/>
          <w:color w:val="auto"/>
        </w:rPr>
      </w:pPr>
    </w:p>
    <w:p>
      <w:pPr>
        <w:ind w:right="460" w:firstLine="374"/>
        <w:spacing w:after="0" w:line="261" w:lineRule="auto"/>
        <w:rPr>
          <w:sz w:val="20"/>
          <w:szCs w:val="20"/>
          <w:color w:val="auto"/>
        </w:rPr>
      </w:pPr>
      <w:r>
        <w:rPr>
          <w:rFonts w:ascii="Arial" w:cs="Arial" w:eastAsia="Arial" w:hAnsi="Arial"/>
          <w:sz w:val="18"/>
          <w:szCs w:val="18"/>
          <w:color w:val="auto"/>
        </w:rPr>
        <w:t>Net cash used in investing activities for the nine months ended September 30, 2021, was $46.6 million, consisting of net purchases of short-term investments of $45.0 million and purchases of property and equipment of $1.6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financing activities</w:t>
      </w:r>
    </w:p>
    <w:p>
      <w:pPr>
        <w:spacing w:after="0" w:line="121" w:lineRule="exact"/>
        <w:rPr>
          <w:sz w:val="20"/>
          <w:szCs w:val="20"/>
          <w:color w:val="auto"/>
        </w:rPr>
      </w:pPr>
    </w:p>
    <w:p>
      <w:pPr>
        <w:ind w:right="80" w:firstLine="374"/>
        <w:spacing w:after="0" w:line="247" w:lineRule="auto"/>
        <w:rPr>
          <w:sz w:val="20"/>
          <w:szCs w:val="20"/>
          <w:color w:val="auto"/>
        </w:rPr>
      </w:pPr>
      <w:r>
        <w:rPr>
          <w:rFonts w:ascii="Arial" w:cs="Arial" w:eastAsia="Arial" w:hAnsi="Arial"/>
          <w:sz w:val="18"/>
          <w:szCs w:val="18"/>
          <w:color w:val="auto"/>
        </w:rPr>
        <w:t>Net cash provided by financing activities for the nine months ended September 30, 2022, was $25,000 primarily from proceeds from issuances of common stock of $1.1 million partially offset by $0.6 million for payments for employee taxes related to stock compensation and payments of $0.3 million for deferred offering costs.</w:t>
      </w:r>
    </w:p>
    <w:p>
      <w:pPr>
        <w:spacing w:after="0" w:line="89" w:lineRule="exact"/>
        <w:rPr>
          <w:sz w:val="20"/>
          <w:szCs w:val="20"/>
          <w:color w:val="auto"/>
        </w:rPr>
      </w:pPr>
    </w:p>
    <w:p>
      <w:pPr>
        <w:ind w:right="520" w:firstLine="374"/>
        <w:spacing w:after="0" w:line="247" w:lineRule="auto"/>
        <w:rPr>
          <w:sz w:val="20"/>
          <w:szCs w:val="20"/>
          <w:color w:val="auto"/>
        </w:rPr>
      </w:pPr>
      <w:r>
        <w:rPr>
          <w:rFonts w:ascii="Arial" w:cs="Arial" w:eastAsia="Arial" w:hAnsi="Arial"/>
          <w:sz w:val="18"/>
          <w:szCs w:val="18"/>
          <w:color w:val="auto"/>
        </w:rPr>
        <w:t>Net cash provided by financing activities for the nine months ended September 30, 2021, was $136.9 million, consisting primarily of from net proceeds from the IPO of $119.6 million and a draw on the Company’s term loan of $15.0 million and proceeds from stock options exercised of $1.4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7" w:lineRule="exact"/>
        <w:rPr>
          <w:sz w:val="20"/>
          <w:szCs w:val="20"/>
          <w:color w:val="auto"/>
        </w:rPr>
      </w:pPr>
    </w:p>
    <w:p>
      <w:pPr>
        <w:ind w:right="260" w:firstLine="419"/>
        <w:spacing w:after="0" w:line="277" w:lineRule="auto"/>
        <w:rPr>
          <w:sz w:val="20"/>
          <w:szCs w:val="20"/>
          <w:color w:val="auto"/>
        </w:rPr>
      </w:pPr>
      <w:r>
        <w:rPr>
          <w:rFonts w:ascii="Arial" w:cs="Arial" w:eastAsia="Arial" w:hAnsi="Arial"/>
          <w:sz w:val="18"/>
          <w:szCs w:val="18"/>
          <w:color w:val="auto"/>
        </w:rPr>
        <w:t>We have a standby letter of credit, expiring September 30, 2024, issued by a financial institution as a required security for one operating lease. The aggregate amount of the letter of credit was $0.3 million as of September 30, 2022 and December 31,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7" w:lineRule="exact"/>
        <w:rPr>
          <w:sz w:val="20"/>
          <w:szCs w:val="20"/>
          <w:color w:val="auto"/>
        </w:rPr>
      </w:pPr>
    </w:p>
    <w:p>
      <w:pPr>
        <w:ind w:right="220" w:firstLine="374"/>
        <w:spacing w:after="0" w:line="330" w:lineRule="auto"/>
        <w:rPr>
          <w:sz w:val="20"/>
          <w:szCs w:val="20"/>
          <w:color w:val="auto"/>
        </w:rPr>
      </w:pPr>
      <w:r>
        <w:rPr>
          <w:rFonts w:ascii="Arial" w:cs="Arial" w:eastAsia="Arial" w:hAnsi="Arial"/>
          <w:sz w:val="15"/>
          <w:szCs w:val="15"/>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ind w:right="120"/>
        <w:spacing w:after="0" w:line="289" w:lineRule="auto"/>
        <w:rPr>
          <w:sz w:val="20"/>
          <w:szCs w:val="20"/>
          <w:color w:val="auto"/>
        </w:rPr>
      </w:pPr>
      <w:r>
        <w:rPr>
          <w:rFonts w:ascii="Arial" w:cs="Arial" w:eastAsia="Arial" w:hAnsi="Arial"/>
          <w:sz w:val="16"/>
          <w:szCs w:val="16"/>
          <w:color w:val="auto"/>
        </w:rPr>
        <w:t>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w:t>
      </w:r>
    </w:p>
    <w:p>
      <w:pPr>
        <w:spacing w:after="0" w:line="58" w:lineRule="exact"/>
        <w:rPr>
          <w:sz w:val="20"/>
          <w:szCs w:val="20"/>
          <w:color w:val="auto"/>
        </w:rPr>
      </w:pPr>
    </w:p>
    <w:p>
      <w:pPr>
        <w:ind w:firstLine="374"/>
        <w:spacing w:after="0" w:line="247" w:lineRule="auto"/>
        <w:rPr>
          <w:sz w:val="20"/>
          <w:szCs w:val="20"/>
          <w:color w:val="auto"/>
        </w:rPr>
      </w:pPr>
      <w:r>
        <w:rPr>
          <w:rFonts w:ascii="Arial" w:cs="Arial" w:eastAsia="Arial" w:hAnsi="Arial"/>
          <w:sz w:val="18"/>
          <w:szCs w:val="18"/>
          <w:color w:val="auto"/>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spacing w:after="0" w:line="89" w:lineRule="exact"/>
        <w:rPr>
          <w:sz w:val="20"/>
          <w:szCs w:val="20"/>
          <w:color w:val="auto"/>
        </w:rPr>
      </w:pPr>
    </w:p>
    <w:p>
      <w:pPr>
        <w:ind w:right="140" w:firstLine="374"/>
        <w:spacing w:after="0" w:line="247" w:lineRule="auto"/>
        <w:rPr>
          <w:sz w:val="20"/>
          <w:szCs w:val="20"/>
          <w:color w:val="auto"/>
        </w:rPr>
      </w:pPr>
      <w:r>
        <w:rPr>
          <w:rFonts w:ascii="Arial" w:cs="Arial" w:eastAsia="Arial" w:hAnsi="Arial"/>
          <w:sz w:val="18"/>
          <w:szCs w:val="18"/>
          <w:color w:val="auto"/>
        </w:rPr>
        <w:t>For a summary of our critical accounting policies and estimates, refer to “Management's Discussion and Analysis of Financial Condition and Results of Operations” included in our Annual Report on Form 10-K filed with the SEC on March 8, 2022. There have been no material changes to our critical accounting policies and estimates during the nine months ended September 30, 2022.</w:t>
      </w:r>
    </w:p>
    <w:p>
      <w:pPr>
        <w:spacing w:after="0" w:line="76"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Our significant accounting policies are described in the notes to our financial statements included in our Annual Report on Form 10-K filed with the SEC on March 8,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7" w:lineRule="exact"/>
        <w:rPr>
          <w:sz w:val="20"/>
          <w:szCs w:val="20"/>
          <w:color w:val="auto"/>
        </w:rPr>
      </w:pPr>
    </w:p>
    <w:p>
      <w:pPr>
        <w:ind w:right="80" w:firstLine="374"/>
        <w:spacing w:after="0" w:line="26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7" w:lineRule="exact"/>
        <w:rPr>
          <w:sz w:val="20"/>
          <w:szCs w:val="20"/>
          <w:color w:val="auto"/>
        </w:rPr>
      </w:pPr>
    </w:p>
    <w:p>
      <w:pPr>
        <w:ind w:right="480" w:firstLine="374"/>
        <w:spacing w:after="0" w:line="261"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financial statements included elsewhere in this Quarterly Report on Form 10-Q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07"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Quarterly Report on Form 10-Q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67" w:lineRule="exact"/>
        <w:rPr>
          <w:sz w:val="20"/>
          <w:szCs w:val="20"/>
          <w:color w:val="auto"/>
        </w:rPr>
      </w:pPr>
    </w:p>
    <w:p>
      <w:pPr>
        <w:ind w:right="80" w:firstLine="374"/>
        <w:spacing w:after="0" w:line="248"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p>
    <w:p>
      <w:pPr>
        <w:spacing w:after="0" w:line="75" w:lineRule="exact"/>
        <w:rPr>
          <w:sz w:val="20"/>
          <w:szCs w:val="20"/>
          <w:color w:val="auto"/>
        </w:rPr>
      </w:pPr>
    </w:p>
    <w:p>
      <w:pPr>
        <w:ind w:right="20" w:firstLine="374"/>
        <w:spacing w:after="0" w:line="268"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initial public offering (i.e.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7" w:name="page38"/>
    <w:bookmarkEnd w:id="37"/>
    <w:p>
      <w:pPr>
        <w:ind w:right="20"/>
        <w:spacing w:after="0" w:line="277" w:lineRule="auto"/>
        <w:rPr>
          <w:sz w:val="20"/>
          <w:szCs w:val="20"/>
          <w:color w:val="auto"/>
        </w:rPr>
      </w:pPr>
      <w:r>
        <w:rPr>
          <w:rFonts w:ascii="Arial" w:cs="Arial" w:eastAsia="Arial" w:hAnsi="Arial"/>
          <w:sz w:val="18"/>
          <w:szCs w:val="18"/>
          <w:color w:val="auto"/>
        </w:rPr>
        <w:t>last business day of the second fiscal quarter of such year; or (iv) the date on which we have issued more than $1.0 billion in non-convertible debt securities during the prior three-year period.</w:t>
      </w:r>
    </w:p>
    <w:p>
      <w:pPr>
        <w:spacing w:after="0" w:line="48" w:lineRule="exact"/>
        <w:rPr>
          <w:sz w:val="20"/>
          <w:szCs w:val="20"/>
          <w:color w:val="auto"/>
        </w:rPr>
      </w:pPr>
    </w:p>
    <w:p>
      <w:pPr>
        <w:ind w:right="120" w:firstLine="374"/>
        <w:spacing w:after="0" w:line="246"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supply chain constraints and inflation</w:t>
      </w:r>
    </w:p>
    <w:p>
      <w:pPr>
        <w:spacing w:after="0" w:line="107" w:lineRule="exact"/>
        <w:rPr>
          <w:sz w:val="20"/>
          <w:szCs w:val="20"/>
          <w:color w:val="auto"/>
        </w:rPr>
      </w:pPr>
    </w:p>
    <w:p>
      <w:pPr>
        <w:ind w:right="80" w:firstLine="374"/>
        <w:spacing w:after="0" w:line="249" w:lineRule="auto"/>
        <w:rPr>
          <w:sz w:val="20"/>
          <w:szCs w:val="20"/>
          <w:color w:val="auto"/>
        </w:rPr>
      </w:pPr>
      <w:r>
        <w:rPr>
          <w:rFonts w:ascii="Arial" w:cs="Arial" w:eastAsia="Arial" w:hAnsi="Arial"/>
          <w:sz w:val="18"/>
          <w:szCs w:val="18"/>
          <w:color w:val="auto"/>
        </w:rPr>
        <w:t>We are subject to the continuing risks related to the public health crises, primarily the global pandemic associated with COVID-19. The COVID-19 outbreak may continue to negatively impact our operations and revenues and overall financial condition by decreasing the number of our RxSight systems sold. 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w:t>
      </w:r>
    </w:p>
    <w:p>
      <w:pPr>
        <w:spacing w:after="0" w:line="72" w:lineRule="exact"/>
        <w:rPr>
          <w:sz w:val="20"/>
          <w:szCs w:val="20"/>
          <w:color w:val="auto"/>
        </w:rPr>
      </w:pPr>
    </w:p>
    <w:p>
      <w:pPr>
        <w:ind w:firstLine="374"/>
        <w:spacing w:after="0" w:line="274" w:lineRule="auto"/>
        <w:rPr>
          <w:sz w:val="20"/>
          <w:szCs w:val="20"/>
          <w:color w:val="auto"/>
        </w:rPr>
      </w:pPr>
      <w:r>
        <w:rPr>
          <w:rFonts w:ascii="Arial" w:cs="Arial" w:eastAsia="Arial" w:hAnsi="Arial"/>
          <w:sz w:val="16"/>
          <w:szCs w:val="16"/>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since the start of the COVID-19 pandemic and resultant supply chain constraints,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particularly in Europe and Asia, related to the COVID-19 pandemic, and COVID related shutdowns again in China and the more recently the military conflict in Ukraine,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may be required to identify and qualify new vendors or substitute components which requires testing, validations and documentation, thereby adding to internal costs and diverting engineering resources from other projects.</w:t>
      </w:r>
    </w:p>
    <w:p>
      <w:pPr>
        <w:spacing w:after="0" w:line="68" w:lineRule="exact"/>
        <w:rPr>
          <w:sz w:val="20"/>
          <w:szCs w:val="20"/>
          <w:color w:val="auto"/>
        </w:rPr>
      </w:pPr>
    </w:p>
    <w:p>
      <w:pPr>
        <w:ind w:right="20" w:firstLine="374"/>
        <w:spacing w:after="0" w:line="274" w:lineRule="auto"/>
        <w:rPr>
          <w:sz w:val="20"/>
          <w:szCs w:val="20"/>
          <w:color w:val="auto"/>
        </w:rPr>
      </w:pPr>
      <w:r>
        <w:rPr>
          <w:rFonts w:ascii="Arial" w:cs="Arial" w:eastAsia="Arial" w:hAnsi="Arial"/>
          <w:sz w:val="16"/>
          <w:szCs w:val="16"/>
          <w:color w:val="auto"/>
        </w:rPr>
        <w:t>We have deferred the introduction of our lower cost-to-manufacture LDD to the market until the second half of 2023, as it was less difficult to procure components and subcomponents for our existing LDD than the lower cost-to-manufacture LDD. Additionally, on June 30, 2022, we received notification from the FDA that additional information will be required for the approval of our lower-cost-to-manufacture LDD. We responded to the FDA in the third quarter of 2022 and we expect we can obtain FDA approval, however we are also procuring material for our current LDD to mitigate any delay in the FDA’s approval, allowing us to sell both LDDs, which have the same functionality. Our management’s expectation is that the Company’s gross margin will be impacted by its decision to continue to produce the current LDD, which is more expensive to produce than the lower cost-to-manufacture LDD, but it is necessary in order to mitigate potential supply chain issues and delay in FDA approval of the lower cost-to-manufacture LDD.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68" w:lineRule="exact"/>
        <w:rPr>
          <w:sz w:val="20"/>
          <w:szCs w:val="20"/>
          <w:color w:val="auto"/>
        </w:rPr>
      </w:pPr>
    </w:p>
    <w:p>
      <w:pPr>
        <w:ind w:right="280" w:firstLine="374"/>
        <w:spacing w:after="0" w:line="324" w:lineRule="auto"/>
        <w:rPr>
          <w:sz w:val="20"/>
          <w:szCs w:val="20"/>
          <w:color w:val="auto"/>
        </w:rPr>
      </w:pPr>
      <w:r>
        <w:rPr>
          <w:rFonts w:ascii="Arial" w:cs="Arial" w:eastAsia="Arial" w:hAnsi="Arial"/>
          <w:sz w:val="16"/>
          <w:szCs w:val="16"/>
          <w:color w:val="auto"/>
        </w:rPr>
        <w:t>Uncertain macroeconomic conditions including recent inflationary pressures and the rise in interest rates have created significant uncertainty in the U.S. economy and capital markets, which is expected to continue into 2023 and beyond and could negatively impact our financial results and liquidity.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 smaller reporting company, we are not required to provide disclosure under this item.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374"/>
        <w:spacing w:after="0" w:line="275" w:lineRule="auto"/>
        <w:rPr>
          <w:sz w:val="20"/>
          <w:szCs w:val="20"/>
          <w:color w:val="auto"/>
        </w:rPr>
      </w:pPr>
      <w:r>
        <w:rPr>
          <w:rFonts w:ascii="Arial" w:cs="Arial" w:eastAsia="Arial" w:hAnsi="Arial"/>
          <w:sz w:val="16"/>
          <w:szCs w:val="16"/>
          <w:color w:val="auto"/>
        </w:rPr>
        <w:t>As of September 30, 2022,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3" w:lineRule="exact"/>
        <w:rPr>
          <w:sz w:val="20"/>
          <w:szCs w:val="20"/>
          <w:color w:val="auto"/>
        </w:rPr>
      </w:pPr>
    </w:p>
    <w:p>
      <w:pPr>
        <w:ind w:right="100" w:firstLine="374"/>
        <w:spacing w:after="0" w:line="341"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September 30, 2022 that has materially affected, or is reasonably likely to materially affect, our internal control over financial reporting.</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7" w:lineRule="exact"/>
        <w:rPr>
          <w:sz w:val="20"/>
          <w:szCs w:val="20"/>
          <w:color w:val="auto"/>
        </w:rPr>
      </w:pPr>
    </w:p>
    <w:p>
      <w:pPr>
        <w:ind w:right="80" w:firstLine="374"/>
        <w:spacing w:after="0" w:line="24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Accordingly, the Company cannot determine the final amount, if any, of its liability beyond the amount accrued in the condensed consolidated financial statements as of September 30, 2022, nor is it possible to estimate what litigation-related costs will be in the future; however, the Company believes that the likelihood that claims related to litigation would result in a material loss to the Company, either individually or in the aggregate, is remote.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1379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39" w:name="page40"/>
    <w:bookmarkEnd w:id="39"/>
    <w:p>
      <w:pPr>
        <w:ind w:right="140" w:firstLine="374"/>
        <w:spacing w:after="0" w:line="261" w:lineRule="auto"/>
        <w:rPr>
          <w:sz w:val="20"/>
          <w:szCs w:val="20"/>
          <w:color w:val="auto"/>
        </w:rPr>
      </w:pPr>
      <w:r>
        <w:rPr>
          <w:rFonts w:ascii="Arial" w:cs="Arial" w:eastAsia="Arial" w:hAnsi="Arial"/>
          <w:sz w:val="17"/>
          <w:szCs w:val="17"/>
          <w:i w:val="1"/>
          <w:iCs w:val="1"/>
          <w:color w:val="auto"/>
        </w:rPr>
        <w:t>We operate in a rapidly changing environment that involves numerous uncertainties and risks. In addition to the other information included in this Quarterly Report on Form 10-Q,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Quarterly Report on Form 10-Q. The risks and uncertainties described below may not be the only ones we face. If any of the risks or uncertainties we face were to occur, the trading price of our securities could decline, and you may lose all or part of your investment. This Quarterly Report on Form 10-Q also contains forward-looking statements that involve risks and uncertainties. See the section titled “Special Note Regarding Forward-Looking Statements” appearing elsewhere in this Quarterly Report. Our actual results could differ materially from those anticipated in the forward-looking statements as a result of factors that are described below and elsewhere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34" w:lineRule="exact"/>
        <w:rPr>
          <w:sz w:val="20"/>
          <w:szCs w:val="20"/>
          <w:color w:val="auto"/>
        </w:rPr>
      </w:pPr>
    </w:p>
    <w:p>
      <w:pPr>
        <w:ind w:right="100" w:firstLine="374"/>
        <w:spacing w:after="0" w:line="261" w:lineRule="auto"/>
        <w:rPr>
          <w:sz w:val="20"/>
          <w:szCs w:val="20"/>
          <w:color w:val="auto"/>
        </w:rPr>
      </w:pPr>
      <w:r>
        <w:rPr>
          <w:rFonts w:ascii="Arial" w:cs="Arial" w:eastAsia="Arial" w:hAnsi="Arial"/>
          <w:sz w:val="18"/>
          <w:szCs w:val="18"/>
          <w:color w:val="auto"/>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34" w:lineRule="exact"/>
        <w:rPr>
          <w:sz w:val="20"/>
          <w:szCs w:val="20"/>
          <w:color w:val="auto"/>
        </w:rPr>
      </w:pPr>
    </w:p>
    <w:p>
      <w:pPr>
        <w:ind w:left="1020" w:hanging="504"/>
        <w:spacing w:after="0" w:line="290"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40" w:lineRule="exact"/>
        <w:rPr>
          <w:rFonts w:ascii="Arial" w:cs="Arial" w:eastAsia="Arial" w:hAnsi="Arial"/>
          <w:sz w:val="17"/>
          <w:szCs w:val="17"/>
          <w:color w:val="auto"/>
        </w:rPr>
      </w:pPr>
    </w:p>
    <w:p>
      <w:pPr>
        <w:ind w:left="1020" w:right="20" w:hanging="504"/>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net operating losses, and we expect to continue to incur losses for the foreseeable future. If we ever achieve profitability, we may not be able to sustain it.</w:t>
      </w:r>
    </w:p>
    <w:p>
      <w:pPr>
        <w:spacing w:after="0" w:line="48" w:lineRule="exact"/>
        <w:rPr>
          <w:rFonts w:ascii="Arial" w:cs="Arial" w:eastAsia="Arial" w:hAnsi="Arial"/>
          <w:sz w:val="18"/>
          <w:szCs w:val="18"/>
          <w:color w:val="auto"/>
        </w:rPr>
      </w:pPr>
    </w:p>
    <w:p>
      <w:pPr>
        <w:ind w:left="1020" w:right="180" w:hanging="504"/>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75" w:lineRule="exact"/>
        <w:rPr>
          <w:rFonts w:ascii="Arial" w:cs="Arial" w:eastAsia="Arial" w:hAnsi="Arial"/>
          <w:sz w:val="18"/>
          <w:szCs w:val="18"/>
          <w:color w:val="auto"/>
        </w:rPr>
      </w:pPr>
    </w:p>
    <w:p>
      <w:pPr>
        <w:ind w:left="1020" w:right="260" w:hanging="504"/>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4" w:lineRule="exact"/>
        <w:rPr>
          <w:sz w:val="20"/>
          <w:szCs w:val="20"/>
          <w:color w:val="auto"/>
        </w:rPr>
      </w:pPr>
    </w:p>
    <w:p>
      <w:pPr>
        <w:ind w:left="1020" w:right="120" w:hanging="504"/>
        <w:spacing w:after="0" w:line="24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89" w:lineRule="exact"/>
        <w:rPr>
          <w:rFonts w:ascii="Arial" w:cs="Arial" w:eastAsia="Arial" w:hAnsi="Arial"/>
          <w:sz w:val="18"/>
          <w:szCs w:val="18"/>
          <w:color w:val="auto"/>
        </w:rPr>
      </w:pPr>
    </w:p>
    <w:p>
      <w:pPr>
        <w:ind w:left="1020" w:right="280" w:hanging="504"/>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and other proprietary information, our business and competitive position may be harmed.</w:t>
      </w:r>
    </w:p>
    <w:p>
      <w:pPr>
        <w:spacing w:after="0" w:line="62" w:lineRule="exact"/>
        <w:rPr>
          <w:rFonts w:ascii="Arial" w:cs="Arial" w:eastAsia="Arial" w:hAnsi="Arial"/>
          <w:sz w:val="18"/>
          <w:szCs w:val="18"/>
          <w:color w:val="auto"/>
        </w:rPr>
      </w:pPr>
    </w:p>
    <w:p>
      <w:pPr>
        <w:ind w:left="1020" w:hanging="50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 which could impair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4" w:lineRule="exact"/>
        <w:rPr>
          <w:sz w:val="20"/>
          <w:szCs w:val="20"/>
          <w:color w:val="auto"/>
        </w:rPr>
      </w:pPr>
    </w:p>
    <w:p>
      <w:pPr>
        <w:ind w:left="1020" w:right="580" w:hanging="504"/>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34" w:lineRule="exact"/>
        <w:rPr>
          <w:sz w:val="20"/>
          <w:szCs w:val="20"/>
          <w:color w:val="auto"/>
        </w:rPr>
      </w:pPr>
    </w:p>
    <w:p>
      <w:pPr>
        <w:ind w:left="1020" w:right="460" w:hanging="504"/>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upon third parties, including single and sole source suppliers, to manufacture certain components and subcomponents of the RxSight system, making us vulnerable to supply disruptions and price fluctuations.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0" w:name="page41"/>
    <w:bookmarkEnd w:id="40"/>
    <w:p>
      <w:pPr>
        <w:ind w:left="1020" w:right="520" w:hanging="504"/>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020" w:right="40" w:hanging="50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recruit, retain, manage and motivate qualified executives as we build out the management team, and we are highly dependent on our management team.</w:t>
      </w:r>
    </w:p>
    <w:p>
      <w:pPr>
        <w:spacing w:after="0" w:line="48"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litigation proceedings could adversely affect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34" w:lineRule="exact"/>
        <w:rPr>
          <w:sz w:val="20"/>
          <w:szCs w:val="20"/>
          <w:color w:val="auto"/>
        </w:rPr>
      </w:pPr>
    </w:p>
    <w:p>
      <w:pPr>
        <w:ind w:left="1020" w:right="360" w:hanging="504"/>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financial condition, results of operations and growth have been harmed by the effects of the COVID-19 pandemic and may continue to be harmed.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21" w:lineRule="exact"/>
        <w:rPr>
          <w:sz w:val="20"/>
          <w:szCs w:val="20"/>
          <w:color w:val="auto"/>
        </w:rPr>
      </w:pPr>
    </w:p>
    <w:p>
      <w:pPr>
        <w:ind w:right="380"/>
        <w:spacing w:after="0" w:line="307" w:lineRule="auto"/>
        <w:rPr>
          <w:sz w:val="20"/>
          <w:szCs w:val="20"/>
          <w:color w:val="auto"/>
        </w:rPr>
      </w:pPr>
      <w:r>
        <w:rPr>
          <w:rFonts w:ascii="Arial" w:cs="Arial" w:eastAsia="Arial" w:hAnsi="Arial"/>
          <w:sz w:val="17"/>
          <w:szCs w:val="17"/>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3" w:lineRule="exact"/>
        <w:rPr>
          <w:sz w:val="20"/>
          <w:szCs w:val="20"/>
          <w:color w:val="auto"/>
        </w:rPr>
      </w:pPr>
    </w:p>
    <w:p>
      <w:pPr>
        <w:ind w:right="100" w:firstLine="374"/>
        <w:spacing w:after="0" w:line="280" w:lineRule="auto"/>
        <w:rPr>
          <w:sz w:val="20"/>
          <w:szCs w:val="20"/>
          <w:color w:val="auto"/>
        </w:rPr>
      </w:pPr>
      <w:r>
        <w:rPr>
          <w:rFonts w:ascii="Arial" w:cs="Arial" w:eastAsia="Arial" w:hAnsi="Arial"/>
          <w:sz w:val="17"/>
          <w:szCs w:val="17"/>
          <w:color w:val="auto"/>
        </w:rPr>
        <w:t>We were incorporated in March 1997 and began commercializing our products in the second half of 2019, when we initiated a full launch of our light adjustable lenses and light delivery devices.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115" w:lineRule="exact"/>
        <w:rPr>
          <w:sz w:val="20"/>
          <w:szCs w:val="20"/>
          <w:color w:val="auto"/>
        </w:rPr>
      </w:pPr>
    </w:p>
    <w:p>
      <w:pPr>
        <w:ind w:firstLine="374"/>
        <w:spacing w:after="0" w:line="278" w:lineRule="auto"/>
        <w:rPr>
          <w:sz w:val="20"/>
          <w:szCs w:val="20"/>
          <w:color w:val="auto"/>
        </w:rPr>
      </w:pPr>
      <w:r>
        <w:rPr>
          <w:rFonts w:ascii="Arial" w:cs="Arial" w:eastAsia="Arial" w:hAnsi="Arial"/>
          <w:sz w:val="17"/>
          <w:szCs w:val="17"/>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106" w:lineRule="exact"/>
        <w:rPr>
          <w:sz w:val="20"/>
          <w:szCs w:val="20"/>
          <w:color w:val="auto"/>
        </w:rPr>
      </w:pPr>
    </w:p>
    <w:p>
      <w:pPr>
        <w:ind w:right="60" w:firstLine="374"/>
        <w:spacing w:after="0" w:line="280" w:lineRule="auto"/>
        <w:rPr>
          <w:sz w:val="20"/>
          <w:szCs w:val="20"/>
          <w:color w:val="auto"/>
        </w:rPr>
      </w:pPr>
      <w:r>
        <w:rPr>
          <w:rFonts w:ascii="Arial" w:cs="Arial" w:eastAsia="Arial" w:hAnsi="Arial"/>
          <w:sz w:val="17"/>
          <w:szCs w:val="17"/>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103" w:lineRule="exact"/>
        <w:rPr>
          <w:sz w:val="20"/>
          <w:szCs w:val="20"/>
          <w:color w:val="auto"/>
        </w:rPr>
      </w:pPr>
    </w:p>
    <w:p>
      <w:pPr>
        <w:ind w:firstLine="374"/>
        <w:spacing w:after="0" w:line="320" w:lineRule="auto"/>
        <w:rPr>
          <w:sz w:val="20"/>
          <w:szCs w:val="20"/>
          <w:color w:val="auto"/>
        </w:rPr>
      </w:pPr>
      <w:r>
        <w:rPr>
          <w:rFonts w:ascii="Arial" w:cs="Arial" w:eastAsia="Arial" w:hAnsi="Arial"/>
          <w:sz w:val="16"/>
          <w:szCs w:val="16"/>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1" w:name="page42"/>
    <w:bookmarkEnd w:id="41"/>
    <w:p>
      <w:pPr>
        <w:ind w:right="20"/>
        <w:spacing w:after="0" w:line="269" w:lineRule="auto"/>
        <w:rPr>
          <w:sz w:val="20"/>
          <w:szCs w:val="20"/>
          <w:color w:val="auto"/>
        </w:rPr>
      </w:pPr>
      <w:r>
        <w:rPr>
          <w:rFonts w:ascii="Arial" w:cs="Arial" w:eastAsia="Arial" w:hAnsi="Arial"/>
          <w:sz w:val="18"/>
          <w:szCs w:val="18"/>
          <w:color w:val="auto"/>
        </w:rPr>
        <w:t>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110"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49" w:lineRule="exact"/>
        <w:rPr>
          <w:sz w:val="20"/>
          <w:szCs w:val="20"/>
          <w:color w:val="auto"/>
        </w:rPr>
      </w:pPr>
    </w:p>
    <w:p>
      <w:pPr>
        <w:ind w:firstLine="374"/>
        <w:spacing w:after="0" w:line="300" w:lineRule="auto"/>
        <w:rPr>
          <w:sz w:val="20"/>
          <w:szCs w:val="20"/>
          <w:color w:val="auto"/>
        </w:rPr>
      </w:pPr>
      <w:r>
        <w:rPr>
          <w:rFonts w:ascii="Arial" w:cs="Arial" w:eastAsia="Arial" w:hAnsi="Arial"/>
          <w:sz w:val="16"/>
          <w:szCs w:val="16"/>
          <w:color w:val="auto"/>
        </w:rPr>
        <w:t>We have incurred losses from operations since our inception and expect to continue to incur losses from operations for the foreseeable future. We reported losses from operations of $52.8 million and $35.4 million for the years ended December 31, 2021 and 2020, respectively and $48.3 million for the nine months ended September 30, 2022. As a result of these losses, as of September 30, 2022, we had an accumulated deficit of $530.4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additional costs associated with being a public company.</w:t>
      </w:r>
    </w:p>
    <w:p>
      <w:pPr>
        <w:spacing w:after="0" w:line="103" w:lineRule="exact"/>
        <w:rPr>
          <w:sz w:val="20"/>
          <w:szCs w:val="20"/>
          <w:color w:val="auto"/>
        </w:rPr>
      </w:pPr>
    </w:p>
    <w:p>
      <w:pPr>
        <w:ind w:right="400" w:firstLine="374"/>
        <w:spacing w:after="0" w:line="341" w:lineRule="auto"/>
        <w:rPr>
          <w:sz w:val="20"/>
          <w:szCs w:val="20"/>
          <w:color w:val="auto"/>
        </w:rPr>
      </w:pPr>
      <w:r>
        <w:rPr>
          <w:rFonts w:ascii="Arial" w:cs="Arial" w:eastAsia="Arial" w:hAnsi="Arial"/>
          <w:sz w:val="16"/>
          <w:szCs w:val="16"/>
          <w:color w:val="auto"/>
        </w:rPr>
        <w:t>The net losses that we incur may fluctuate significantly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5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49" w:lineRule="exact"/>
        <w:rPr>
          <w:sz w:val="20"/>
          <w:szCs w:val="20"/>
          <w:color w:val="auto"/>
        </w:rPr>
      </w:pPr>
    </w:p>
    <w:p>
      <w:pPr>
        <w:ind w:right="100" w:firstLine="374"/>
        <w:spacing w:after="0" w:line="264"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117" w:lineRule="exact"/>
        <w:rPr>
          <w:sz w:val="20"/>
          <w:szCs w:val="20"/>
          <w:color w:val="auto"/>
        </w:rPr>
      </w:pPr>
    </w:p>
    <w:p>
      <w:pPr>
        <w:ind w:right="140" w:firstLine="374"/>
        <w:spacing w:after="0" w:line="292" w:lineRule="auto"/>
        <w:rPr>
          <w:sz w:val="20"/>
          <w:szCs w:val="20"/>
          <w:color w:val="auto"/>
        </w:rPr>
      </w:pPr>
      <w:r>
        <w:rPr>
          <w:rFonts w:ascii="Arial" w:cs="Arial" w:eastAsia="Arial" w:hAnsi="Arial"/>
          <w:sz w:val="18"/>
          <w:szCs w:val="18"/>
          <w:color w:val="auto"/>
        </w:rPr>
        <w:t>Because of these and other factors, we expect to continue to incur substantial net losses and negative cash flows from operations for at least the next several years. Our future liquidity and capital funding requirements will depend on numerous factors, including:</w:t>
      </w:r>
    </w:p>
    <w:p>
      <w:pPr>
        <w:spacing w:after="0" w:line="90" w:lineRule="exact"/>
        <w:rPr>
          <w:sz w:val="20"/>
          <w:szCs w:val="20"/>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research and development efforts;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sales and marketing activities;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leveraging future strategic partnerships;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working capital investments, primarily in inventories and accounts receivable;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debt service and debt covenant requirements;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borrow on our credit facility or raise additional funds through our at-the-market offering to finance our operations;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costs and timing of any clinical trial results for our current or future products;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emergence and effect of competing or complementary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and amount of reimbursement for procedures using our products;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7" w:right="399" w:bottom="1440" w:gutter="0" w:footer="0" w:header="0"/>
        </w:sectPr>
      </w:pPr>
    </w:p>
    <w:bookmarkStart w:id="42" w:name="page43"/>
    <w:bookmarkEnd w:id="42"/>
    <w:p>
      <w:pPr>
        <w:ind w:left="1020" w:hanging="504"/>
        <w:spacing w:after="0" w:line="25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68"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our current employees and the need and ability to hire additional management, sales, research and development, scientific and customer support personnel;</w:t>
      </w:r>
    </w:p>
    <w:p>
      <w:pPr>
        <w:spacing w:after="0" w:line="48"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and finance lease payments for our facilities;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98" w:lineRule="exact"/>
        <w:rPr>
          <w:sz w:val="20"/>
          <w:szCs w:val="20"/>
          <w:color w:val="auto"/>
        </w:rPr>
      </w:pPr>
    </w:p>
    <w:p>
      <w:pPr>
        <w:ind w:firstLine="374"/>
        <w:spacing w:after="0" w:line="262" w:lineRule="auto"/>
        <w:rPr>
          <w:sz w:val="20"/>
          <w:szCs w:val="20"/>
          <w:color w:val="auto"/>
        </w:rPr>
      </w:pPr>
      <w:r>
        <w:rPr>
          <w:rFonts w:ascii="Arial" w:cs="Arial" w:eastAsia="Arial" w:hAnsi="Arial"/>
          <w:sz w:val="18"/>
          <w:szCs w:val="18"/>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121" w:lineRule="exact"/>
        <w:rPr>
          <w:sz w:val="20"/>
          <w:szCs w:val="20"/>
          <w:color w:val="auto"/>
        </w:rPr>
      </w:pPr>
    </w:p>
    <w:p>
      <w:pPr>
        <w:ind w:right="40" w:firstLine="374"/>
        <w:spacing w:after="0" w:line="226" w:lineRule="exact"/>
        <w:rPr>
          <w:sz w:val="20"/>
          <w:szCs w:val="20"/>
          <w:color w:val="auto"/>
        </w:rPr>
      </w:pPr>
      <w:r>
        <w:rPr>
          <w:rFonts w:ascii="Arial" w:cs="Arial" w:eastAsia="Arial" w:hAnsi="Arial"/>
          <w:sz w:val="18"/>
          <w:szCs w:val="18"/>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w:t>
      </w:r>
      <w:r>
        <w:rPr>
          <w:rFonts w:ascii="MS PGothic" w:cs="MS PGothic" w:eastAsia="MS PGothic" w:hAnsi="MS PGothic"/>
          <w:sz w:val="18"/>
          <w:szCs w:val="18"/>
          <w:color w:val="auto"/>
        </w:rPr>
        <w:t>‑</w:t>
      </w:r>
      <w:r>
        <w:rPr>
          <w:rFonts w:ascii="Arial" w:cs="Arial" w:eastAsia="Arial" w:hAnsi="Arial"/>
          <w:sz w:val="18"/>
          <w:szCs w:val="18"/>
          <w:color w:val="auto"/>
        </w:rPr>
        <w:t>19 pandemic, the conflicts in Eastern Europe, and otherwise.</w:t>
      </w:r>
    </w:p>
    <w:p>
      <w:pPr>
        <w:spacing w:after="0" w:line="137" w:lineRule="exact"/>
        <w:rPr>
          <w:sz w:val="20"/>
          <w:szCs w:val="20"/>
          <w:color w:val="auto"/>
        </w:rPr>
      </w:pPr>
    </w:p>
    <w:p>
      <w:pPr>
        <w:ind w:right="80" w:firstLine="374"/>
        <w:spacing w:after="0" w:line="300" w:lineRule="auto"/>
        <w:rPr>
          <w:sz w:val="20"/>
          <w:szCs w:val="20"/>
          <w:color w:val="auto"/>
        </w:rPr>
      </w:pPr>
      <w:r>
        <w:rPr>
          <w:rFonts w:ascii="Arial" w:cs="Arial" w:eastAsia="Arial" w:hAnsi="Arial"/>
          <w:sz w:val="16"/>
          <w:szCs w:val="16"/>
          <w:color w:val="auto"/>
        </w:rPr>
        <w:t>As of September 30, 2022 and December 31, 2021, we had $112.8 million and $159.3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Quarterly Report on Form 10-Q, we cannot assure you that we will be able to generate sufficient liquidity as and when needed.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terms of our amended term loan place restrictions on our operating and financial flexibility, and failure to comply with covenants or to satisfy certain conditions of the agreement governing the term loan may result in acceleration of our repayment obligations and foreclosure on our pledged assets, which could significantly harm our liquidity, financial condition, operating results, business and prospects and cause the price of our securities to decline.</w:t>
      </w:r>
    </w:p>
    <w:p>
      <w:pPr>
        <w:spacing w:after="0" w:line="87" w:lineRule="exact"/>
        <w:rPr>
          <w:sz w:val="20"/>
          <w:szCs w:val="20"/>
          <w:color w:val="auto"/>
        </w:rPr>
      </w:pPr>
    </w:p>
    <w:p>
      <w:pPr>
        <w:ind w:right="160" w:firstLine="374"/>
        <w:spacing w:after="0" w:line="271" w:lineRule="auto"/>
        <w:rPr>
          <w:sz w:val="20"/>
          <w:szCs w:val="20"/>
          <w:color w:val="auto"/>
        </w:rPr>
      </w:pPr>
      <w:r>
        <w:rPr>
          <w:rFonts w:ascii="Arial" w:cs="Arial" w:eastAsia="Arial" w:hAnsi="Arial"/>
          <w:sz w:val="18"/>
          <w:szCs w:val="18"/>
          <w:color w:val="auto"/>
        </w:rPr>
        <w:t>Our credit facility (“Amended Term Loan”) with Oxford Finance, provides for a $60.0 million term-loan facility scheduled to mature on February 1, 2027, of which $40.0 million was fully drawn as of May 1, 2022. Subject to the terms and conditions of the Amended Term Loan, we may borrow up to $10.0 million during the</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second quarter of 2023 and up to another $10.0 million in the third quarter of 2023. We refer to our Amended Term Loan collectively as our credit facility.</w:t>
      </w:r>
    </w:p>
    <w:p>
      <w:pPr>
        <w:spacing w:after="0" w:line="194" w:lineRule="exact"/>
        <w:rPr>
          <w:sz w:val="20"/>
          <w:szCs w:val="20"/>
          <w:color w:val="auto"/>
        </w:rPr>
      </w:pPr>
    </w:p>
    <w:p>
      <w:pPr>
        <w:ind w:firstLine="374"/>
        <w:spacing w:after="0" w:line="264" w:lineRule="auto"/>
        <w:rPr>
          <w:sz w:val="20"/>
          <w:szCs w:val="20"/>
          <w:color w:val="auto"/>
        </w:rPr>
      </w:pPr>
      <w:r>
        <w:rPr>
          <w:rFonts w:ascii="Arial" w:cs="Arial" w:eastAsia="Arial" w:hAnsi="Arial"/>
          <w:sz w:val="18"/>
          <w:szCs w:val="18"/>
          <w:color w:val="auto"/>
        </w:rPr>
        <w:t>Our payment obligations under the Amended Term Loan reduce cash available to fund working capital, capital expenditures, research and development and general corporate needs. In addition, indebtedness under the Amended Term Loan bears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14" w:lineRule="exact"/>
        <w:rPr>
          <w:sz w:val="20"/>
          <w:szCs w:val="20"/>
          <w:color w:val="auto"/>
        </w:rPr>
      </w:pPr>
    </w:p>
    <w:p>
      <w:pPr>
        <w:ind w:right="60" w:firstLine="374"/>
        <w:spacing w:after="0" w:line="283" w:lineRule="auto"/>
        <w:rPr>
          <w:sz w:val="20"/>
          <w:szCs w:val="20"/>
          <w:color w:val="auto"/>
        </w:rPr>
      </w:pPr>
      <w:r>
        <w:rPr>
          <w:rFonts w:ascii="Arial" w:cs="Arial" w:eastAsia="Arial" w:hAnsi="Arial"/>
          <w:sz w:val="17"/>
          <w:szCs w:val="17"/>
          <w:color w:val="auto"/>
        </w:rPr>
        <w:t>Our obligations under the Amended Term Loan are secured by substantially all of our assets, excluding intellectual property. The security interest granted over our assets could limit our ability to obtain additional debt financing. The Amended Term Loan also requires us to comply with a number of other covenants (affirmative and negative), including restrictive covenants that limit our ability to: incur additional indebtedness; encumber the collateral securing the loan; acquire, own or make investments; repurchase or redeem any class of stock or other equity interest; declare or pay any cash dividend or make a cash distribution on any class of stock or other equity interest; dispose of a portion of our assets; acquire other businesses; and merge or consolidate with or into any other organization or otherwise suffer a change in control, in each case subject to exceptions.</w:t>
      </w:r>
    </w:p>
    <w:p>
      <w:pPr>
        <w:spacing w:after="0" w:line="100" w:lineRule="exact"/>
        <w:rPr>
          <w:sz w:val="20"/>
          <w:szCs w:val="20"/>
          <w:color w:val="auto"/>
        </w:rPr>
      </w:pPr>
    </w:p>
    <w:p>
      <w:pPr>
        <w:ind w:right="20" w:firstLine="374"/>
        <w:spacing w:after="0" w:line="297" w:lineRule="auto"/>
        <w:rPr>
          <w:sz w:val="20"/>
          <w:szCs w:val="20"/>
          <w:color w:val="auto"/>
        </w:rPr>
      </w:pPr>
      <w:r>
        <w:rPr>
          <w:rFonts w:ascii="Arial" w:cs="Arial" w:eastAsia="Arial" w:hAnsi="Arial"/>
          <w:sz w:val="16"/>
          <w:szCs w:val="16"/>
          <w:color w:val="auto"/>
        </w:rPr>
        <w:t>In addition to other specified events of default, the lenders could declare an event of default upon the occurrence of any event that they interpret as having a material impairment on their lien on the collateral under the agreement, a material adverse change in our business, operations or condition (financial or otherwise) or a material impairment in the prospect of repayment of our obligations under the agreement. If we default under the credit facility, the lenders may accelerate all of our repayment obligations and, if we are unable to access funds to meet those obligations or to renegotiate our agreement, the lenders could take control of our pledged assets and we would have to immediately cease operations. During the continuance of an event of default, the then-applicable interest rate on the then-outstanding principal balance will increase by 5.0%. Upon an event of default, the lenders could also require us to repay the loan immediately, together with a final payment charge of 5.0% of the total term loan advances we borrowed, together with other fees. If we were to renegotiate the agreement under such circumstances, the terms may be significantly less favorable to us. If we were liquidated, the lenders’ right to repayment would be senior to the rights of our stockholders to receive any proceeds from the liquidation. Any declaration by the lenders of an event of default could significantly harm our liquidity, financial condition, operating results, business, and prospects and cause the price of our securities to decline.</w:t>
      </w:r>
    </w:p>
    <w:p>
      <w:pPr>
        <w:spacing w:after="0" w:line="96" w:lineRule="exact"/>
        <w:rPr>
          <w:sz w:val="20"/>
          <w:szCs w:val="20"/>
          <w:color w:val="auto"/>
        </w:rPr>
      </w:pPr>
    </w:p>
    <w:p>
      <w:pPr>
        <w:jc w:val="both"/>
        <w:ind w:right="280" w:firstLine="374"/>
        <w:spacing w:after="0" w:line="271" w:lineRule="auto"/>
        <w:rPr>
          <w:sz w:val="20"/>
          <w:szCs w:val="20"/>
          <w:color w:val="auto"/>
        </w:rPr>
      </w:pPr>
      <w:r>
        <w:rPr>
          <w:rFonts w:ascii="Arial" w:cs="Arial" w:eastAsia="Arial" w:hAnsi="Arial"/>
          <w:sz w:val="18"/>
          <w:szCs w:val="18"/>
          <w:color w:val="auto"/>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spacing w:after="0" w:line="10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1" w:lineRule="exact"/>
        <w:rPr>
          <w:sz w:val="20"/>
          <w:szCs w:val="20"/>
          <w:color w:val="auto"/>
        </w:rPr>
      </w:pPr>
    </w:p>
    <w:p>
      <w:pPr>
        <w:ind w:right="300" w:firstLine="374"/>
        <w:spacing w:after="0" w:line="262" w:lineRule="auto"/>
        <w:rPr>
          <w:sz w:val="20"/>
          <w:szCs w:val="20"/>
          <w:color w:val="auto"/>
        </w:rPr>
      </w:pPr>
      <w:r>
        <w:rPr>
          <w:rFonts w:ascii="Arial" w:cs="Arial" w:eastAsia="Arial" w:hAnsi="Arial"/>
          <w:sz w:val="18"/>
          <w:szCs w:val="18"/>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115" w:lineRule="exact"/>
        <w:rPr>
          <w:sz w:val="20"/>
          <w:szCs w:val="20"/>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actual and perceived effectiveness and reliability of our RxSight system, especially relative to alternative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adverse patient events involving our RxSight system;</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relating to our RxSight system;</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sustain meaningful clinical benefits for our patients;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our planned or future products for use in the United States or internationally;</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4" w:name="page45"/>
    <w:bookmarkEnd w:id="44"/>
    <w:p>
      <w:pPr>
        <w:ind w:left="1140" w:right="240" w:hanging="383"/>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relative cost and perceived advantages and disadvantages of alternative technologies or treatment methods for conditions treated by our products;</w:t>
      </w:r>
    </w:p>
    <w:p>
      <w:pPr>
        <w:spacing w:after="0" w:line="88" w:lineRule="exact"/>
        <w:rPr>
          <w:rFonts w:ascii="Arial" w:cs="Arial" w:eastAsia="Arial" w:hAnsi="Arial"/>
          <w:sz w:val="18"/>
          <w:szCs w:val="18"/>
          <w:color w:val="auto"/>
        </w:rPr>
      </w:pPr>
    </w:p>
    <w:p>
      <w:pPr>
        <w:ind w:left="1140" w:hanging="383"/>
        <w:spacing w:after="0" w:line="24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spacing w:after="0" w:line="116"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to which doctors adopt our RxSight system;</w:t>
      </w:r>
    </w:p>
    <w:p>
      <w:pPr>
        <w:spacing w:after="0" w:line="143" w:lineRule="exact"/>
        <w:rPr>
          <w:rFonts w:ascii="Arial" w:cs="Arial" w:eastAsia="Arial" w:hAnsi="Arial"/>
          <w:sz w:val="18"/>
          <w:szCs w:val="18"/>
          <w:color w:val="auto"/>
        </w:rPr>
      </w:pPr>
    </w:p>
    <w:p>
      <w:pPr>
        <w:ind w:left="1140" w:right="280" w:hanging="383"/>
        <w:spacing w:after="0" w:line="268"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97" w:lineRule="exact"/>
        <w:rPr>
          <w:rFonts w:ascii="Arial" w:cs="Arial" w:eastAsia="Arial" w:hAnsi="Arial"/>
          <w:sz w:val="17"/>
          <w:szCs w:val="17"/>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 and to our RxSight system;</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to which patients value the customized vision delivered by the RxSight system and are satisfied with their results;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and maintaining compliance with regulatory requirements applicable to our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are successful in educating doctors about IOLs in general, and the benefits of our RxSight system;</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among doctors;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our marketing and commercial organization;</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marketing and sales efforts in the United States, including our efforts to build out our sales team;</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expand the commercialization of our products into international markets;</w:t>
      </w:r>
    </w:p>
    <w:p>
      <w:pPr>
        <w:spacing w:after="0" w:line="143"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to develop, validate and maintain a commercially viable manufacturing process that is compliant with the Quality Systems Regulations (“QSR”), and other applicable foreign, federal and state regulatory requirements;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ongoing or future clinical trials; and</w:t>
      </w:r>
    </w:p>
    <w:p>
      <w:pPr>
        <w:spacing w:after="0" w:line="143"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are required by the FDA or comparable non-U.S. regulatory authorities to conduct additional clinical trials for current or future indications.</w:t>
      </w:r>
    </w:p>
    <w:p>
      <w:pPr>
        <w:spacing w:after="0" w:line="103" w:lineRule="exact"/>
        <w:rPr>
          <w:sz w:val="20"/>
          <w:szCs w:val="20"/>
          <w:color w:val="auto"/>
        </w:rPr>
      </w:pPr>
    </w:p>
    <w:p>
      <w:pPr>
        <w:ind w:right="120" w:firstLine="374"/>
        <w:spacing w:after="0" w:line="244" w:lineRule="auto"/>
        <w:rPr>
          <w:sz w:val="20"/>
          <w:szCs w:val="20"/>
          <w:color w:val="auto"/>
        </w:rPr>
      </w:pPr>
      <w:r>
        <w:rPr>
          <w:rFonts w:ascii="Arial" w:cs="Arial" w:eastAsia="Arial" w:hAnsi="Arial"/>
          <w:sz w:val="18"/>
          <w:szCs w:val="18"/>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1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48" w:lineRule="exact"/>
        <w:rPr>
          <w:sz w:val="20"/>
          <w:szCs w:val="20"/>
          <w:color w:val="auto"/>
        </w:rPr>
      </w:pPr>
    </w:p>
    <w:p>
      <w:pPr>
        <w:ind w:firstLine="374"/>
        <w:spacing w:after="0" w:line="247" w:lineRule="auto"/>
        <w:rPr>
          <w:sz w:val="20"/>
          <w:szCs w:val="20"/>
          <w:color w:val="auto"/>
        </w:rPr>
      </w:pPr>
      <w:r>
        <w:rPr>
          <w:rFonts w:ascii="Arial" w:cs="Arial" w:eastAsia="Arial" w:hAnsi="Arial"/>
          <w:sz w:val="18"/>
          <w:szCs w:val="18"/>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45" w:name="page46"/>
    <w:bookmarkEnd w:id="45"/>
    <w:p>
      <w:pPr>
        <w:ind w:right="80"/>
        <w:spacing w:after="0" w:line="260" w:lineRule="auto"/>
        <w:rPr>
          <w:sz w:val="20"/>
          <w:szCs w:val="20"/>
          <w:color w:val="auto"/>
        </w:rPr>
      </w:pPr>
      <w:r>
        <w:rPr>
          <w:rFonts w:ascii="Arial" w:cs="Arial" w:eastAsia="Arial" w:hAnsi="Arial"/>
          <w:sz w:val="17"/>
          <w:szCs w:val="17"/>
          <w:color w:val="auto"/>
        </w:rPr>
        <w:t>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109" w:lineRule="exact"/>
        <w:rPr>
          <w:sz w:val="20"/>
          <w:szCs w:val="20"/>
          <w:color w:val="auto"/>
        </w:rPr>
      </w:pPr>
    </w:p>
    <w:p>
      <w:pPr>
        <w:ind w:right="60" w:firstLine="374"/>
        <w:spacing w:after="0" w:line="248" w:lineRule="auto"/>
        <w:rPr>
          <w:sz w:val="20"/>
          <w:szCs w:val="20"/>
          <w:color w:val="auto"/>
        </w:rPr>
      </w:pPr>
      <w:r>
        <w:rPr>
          <w:rFonts w:ascii="Arial" w:cs="Arial" w:eastAsia="Arial" w:hAnsi="Arial"/>
          <w:sz w:val="18"/>
          <w:szCs w:val="18"/>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115" w:lineRule="exact"/>
        <w:rPr>
          <w:sz w:val="20"/>
          <w:szCs w:val="20"/>
          <w:color w:val="auto"/>
        </w:rPr>
      </w:pPr>
    </w:p>
    <w:p>
      <w:pPr>
        <w:ind w:right="580" w:firstLine="374"/>
        <w:spacing w:after="0" w:line="261" w:lineRule="auto"/>
        <w:rPr>
          <w:sz w:val="20"/>
          <w:szCs w:val="20"/>
          <w:color w:val="auto"/>
        </w:rPr>
      </w:pPr>
      <w:r>
        <w:rPr>
          <w:rFonts w:ascii="Arial" w:cs="Arial" w:eastAsia="Arial" w:hAnsi="Arial"/>
          <w:sz w:val="18"/>
          <w:szCs w:val="18"/>
          <w:color w:val="auto"/>
        </w:rPr>
        <w:t>The commercial success of our RxSight system will depend upon attaining significant market acceptance of these products among patients and doctors.</w:t>
      </w:r>
    </w:p>
    <w:p>
      <w:pPr>
        <w:spacing w:after="0" w:line="103" w:lineRule="exact"/>
        <w:rPr>
          <w:sz w:val="20"/>
          <w:szCs w:val="20"/>
          <w:color w:val="auto"/>
        </w:rPr>
      </w:pPr>
    </w:p>
    <w:p>
      <w:pPr>
        <w:ind w:right="40" w:firstLine="374"/>
        <w:spacing w:after="0" w:line="276" w:lineRule="auto"/>
        <w:rPr>
          <w:sz w:val="20"/>
          <w:szCs w:val="20"/>
          <w:color w:val="auto"/>
        </w:rPr>
      </w:pPr>
      <w:r>
        <w:rPr>
          <w:rFonts w:ascii="Arial" w:cs="Arial" w:eastAsia="Arial" w:hAnsi="Arial"/>
          <w:sz w:val="16"/>
          <w:szCs w:val="16"/>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96" w:lineRule="exact"/>
        <w:rPr>
          <w:sz w:val="20"/>
          <w:szCs w:val="20"/>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long-standing relationships with competing companies and distributors that sell other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 response and negative selling efforts from providers of alternative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experience with our products and concerns that we are relatively new to market;</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or perceived lack of sufficient clinical evidence, including long-term data, supporting safety or clinical benefits;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commitment and skill development that may be required to gain familiarity and proficiency with our products;</w:t>
      </w:r>
    </w:p>
    <w:p>
      <w:pPr>
        <w:spacing w:after="0" w:line="143"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confusion regarding the wide range of commercially available premium IOL offerings and their ability to deliver promised results at near, middle and far distances without reliance on glasses;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patient reticence to select a premium IOL due to nonperformance and adverse side effects associated with competing products in the market;</w:t>
      </w:r>
    </w:p>
    <w:p>
      <w:pPr>
        <w:spacing w:after="0" w:line="166" w:lineRule="exact"/>
        <w:rPr>
          <w:rFonts w:ascii="Arial" w:cs="Arial" w:eastAsia="Arial" w:hAnsi="Arial"/>
          <w:sz w:val="16"/>
          <w:szCs w:val="16"/>
          <w:color w:val="auto"/>
        </w:rPr>
      </w:pPr>
    </w:p>
    <w:p>
      <w:pPr>
        <w:ind w:left="1140" w:right="120" w:hanging="383"/>
        <w:spacing w:after="0" w:line="255"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108"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to generate patient referral due to dissatisfaction with results obtained through treatment with our products, the out-of-pocket cost of treatments using our products or otherwise.</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6" w:name="page47"/>
    <w:bookmarkEnd w:id="46"/>
    <w:p>
      <w:pPr>
        <w:ind w:right="200" w:firstLine="374"/>
        <w:spacing w:after="0" w:line="255" w:lineRule="auto"/>
        <w:rPr>
          <w:sz w:val="20"/>
          <w:szCs w:val="20"/>
          <w:color w:val="auto"/>
        </w:rPr>
      </w:pPr>
      <w:r>
        <w:rPr>
          <w:rFonts w:ascii="Arial" w:cs="Arial" w:eastAsia="Arial" w:hAnsi="Arial"/>
          <w:sz w:val="18"/>
          <w:szCs w:val="18"/>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311" w:lineRule="exact"/>
        <w:rPr>
          <w:sz w:val="20"/>
          <w:szCs w:val="20"/>
          <w:color w:val="auto"/>
        </w:rPr>
      </w:pPr>
    </w:p>
    <w:p>
      <w:pPr>
        <w:jc w:val="both"/>
        <w:ind w:right="620" w:firstLine="374"/>
        <w:spacing w:after="0" w:line="302" w:lineRule="auto"/>
        <w:rPr>
          <w:sz w:val="20"/>
          <w:szCs w:val="20"/>
          <w:color w:val="auto"/>
        </w:rPr>
      </w:pPr>
      <w:r>
        <w:rPr>
          <w:rFonts w:ascii="Arial" w:cs="Arial" w:eastAsia="Arial" w:hAnsi="Arial"/>
          <w:sz w:val="16"/>
          <w:szCs w:val="16"/>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74" w:lineRule="exact"/>
        <w:rPr>
          <w:sz w:val="20"/>
          <w:szCs w:val="20"/>
          <w:color w:val="auto"/>
        </w:rPr>
      </w:pPr>
    </w:p>
    <w:p>
      <w:pPr>
        <w:ind w:right="120" w:firstLine="374"/>
        <w:spacing w:after="0" w:line="279" w:lineRule="auto"/>
        <w:rPr>
          <w:sz w:val="20"/>
          <w:szCs w:val="20"/>
          <w:color w:val="auto"/>
        </w:rPr>
      </w:pPr>
      <w:r>
        <w:rPr>
          <w:rFonts w:ascii="Arial" w:cs="Arial" w:eastAsia="Arial" w:hAnsi="Arial"/>
          <w:sz w:val="16"/>
          <w:szCs w:val="16"/>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94"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RxSight system involves surgical risks and is contraindicated in certain patients, which may limit adoption.</w:t>
      </w:r>
    </w:p>
    <w:p>
      <w:pPr>
        <w:spacing w:after="0" w:line="144"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48"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Carl Zeiss Meditec, Bausch + Lomb, and Hoya Corporation.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spectacles until final lock-in which is approximately 4-5 weeks after surgery. They will also be required to return for an additional 2-3 clinic visits compared to traditional monofocal cataract surgery. The additional clinic visits are non-surgical but do require the patient’s eyes to be dilated. Due to these additional requirements, market acceptance of the LAL may be impacted.</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the principal competitive factors in our markets include:</w:t>
      </w:r>
    </w:p>
    <w:p>
      <w:pPr>
        <w:spacing w:after="0" w:line="144" w:lineRule="exact"/>
        <w:rPr>
          <w:sz w:val="20"/>
          <w:szCs w:val="20"/>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of patient outcomes, oftentimes measured by visual acuity, and adverse event rates;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experience, including patient recovery time and level of discomfort;</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by treating doctors and referral sources;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Doctor learning curves and willingness to adopt new technologies;</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7" w:name="page48"/>
    <w:bookmarkEnd w:id="47"/>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Ease-of-use and reliability;</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benefits and cost savings;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Strength of clinical evidence;</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distribution and marketing to surgeons and potential patients;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price and qualification for coverage and reimbursement.</w:t>
      </w:r>
    </w:p>
    <w:p>
      <w:pPr>
        <w:spacing w:after="0" w:line="144" w:lineRule="exact"/>
        <w:rPr>
          <w:sz w:val="20"/>
          <w:szCs w:val="20"/>
          <w:color w:val="auto"/>
        </w:rPr>
      </w:pPr>
    </w:p>
    <w:p>
      <w:pPr>
        <w:ind w:right="180" w:firstLine="374"/>
        <w:spacing w:after="0" w:line="261" w:lineRule="auto"/>
        <w:rPr>
          <w:sz w:val="20"/>
          <w:szCs w:val="20"/>
          <w:color w:val="auto"/>
        </w:rPr>
      </w:pPr>
      <w:r>
        <w:rPr>
          <w:rFonts w:ascii="Arial" w:cs="Arial" w:eastAsia="Arial" w:hAnsi="Arial"/>
          <w:sz w:val="18"/>
          <w:szCs w:val="18"/>
          <w:color w:val="auto"/>
        </w:rPr>
        <w:t>We compete primarily on the basis that our products are designed to enable more doctors to treat more patients more efficiently and effectively. Our continued success depends on our ability to:</w:t>
      </w:r>
    </w:p>
    <w:p>
      <w:pPr>
        <w:spacing w:after="0" w:line="103" w:lineRule="exact"/>
        <w:rPr>
          <w:sz w:val="20"/>
          <w:szCs w:val="20"/>
          <w:color w:val="auto"/>
        </w:rPr>
      </w:pPr>
    </w:p>
    <w:p>
      <w:pPr>
        <w:ind w:left="1140" w:hanging="383"/>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develop innovative, proprietary products that address significant clinical needs in a manner that is safe and effective for patients and easy-to-use for doctors;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regulatory clearances or approvals;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demonstrate safety and effectiveness in our sponsored and third-party clinical trials;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sales force across key markets to increase doctors’ awareness;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coverage and adequate reimbursement for procedures using our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and retain skilled research, development, sales and clinical personnel;</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cost-effectively manufacture, market and sell our products;</w:t>
      </w:r>
    </w:p>
    <w:p>
      <w:pPr>
        <w:spacing w:after="0" w:line="143"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doctors with a sufficient return on investment as compared to alternative premium IOL procedures that justifies the upfront cost of our LDD; and</w:t>
      </w:r>
    </w:p>
    <w:p>
      <w:pPr>
        <w:spacing w:after="0" w:line="102" w:lineRule="exact"/>
        <w:rPr>
          <w:rFonts w:ascii="Arial" w:cs="Arial" w:eastAsia="Arial" w:hAnsi="Arial"/>
          <w:sz w:val="18"/>
          <w:szCs w:val="18"/>
          <w:color w:val="auto"/>
        </w:rPr>
      </w:pPr>
    </w:p>
    <w:p>
      <w:pPr>
        <w:ind w:left="1140" w:right="500" w:hanging="383"/>
        <w:spacing w:after="0" w:line="261"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03" w:lineRule="exact"/>
        <w:rPr>
          <w:sz w:val="20"/>
          <w:szCs w:val="20"/>
          <w:color w:val="auto"/>
        </w:rPr>
      </w:pPr>
    </w:p>
    <w:p>
      <w:pPr>
        <w:ind w:firstLine="374"/>
        <w:spacing w:after="0" w:line="246" w:lineRule="auto"/>
        <w:rPr>
          <w:sz w:val="20"/>
          <w:szCs w:val="20"/>
          <w:color w:val="auto"/>
        </w:rPr>
      </w:pPr>
      <w:r>
        <w:rPr>
          <w:rFonts w:ascii="Arial" w:cs="Arial" w:eastAsia="Arial" w:hAnsi="Arial"/>
          <w:sz w:val="18"/>
          <w:szCs w:val="18"/>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116" w:lineRule="exact"/>
        <w:rPr>
          <w:sz w:val="20"/>
          <w:szCs w:val="20"/>
          <w:color w:val="auto"/>
        </w:rPr>
      </w:pPr>
    </w:p>
    <w:p>
      <w:pPr>
        <w:ind w:right="40" w:firstLine="374"/>
        <w:spacing w:after="0" w:line="289" w:lineRule="auto"/>
        <w:rPr>
          <w:sz w:val="20"/>
          <w:szCs w:val="20"/>
          <w:color w:val="auto"/>
        </w:rPr>
      </w:pPr>
      <w:r>
        <w:rPr>
          <w:rFonts w:ascii="Arial" w:cs="Arial" w:eastAsia="Arial" w:hAnsi="Arial"/>
          <w:sz w:val="16"/>
          <w:szCs w:val="16"/>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44"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53" w:lineRule="exact"/>
        <w:rPr>
          <w:sz w:val="20"/>
          <w:szCs w:val="20"/>
          <w:color w:val="auto"/>
        </w:rPr>
      </w:pPr>
    </w:p>
    <w:p>
      <w:pPr>
        <w:ind w:right="140" w:firstLine="374"/>
        <w:spacing w:after="0" w:line="241" w:lineRule="auto"/>
        <w:rPr>
          <w:sz w:val="20"/>
          <w:szCs w:val="20"/>
          <w:color w:val="auto"/>
        </w:rPr>
      </w:pPr>
      <w:r>
        <w:rPr>
          <w:rFonts w:ascii="Arial" w:cs="Arial" w:eastAsia="Arial" w:hAnsi="Arial"/>
          <w:sz w:val="18"/>
          <w:szCs w:val="18"/>
          <w:color w:val="auto"/>
        </w:rPr>
        <w:t>We currently maintain our research and development, manufacturing and administrative operations in Aliso Viejo, California, and we do not have redundant facilities. We operate a single manufacturing facility, and should this facility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7" w:right="399" w:bottom="1440" w:gutter="0" w:footer="0" w:header="0"/>
        </w:sectPr>
      </w:pPr>
    </w:p>
    <w:bookmarkStart w:id="48" w:name="page49"/>
    <w:bookmarkEnd w:id="48"/>
    <w:p>
      <w:pPr>
        <w:spacing w:after="0" w:line="263" w:lineRule="auto"/>
        <w:rPr>
          <w:sz w:val="20"/>
          <w:szCs w:val="20"/>
          <w:color w:val="auto"/>
        </w:rPr>
      </w:pPr>
      <w:r>
        <w:rPr>
          <w:rFonts w:ascii="Arial" w:cs="Arial" w:eastAsia="Arial" w:hAnsi="Arial"/>
          <w:sz w:val="17"/>
          <w:szCs w:val="17"/>
          <w:color w:val="auto"/>
        </w:rPr>
        <w:t>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104" w:lineRule="exact"/>
        <w:rPr>
          <w:sz w:val="20"/>
          <w:szCs w:val="20"/>
          <w:color w:val="auto"/>
        </w:rPr>
      </w:pPr>
    </w:p>
    <w:p>
      <w:pPr>
        <w:ind w:right="60" w:firstLine="374"/>
        <w:spacing w:after="0" w:line="279" w:lineRule="auto"/>
        <w:rPr>
          <w:sz w:val="20"/>
          <w:szCs w:val="20"/>
          <w:color w:val="auto"/>
        </w:rPr>
      </w:pPr>
      <w:r>
        <w:rPr>
          <w:rFonts w:ascii="Arial" w:cs="Arial" w:eastAsia="Arial" w:hAnsi="Arial"/>
          <w:sz w:val="16"/>
          <w:szCs w:val="16"/>
          <w:color w:val="auto"/>
        </w:rPr>
        <w:t>Furthermore, the current leases on our four facilities expire, respectively, on (i) September 30, 2024, with one option to extend for five years; (ii) January 31, 2026, with three options to extend for five years each; (iii) March 31, 2025 with two options to extend for five years each, and (iv) August 31, 2024, with one option to extend for five years.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change may adversely affect sales of our products and may cause our products to become obsolete.</w:t>
      </w:r>
    </w:p>
    <w:p>
      <w:pPr>
        <w:spacing w:after="0" w:line="117"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12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67"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clinical trials are unsuccessful or significantly delayed, or if we do not complete our clinical trials, our business may be harmed.</w:t>
      </w:r>
    </w:p>
    <w:p>
      <w:pPr>
        <w:spacing w:after="0" w:line="142" w:lineRule="exact"/>
        <w:rPr>
          <w:sz w:val="20"/>
          <w:szCs w:val="20"/>
          <w:color w:val="auto"/>
        </w:rPr>
      </w:pPr>
    </w:p>
    <w:p>
      <w:pPr>
        <w:ind w:right="360" w:firstLine="374"/>
        <w:spacing w:after="0" w:line="261" w:lineRule="auto"/>
        <w:rPr>
          <w:sz w:val="20"/>
          <w:szCs w:val="20"/>
          <w:color w:val="auto"/>
        </w:rPr>
      </w:pPr>
      <w:r>
        <w:rPr>
          <w:rFonts w:ascii="Arial" w:cs="Arial" w:eastAsia="Arial" w:hAnsi="Arial"/>
          <w:sz w:val="18"/>
          <w:szCs w:val="18"/>
          <w:color w:val="auto"/>
        </w:rPr>
        <w:t>Clinical development is a long, expensive and uncertain process and is subject to delays and the risk that products may ultimately prove unsafe or ineffective in treating the indications for which they are designed. We are</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49" w:name="page50"/>
    <w:bookmarkEnd w:id="49"/>
    <w:p>
      <w:pPr>
        <w:spacing w:after="0" w:line="287" w:lineRule="auto"/>
        <w:rPr>
          <w:sz w:val="20"/>
          <w:szCs w:val="20"/>
          <w:color w:val="auto"/>
        </w:rPr>
      </w:pPr>
      <w:r>
        <w:rPr>
          <w:rFonts w:ascii="Arial" w:cs="Arial" w:eastAsia="Arial" w:hAnsi="Arial"/>
          <w:sz w:val="16"/>
          <w:szCs w:val="16"/>
          <w:color w:val="auto"/>
        </w:rPr>
        <w:t>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87" w:lineRule="exact"/>
        <w:rPr>
          <w:sz w:val="20"/>
          <w:szCs w:val="20"/>
          <w:color w:val="auto"/>
        </w:rPr>
      </w:pPr>
    </w:p>
    <w:p>
      <w:pPr>
        <w:ind w:right="680" w:firstLine="374"/>
        <w:spacing w:after="0" w:line="324" w:lineRule="auto"/>
        <w:rPr>
          <w:sz w:val="20"/>
          <w:szCs w:val="20"/>
          <w:color w:val="auto"/>
        </w:rPr>
      </w:pPr>
      <w:r>
        <w:rPr>
          <w:rFonts w:ascii="Arial" w:cs="Arial" w:eastAsia="Arial" w:hAnsi="Arial"/>
          <w:sz w:val="16"/>
          <w:szCs w:val="16"/>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258" w:lineRule="exact"/>
        <w:rPr>
          <w:sz w:val="20"/>
          <w:szCs w:val="20"/>
          <w:color w:val="auto"/>
        </w:rPr>
      </w:pPr>
    </w:p>
    <w:p>
      <w:pPr>
        <w:ind w:left="1140" w:right="220" w:hanging="383"/>
        <w:spacing w:after="0" w:line="290" w:lineRule="auto"/>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successful and timely completion of nonclinical studies or clinical development of our products, as well as the associated costs, including any unforeseen costs we may incur as a result of clinical trial delays due to the COVID-19 pandemic or other causes;</w:t>
      </w:r>
    </w:p>
    <w:p>
      <w:pPr>
        <w:spacing w:after="0" w:line="80" w:lineRule="exact"/>
        <w:rPr>
          <w:rFonts w:ascii="Arial" w:cs="Arial" w:eastAsia="Arial" w:hAnsi="Arial"/>
          <w:sz w:val="17"/>
          <w:szCs w:val="17"/>
          <w:color w:val="auto"/>
        </w:rPr>
      </w:pPr>
    </w:p>
    <w:p>
      <w:pPr>
        <w:ind w:left="1140" w:right="480" w:hanging="383"/>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enrollment in our clinical trials may be slower than we anticipate, or we may experience high screen failure rates in our clinical trials, resulting in significant delays;</w:t>
      </w:r>
    </w:p>
    <w:p>
      <w:pPr>
        <w:spacing w:after="0" w:line="88" w:lineRule="exact"/>
        <w:rPr>
          <w:rFonts w:ascii="Arial" w:cs="Arial" w:eastAsia="Arial" w:hAnsi="Arial"/>
          <w:sz w:val="18"/>
          <w:szCs w:val="18"/>
          <w:color w:val="auto"/>
        </w:rPr>
      </w:pPr>
    </w:p>
    <w:p>
      <w:pPr>
        <w:ind w:left="1140" w:right="380" w:hanging="383"/>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trial results may not meet the level of statistical significance required by the FDA or other regulatory authorities;</w:t>
      </w:r>
    </w:p>
    <w:p>
      <w:pPr>
        <w:spacing w:after="0" w:line="143"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find that one or more of our products is not sufficiently safe for investigational use in humans;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interpret data from preclinical testing and clinical trials in different ways than we do;</w:t>
      </w:r>
    </w:p>
    <w:p>
      <w:pPr>
        <w:spacing w:after="0" w:line="166" w:lineRule="exact"/>
        <w:rPr>
          <w:rFonts w:ascii="Arial" w:cs="Arial" w:eastAsia="Arial" w:hAnsi="Arial"/>
          <w:sz w:val="16"/>
          <w:szCs w:val="16"/>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delays or failure in obtaining approval of our clinical trial protocols from the FDA or other regulatory authorities;</w:t>
      </w:r>
    </w:p>
    <w:p>
      <w:pPr>
        <w:spacing w:after="0" w:line="143" w:lineRule="exact"/>
        <w:rPr>
          <w:rFonts w:ascii="Arial" w:cs="Arial" w:eastAsia="Arial" w:hAnsi="Arial"/>
          <w:sz w:val="18"/>
          <w:szCs w:val="18"/>
          <w:color w:val="auto"/>
        </w:rPr>
      </w:pPr>
    </w:p>
    <w:p>
      <w:pPr>
        <w:ind w:left="1140" w:right="320" w:hanging="383"/>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delays in obtaining institutional review board approvals or governmental approvals to conduct clinical trials at prospective sites;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similar foreign regulatory authorities may find our or our suppliers’ manufacturing processes or facilities unsatisfactory;</w:t>
      </w:r>
    </w:p>
    <w:p>
      <w:pPr>
        <w:spacing w:after="0" w:line="155" w:lineRule="exact"/>
        <w:rPr>
          <w:rFonts w:ascii="Arial" w:cs="Arial" w:eastAsia="Arial" w:hAnsi="Arial"/>
          <w:sz w:val="17"/>
          <w:szCs w:val="17"/>
          <w:color w:val="auto"/>
        </w:rPr>
      </w:pPr>
    </w:p>
    <w:p>
      <w:pPr>
        <w:ind w:left="1140" w:right="220" w:hanging="383"/>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trouble in managing multiple clinical sites;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trouble finding patients to enroll in our trials;</w:t>
      </w:r>
    </w:p>
    <w:p>
      <w:pPr>
        <w:spacing w:after="0" w:line="143" w:lineRule="exact"/>
        <w:rPr>
          <w:rFonts w:ascii="Arial" w:cs="Arial" w:eastAsia="Arial" w:hAnsi="Arial"/>
          <w:sz w:val="18"/>
          <w:szCs w:val="18"/>
          <w:color w:val="auto"/>
        </w:rPr>
      </w:pPr>
    </w:p>
    <w:p>
      <w:pPr>
        <w:ind w:left="1140" w:right="200" w:hanging="383"/>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agreeing on acceptable terms with third-party research organizations and trial sites that may help us conduct the clinical trials; and</w:t>
      </w:r>
    </w:p>
    <w:p>
      <w:pPr>
        <w:spacing w:after="0" w:line="102" w:lineRule="exact"/>
        <w:rPr>
          <w:rFonts w:ascii="Arial" w:cs="Arial" w:eastAsia="Arial" w:hAnsi="Arial"/>
          <w:sz w:val="18"/>
          <w:szCs w:val="18"/>
          <w:color w:val="auto"/>
        </w:rPr>
      </w:pPr>
    </w:p>
    <w:p>
      <w:pPr>
        <w:ind w:left="1140" w:right="240" w:hanging="383"/>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regulators, may suspend or terminate our clinical trials because the participating patients are being exposed to unacceptable health risks.</w:t>
      </w:r>
    </w:p>
    <w:p>
      <w:pPr>
        <w:spacing w:after="0" w:line="103"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50" w:name="page51"/>
    <w:bookmarkEnd w:id="50"/>
    <w:p>
      <w:pPr>
        <w:ind w:right="180"/>
        <w:spacing w:after="0" w:line="292" w:lineRule="auto"/>
        <w:rPr>
          <w:sz w:val="20"/>
          <w:szCs w:val="20"/>
          <w:color w:val="auto"/>
        </w:rPr>
      </w:pPr>
      <w:r>
        <w:rPr>
          <w:rFonts w:ascii="Arial" w:cs="Arial" w:eastAsia="Arial" w:hAnsi="Arial"/>
          <w:sz w:val="18"/>
          <w:szCs w:val="18"/>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49" w:lineRule="exact"/>
        <w:rPr>
          <w:sz w:val="20"/>
          <w:szCs w:val="20"/>
          <w:color w:val="auto"/>
        </w:rPr>
      </w:pPr>
    </w:p>
    <w:p>
      <w:pPr>
        <w:ind w:right="60" w:firstLine="374"/>
        <w:spacing w:after="0" w:line="263" w:lineRule="auto"/>
        <w:rPr>
          <w:sz w:val="20"/>
          <w:szCs w:val="20"/>
          <w:color w:val="auto"/>
        </w:rPr>
      </w:pPr>
      <w:r>
        <w:rPr>
          <w:rFonts w:ascii="Arial" w:cs="Arial" w:eastAsia="Arial" w:hAnsi="Arial"/>
          <w:sz w:val="17"/>
          <w:szCs w:val="17"/>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75" w:lineRule="exact"/>
        <w:rPr>
          <w:sz w:val="20"/>
          <w:szCs w:val="20"/>
          <w:color w:val="auto"/>
        </w:rPr>
      </w:pPr>
    </w:p>
    <w:p>
      <w:pPr>
        <w:ind w:firstLine="374"/>
        <w:spacing w:after="0" w:line="244" w:lineRule="auto"/>
        <w:rPr>
          <w:sz w:val="20"/>
          <w:szCs w:val="20"/>
          <w:color w:val="auto"/>
        </w:rPr>
      </w:pPr>
      <w:r>
        <w:rPr>
          <w:rFonts w:ascii="Arial" w:cs="Arial" w:eastAsia="Arial" w:hAnsi="Arial"/>
          <w:sz w:val="18"/>
          <w:szCs w:val="18"/>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11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67" w:lineRule="exact"/>
        <w:rPr>
          <w:sz w:val="20"/>
          <w:szCs w:val="20"/>
          <w:color w:val="auto"/>
        </w:rPr>
      </w:pPr>
    </w:p>
    <w:p>
      <w:pPr>
        <w:ind w:right="60" w:firstLine="374"/>
        <w:spacing w:after="0" w:line="246" w:lineRule="auto"/>
        <w:rPr>
          <w:sz w:val="20"/>
          <w:szCs w:val="20"/>
          <w:color w:val="auto"/>
        </w:rPr>
      </w:pPr>
      <w:r>
        <w:rPr>
          <w:rFonts w:ascii="Arial" w:cs="Arial" w:eastAsia="Arial" w:hAnsi="Arial"/>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16" w:lineRule="exact"/>
        <w:rPr>
          <w:sz w:val="20"/>
          <w:szCs w:val="20"/>
          <w:color w:val="auto"/>
        </w:rPr>
      </w:pPr>
    </w:p>
    <w:p>
      <w:pPr>
        <w:ind w:right="20" w:firstLine="374"/>
        <w:spacing w:after="0" w:line="274" w:lineRule="auto"/>
        <w:rPr>
          <w:sz w:val="20"/>
          <w:szCs w:val="20"/>
          <w:color w:val="auto"/>
        </w:rPr>
      </w:pPr>
      <w:r>
        <w:rPr>
          <w:rFonts w:ascii="Arial" w:cs="Arial" w:eastAsia="Arial" w:hAnsi="Arial"/>
          <w:sz w:val="16"/>
          <w:szCs w:val="16"/>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1" w:name="page52"/>
    <w:bookmarkEnd w:id="51"/>
    <w:p>
      <w:pPr>
        <w:ind w:right="220"/>
        <w:spacing w:after="0" w:line="341" w:lineRule="auto"/>
        <w:rPr>
          <w:sz w:val="20"/>
          <w:szCs w:val="20"/>
          <w:color w:val="auto"/>
        </w:rPr>
      </w:pPr>
      <w:r>
        <w:rPr>
          <w:rFonts w:ascii="Arial" w:cs="Arial" w:eastAsia="Arial" w:hAnsi="Arial"/>
          <w:sz w:val="16"/>
          <w:szCs w:val="16"/>
          <w:color w:val="auto"/>
        </w:rPr>
        <w:t>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44"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118" w:lineRule="exact"/>
        <w:rPr>
          <w:sz w:val="20"/>
          <w:szCs w:val="20"/>
          <w:color w:val="auto"/>
        </w:rPr>
      </w:pPr>
    </w:p>
    <w:p>
      <w:pPr>
        <w:ind w:firstLine="374"/>
        <w:spacing w:after="0" w:line="246" w:lineRule="auto"/>
        <w:rPr>
          <w:sz w:val="20"/>
          <w:szCs w:val="20"/>
          <w:color w:val="auto"/>
        </w:rPr>
      </w:pPr>
      <w:r>
        <w:rPr>
          <w:rFonts w:ascii="Arial" w:cs="Arial" w:eastAsia="Arial" w:hAnsi="Arial"/>
          <w:sz w:val="18"/>
          <w:szCs w:val="18"/>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acquire and develop other products, we may be unable to grow our business.</w:t>
      </w:r>
    </w:p>
    <w:p>
      <w:pPr>
        <w:spacing w:after="0" w:line="144" w:lineRule="exact"/>
        <w:rPr>
          <w:sz w:val="20"/>
          <w:szCs w:val="20"/>
          <w:color w:val="auto"/>
        </w:rPr>
      </w:pPr>
    </w:p>
    <w:p>
      <w:pPr>
        <w:jc w:val="both"/>
        <w:ind w:right="480" w:firstLine="374"/>
        <w:spacing w:after="0" w:line="271" w:lineRule="auto"/>
        <w:rPr>
          <w:sz w:val="20"/>
          <w:szCs w:val="20"/>
          <w:color w:val="auto"/>
        </w:rPr>
      </w:pPr>
      <w:r>
        <w:rPr>
          <w:rFonts w:ascii="Arial" w:cs="Arial" w:eastAsia="Arial" w:hAnsi="Arial"/>
          <w:sz w:val="18"/>
          <w:szCs w:val="18"/>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67" w:lineRule="exact"/>
        <w:rPr>
          <w:sz w:val="20"/>
          <w:szCs w:val="20"/>
          <w:color w:val="auto"/>
        </w:rPr>
      </w:pPr>
    </w:p>
    <w:p>
      <w:pPr>
        <w:ind w:right="20" w:firstLine="374"/>
        <w:spacing w:after="0" w:line="245" w:lineRule="auto"/>
        <w:rPr>
          <w:sz w:val="20"/>
          <w:szCs w:val="20"/>
          <w:color w:val="auto"/>
        </w:rPr>
      </w:pPr>
      <w:r>
        <w:rPr>
          <w:rFonts w:ascii="Arial" w:cs="Arial" w:eastAsia="Arial" w:hAnsi="Arial"/>
          <w:sz w:val="18"/>
          <w:szCs w:val="18"/>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117"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115"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89" w:lineRule="exact"/>
        <w:rPr>
          <w:sz w:val="20"/>
          <w:szCs w:val="20"/>
          <w:color w:val="auto"/>
        </w:rPr>
      </w:pPr>
    </w:p>
    <w:p>
      <w:pPr>
        <w:ind w:right="240"/>
        <w:spacing w:after="0" w:line="341"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30" w:lineRule="exact"/>
        <w:rPr>
          <w:sz w:val="20"/>
          <w:szCs w:val="20"/>
          <w:color w:val="auto"/>
        </w:rPr>
      </w:pPr>
    </w:p>
    <w:p>
      <w:pPr>
        <w:ind w:right="20" w:firstLine="374"/>
        <w:spacing w:after="0" w:line="260" w:lineRule="auto"/>
        <w:rPr>
          <w:sz w:val="20"/>
          <w:szCs w:val="20"/>
          <w:color w:val="auto"/>
        </w:rPr>
      </w:pPr>
      <w:r>
        <w:rPr>
          <w:rFonts w:ascii="Arial" w:cs="Arial" w:eastAsia="Arial" w:hAnsi="Arial"/>
          <w:sz w:val="17"/>
          <w:szCs w:val="17"/>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2" w:name="page53"/>
    <w:bookmarkEnd w:id="52"/>
    <w:p>
      <w:pPr>
        <w:ind w:right="40" w:firstLine="374"/>
        <w:spacing w:after="0" w:line="249" w:lineRule="auto"/>
        <w:rPr>
          <w:sz w:val="20"/>
          <w:szCs w:val="20"/>
          <w:color w:val="auto"/>
        </w:rPr>
      </w:pPr>
      <w:r>
        <w:rPr>
          <w:rFonts w:ascii="Arial" w:cs="Arial" w:eastAsia="Arial" w:hAnsi="Arial"/>
          <w:sz w:val="18"/>
          <w:szCs w:val="18"/>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67" w:lineRule="exact"/>
        <w:rPr>
          <w:sz w:val="20"/>
          <w:szCs w:val="20"/>
          <w:color w:val="auto"/>
        </w:rPr>
      </w:pPr>
    </w:p>
    <w:p>
      <w:pPr>
        <w:ind w:right="20" w:firstLine="374"/>
        <w:spacing w:after="0" w:line="257"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111" w:lineRule="exact"/>
        <w:rPr>
          <w:sz w:val="20"/>
          <w:szCs w:val="20"/>
          <w:color w:val="auto"/>
        </w:rPr>
      </w:pPr>
    </w:p>
    <w:p>
      <w:pPr>
        <w:ind w:right="80" w:firstLine="374"/>
        <w:spacing w:after="0" w:line="283" w:lineRule="auto"/>
        <w:rPr>
          <w:sz w:val="20"/>
          <w:szCs w:val="20"/>
          <w:color w:val="auto"/>
        </w:rPr>
      </w:pPr>
      <w:r>
        <w:rPr>
          <w:rFonts w:ascii="Arial" w:cs="Arial" w:eastAsia="Arial" w:hAnsi="Arial"/>
          <w:sz w:val="16"/>
          <w:szCs w:val="16"/>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88" w:lineRule="exact"/>
        <w:rPr>
          <w:sz w:val="20"/>
          <w:szCs w:val="20"/>
          <w:color w:val="auto"/>
        </w:rPr>
      </w:pPr>
    </w:p>
    <w:p>
      <w:pPr>
        <w:ind w:right="60" w:firstLine="374"/>
        <w:spacing w:after="0" w:line="268" w:lineRule="auto"/>
        <w:rPr>
          <w:sz w:val="20"/>
          <w:szCs w:val="20"/>
          <w:color w:val="auto"/>
        </w:rPr>
      </w:pPr>
      <w:r>
        <w:rPr>
          <w:rFonts w:ascii="Arial" w:cs="Arial" w:eastAsia="Arial" w:hAnsi="Arial"/>
          <w:sz w:val="17"/>
          <w:szCs w:val="17"/>
          <w:color w:val="auto"/>
        </w:rPr>
        <w:t>Furthermore, although we believe there is potential to improve on the current reimbursement profile for our products in the future,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98"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7" w:right="379" w:bottom="1440" w:gutter="0" w:footer="0" w:header="0"/>
        </w:sectPr>
      </w:pPr>
    </w:p>
    <w:bookmarkStart w:id="53" w:name="page54"/>
    <w:bookmarkEnd w:id="53"/>
    <w:p>
      <w:pPr>
        <w:jc w:val="both"/>
        <w:ind w:right="18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81" w:lineRule="exact"/>
        <w:rPr>
          <w:sz w:val="20"/>
          <w:szCs w:val="20"/>
          <w:color w:val="auto"/>
        </w:rPr>
      </w:pPr>
    </w:p>
    <w:p>
      <w:pPr>
        <w:ind w:firstLine="374"/>
        <w:spacing w:after="0" w:line="260" w:lineRule="auto"/>
        <w:rPr>
          <w:sz w:val="20"/>
          <w:szCs w:val="20"/>
          <w:color w:val="auto"/>
        </w:rPr>
      </w:pPr>
      <w:r>
        <w:rPr>
          <w:rFonts w:ascii="Arial" w:cs="Arial" w:eastAsia="Arial" w:hAnsi="Arial"/>
          <w:sz w:val="17"/>
          <w:szCs w:val="17"/>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109" w:lineRule="exact"/>
        <w:rPr>
          <w:sz w:val="20"/>
          <w:szCs w:val="20"/>
          <w:color w:val="auto"/>
        </w:rPr>
      </w:pPr>
    </w:p>
    <w:p>
      <w:pPr>
        <w:ind w:right="380" w:firstLine="374"/>
        <w:spacing w:after="0" w:line="247"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116" w:lineRule="exact"/>
        <w:rPr>
          <w:sz w:val="20"/>
          <w:szCs w:val="20"/>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market and sell our products.</w:t>
      </w:r>
    </w:p>
    <w:p>
      <w:pPr>
        <w:spacing w:after="0" w:line="144" w:lineRule="exact"/>
        <w:rPr>
          <w:sz w:val="20"/>
          <w:szCs w:val="20"/>
          <w:color w:val="auto"/>
        </w:rPr>
      </w:pPr>
    </w:p>
    <w:p>
      <w:pPr>
        <w:ind w:right="20" w:firstLine="374"/>
        <w:spacing w:after="0" w:line="259"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1"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119"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approved. A variety of risks associated with marketing our products internationally could materially adversely affect our business.</w:t>
      </w:r>
    </w:p>
    <w:p>
      <w:pPr>
        <w:spacing w:after="0" w:line="130" w:lineRule="exact"/>
        <w:rPr>
          <w:sz w:val="20"/>
          <w:szCs w:val="20"/>
          <w:color w:val="auto"/>
        </w:rPr>
      </w:pPr>
    </w:p>
    <w:p>
      <w:pPr>
        <w:ind w:right="440" w:firstLine="374"/>
        <w:spacing w:after="0" w:line="247" w:lineRule="auto"/>
        <w:rPr>
          <w:sz w:val="20"/>
          <w:szCs w:val="20"/>
          <w:color w:val="auto"/>
        </w:rPr>
      </w:pPr>
      <w:r>
        <w:rPr>
          <w:rFonts w:ascii="Arial" w:cs="Arial" w:eastAsia="Arial" w:hAnsi="Arial"/>
          <w:sz w:val="18"/>
          <w:szCs w:val="18"/>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116" w:lineRule="exact"/>
        <w:rPr>
          <w:sz w:val="20"/>
          <w:szCs w:val="20"/>
          <w:color w:val="auto"/>
        </w:rPr>
      </w:pPr>
    </w:p>
    <w:p>
      <w:pPr>
        <w:ind w:left="1140" w:right="520" w:hanging="383"/>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 including changes to regulatory requirements and implementation of new regulations in foreign countries;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155" w:lineRule="exact"/>
        <w:rPr>
          <w:rFonts w:ascii="Arial" w:cs="Arial" w:eastAsia="Arial" w:hAnsi="Arial"/>
          <w:sz w:val="17"/>
          <w:szCs w:val="17"/>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43"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(“FCPA”) or comparable foreign regulations;</w:t>
      </w:r>
    </w:p>
    <w:p>
      <w:pPr>
        <w:spacing w:after="0" w:line="143"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44" w:lineRule="exact"/>
        <w:rPr>
          <w:sz w:val="20"/>
          <w:szCs w:val="20"/>
          <w:color w:val="auto"/>
        </w:rPr>
      </w:pPr>
    </w:p>
    <w:p>
      <w:pPr>
        <w:ind w:right="60" w:firstLine="374"/>
        <w:spacing w:after="0" w:line="290" w:lineRule="auto"/>
        <w:rPr>
          <w:sz w:val="20"/>
          <w:szCs w:val="20"/>
          <w:color w:val="auto"/>
        </w:rPr>
      </w:pPr>
      <w:r>
        <w:rPr>
          <w:rFonts w:ascii="Arial" w:cs="Arial" w:eastAsia="Arial" w:hAnsi="Arial"/>
          <w:sz w:val="17"/>
          <w:szCs w:val="17"/>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80"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export our products to, existing or potential customers with international operations. Any decreased use of our products or limitation on our ability to export or sell our products would likely adversely affect our business.</w:t>
      </w:r>
    </w:p>
    <w:p>
      <w:pPr>
        <w:spacing w:after="0" w:line="89" w:lineRule="exact"/>
        <w:rPr>
          <w:sz w:val="20"/>
          <w:szCs w:val="20"/>
          <w:color w:val="auto"/>
        </w:rPr>
      </w:pPr>
    </w:p>
    <w:p>
      <w:pPr>
        <w:ind w:right="20" w:firstLine="374"/>
        <w:spacing w:after="0" w:line="275" w:lineRule="auto"/>
        <w:rPr>
          <w:sz w:val="20"/>
          <w:szCs w:val="20"/>
          <w:color w:val="auto"/>
        </w:rPr>
      </w:pPr>
      <w:r>
        <w:rPr>
          <w:rFonts w:ascii="Arial" w:cs="Arial" w:eastAsia="Arial" w:hAnsi="Arial"/>
          <w:sz w:val="16"/>
          <w:szCs w:val="16"/>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or maintain satisfactory pricing and margins for our products.</w:t>
      </w:r>
    </w:p>
    <w:p>
      <w:pPr>
        <w:spacing w:after="0" w:line="130" w:lineRule="exact"/>
        <w:rPr>
          <w:sz w:val="20"/>
          <w:szCs w:val="20"/>
          <w:color w:val="auto"/>
        </w:rPr>
      </w:pPr>
    </w:p>
    <w:p>
      <w:pPr>
        <w:ind w:right="20" w:firstLine="374"/>
        <w:spacing w:after="0" w:line="257" w:lineRule="auto"/>
        <w:rPr>
          <w:sz w:val="20"/>
          <w:szCs w:val="20"/>
          <w:color w:val="auto"/>
        </w:rPr>
      </w:pPr>
      <w:r>
        <w:rPr>
          <w:rFonts w:ascii="Arial" w:cs="Arial" w:eastAsia="Arial" w:hAnsi="Arial"/>
          <w:sz w:val="17"/>
          <w:szCs w:val="17"/>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sizes of the markets for our current and future products have not been established with precision and may be smaller than we estimate.</w:t>
      </w:r>
    </w:p>
    <w:p>
      <w:pPr>
        <w:spacing w:after="0" w:line="153" w:lineRule="exact"/>
        <w:rPr>
          <w:sz w:val="20"/>
          <w:szCs w:val="20"/>
          <w:color w:val="auto"/>
        </w:rPr>
      </w:pPr>
    </w:p>
    <w:p>
      <w:pPr>
        <w:ind w:right="20" w:firstLine="374"/>
        <w:spacing w:after="0" w:line="277" w:lineRule="auto"/>
        <w:rPr>
          <w:sz w:val="20"/>
          <w:szCs w:val="20"/>
          <w:color w:val="auto"/>
        </w:rPr>
      </w:pPr>
      <w:r>
        <w:rPr>
          <w:rFonts w:ascii="Arial" w:cs="Arial" w:eastAsia="Arial" w:hAnsi="Arial"/>
          <w:sz w:val="16"/>
          <w:szCs w:val="16"/>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95"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b w:val="1"/>
          <w:bCs w:val="1"/>
          <w:i w:val="1"/>
          <w:iCs w:val="1"/>
          <w:color w:val="auto"/>
        </w:rPr>
        <w:t>Changes to state regulations and interpretation of the practice of optometry, for public health insurance coverage and government reimbursement rates for our products and related procedures and/or medical or professional malpractice insurance coverage for doctors who perform procedures using our products could affect the adoption of our products and our future revenue.</w:t>
      </w:r>
    </w:p>
    <w:p>
      <w:pPr>
        <w:spacing w:after="0" w:line="67" w:lineRule="exact"/>
        <w:rPr>
          <w:sz w:val="20"/>
          <w:szCs w:val="20"/>
          <w:color w:val="auto"/>
        </w:rPr>
      </w:pPr>
    </w:p>
    <w:p>
      <w:pPr>
        <w:ind w:right="80" w:firstLine="374"/>
        <w:spacing w:after="0" w:line="249" w:lineRule="auto"/>
        <w:rPr>
          <w:sz w:val="20"/>
          <w:szCs w:val="20"/>
          <w:color w:val="auto"/>
        </w:rPr>
      </w:pPr>
      <w:r>
        <w:rPr>
          <w:rFonts w:ascii="Arial" w:cs="Arial" w:eastAsia="Arial" w:hAnsi="Arial"/>
          <w:sz w:val="18"/>
          <w:szCs w:val="18"/>
          <w:color w:val="auto"/>
        </w:rPr>
        <w:t>States regulate the practice of optometry, including the types of procedures optometrists are authorized to perform in each state. To the extent states change or narrow the scope of the practice of optometry or their interpretation of the scope of optometry with respect to those who are qualified to perform procedures involving our RxSight system, such state regulation or policy can have a material impact on which doctors may use our RxSight system, our customer base and market share, and the adoption of our RxSight system. Additionally, payor restrictions on the coverage and/or reimbursement levels for procedures using our RxSight system can negatively</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6" w:name="page57"/>
    <w:bookmarkEnd w:id="56"/>
    <w:p>
      <w:pPr>
        <w:spacing w:after="0" w:line="244" w:lineRule="auto"/>
        <w:rPr>
          <w:sz w:val="20"/>
          <w:szCs w:val="20"/>
          <w:color w:val="auto"/>
        </w:rPr>
      </w:pPr>
      <w:r>
        <w:rPr>
          <w:rFonts w:ascii="Arial" w:cs="Arial" w:eastAsia="Arial" w:hAnsi="Arial"/>
          <w:sz w:val="18"/>
          <w:szCs w:val="18"/>
          <w:color w:val="auto"/>
        </w:rPr>
        <w:t>impact the adoption of our products and the pricing of our products, which can have a material impact on our profitability. Changes to medical or professional malpractice insurance coverage policies for doctors who perform procedures using our products, including refusal to cover malpractice liability insurance related to the use of our products can have a material impact on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spacing w:after="0" w:line="118" w:lineRule="exact"/>
        <w:rPr>
          <w:sz w:val="20"/>
          <w:szCs w:val="20"/>
          <w:color w:val="auto"/>
        </w:rPr>
      </w:pPr>
    </w:p>
    <w:p>
      <w:pPr>
        <w:ind w:right="160" w:firstLine="374"/>
        <w:spacing w:after="0" w:line="259" w:lineRule="auto"/>
        <w:rPr>
          <w:sz w:val="20"/>
          <w:szCs w:val="20"/>
          <w:color w:val="auto"/>
        </w:rPr>
      </w:pPr>
      <w:r>
        <w:rPr>
          <w:rFonts w:ascii="Arial" w:cs="Arial" w:eastAsia="Arial" w:hAnsi="Arial"/>
          <w:sz w:val="17"/>
          <w:szCs w:val="17"/>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may fluctuate significantly and may not fully reflect the underlying performance of our business.</w:t>
      </w:r>
    </w:p>
    <w:p>
      <w:pPr>
        <w:spacing w:after="0" w:line="130" w:lineRule="exact"/>
        <w:rPr>
          <w:sz w:val="20"/>
          <w:szCs w:val="20"/>
          <w:color w:val="auto"/>
        </w:rPr>
      </w:pPr>
    </w:p>
    <w:p>
      <w:pPr>
        <w:ind w:right="140" w:firstLine="374"/>
        <w:spacing w:after="0" w:line="279" w:lineRule="auto"/>
        <w:rPr>
          <w:sz w:val="20"/>
          <w:szCs w:val="20"/>
          <w:color w:val="auto"/>
        </w:rPr>
      </w:pPr>
      <w:r>
        <w:rPr>
          <w:rFonts w:ascii="Arial" w:cs="Arial" w:eastAsia="Arial" w:hAnsi="Arial"/>
          <w:sz w:val="16"/>
          <w:szCs w:val="16"/>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9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81" w:lineRule="exact"/>
        <w:rPr>
          <w:sz w:val="20"/>
          <w:szCs w:val="20"/>
          <w:color w:val="auto"/>
        </w:rPr>
      </w:pPr>
    </w:p>
    <w:p>
      <w:pPr>
        <w:ind w:firstLine="374"/>
        <w:spacing w:after="0" w:line="262" w:lineRule="auto"/>
        <w:rPr>
          <w:sz w:val="20"/>
          <w:szCs w:val="20"/>
          <w:color w:val="auto"/>
        </w:rPr>
      </w:pPr>
      <w:r>
        <w:rPr>
          <w:rFonts w:ascii="Arial" w:cs="Arial" w:eastAsia="Arial" w:hAnsi="Arial"/>
          <w:sz w:val="18"/>
          <w:szCs w:val="18"/>
          <w:color w:val="auto"/>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operating results and financial metrics may be difficult to predict as a result of seasonality.</w:t>
      </w:r>
    </w:p>
    <w:p>
      <w:pPr>
        <w:spacing w:after="0" w:line="130" w:lineRule="exact"/>
        <w:rPr>
          <w:sz w:val="20"/>
          <w:szCs w:val="20"/>
          <w:color w:val="auto"/>
        </w:rPr>
      </w:pPr>
    </w:p>
    <w:p>
      <w:pPr>
        <w:ind w:right="60" w:firstLine="374"/>
        <w:spacing w:after="0" w:line="305" w:lineRule="auto"/>
        <w:rPr>
          <w:sz w:val="20"/>
          <w:szCs w:val="20"/>
          <w:color w:val="auto"/>
        </w:rPr>
      </w:pPr>
      <w:r>
        <w:rPr>
          <w:rFonts w:ascii="Arial" w:cs="Arial" w:eastAsia="Arial" w:hAnsi="Arial"/>
          <w:sz w:val="16"/>
          <w:szCs w:val="16"/>
          <w:color w:val="auto"/>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7" w:name="page58"/>
    <w:bookmarkEnd w:id="57"/>
    <w:p>
      <w:pPr>
        <w:ind w:right="660"/>
        <w:spacing w:after="0" w:line="292"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49" w:lineRule="exact"/>
        <w:rPr>
          <w:sz w:val="20"/>
          <w:szCs w:val="20"/>
          <w:color w:val="auto"/>
        </w:rPr>
      </w:pPr>
    </w:p>
    <w:p>
      <w:pPr>
        <w:ind w:right="160" w:firstLine="374"/>
        <w:spacing w:after="0" w:line="283" w:lineRule="auto"/>
        <w:rPr>
          <w:sz w:val="20"/>
          <w:szCs w:val="20"/>
          <w:color w:val="auto"/>
        </w:rPr>
      </w:pPr>
      <w:r>
        <w:rPr>
          <w:rFonts w:ascii="Arial" w:cs="Arial" w:eastAsia="Arial" w:hAnsi="Arial"/>
          <w:sz w:val="17"/>
          <w:szCs w:val="17"/>
          <w:color w:val="auto"/>
        </w:rPr>
        <w:t>As of December 31, 2021, we had federal net operating loss carryforwards (“NOLs”) of approximately $270.4 million, which will begin to expire in various years ranging from 2022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in tax years beginning after December 31, 2020 is limited to 80% of taxable income. It is uncertain if and to what extent various states will conform to the Tax Act, as modified by the CARES Act.</w:t>
      </w:r>
    </w:p>
    <w:p>
      <w:pPr>
        <w:spacing w:after="0" w:line="100" w:lineRule="exact"/>
        <w:rPr>
          <w:sz w:val="20"/>
          <w:szCs w:val="20"/>
          <w:color w:val="auto"/>
        </w:rPr>
      </w:pPr>
    </w:p>
    <w:p>
      <w:pPr>
        <w:ind w:firstLine="374"/>
        <w:spacing w:after="0" w:line="280" w:lineRule="auto"/>
        <w:rPr>
          <w:sz w:val="20"/>
          <w:szCs w:val="20"/>
          <w:color w:val="auto"/>
        </w:rPr>
      </w:pPr>
      <w:r>
        <w:rPr>
          <w:rFonts w:ascii="Arial" w:cs="Arial" w:eastAsia="Arial" w:hAnsi="Arial"/>
          <w:sz w:val="17"/>
          <w:szCs w:val="17"/>
          <w:color w:val="auto"/>
        </w:rPr>
        <w:t>In addition, under Sections 382 and 383 of the Internal Revenue Code of 1986, as amended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67" w:lineRule="exact"/>
        <w:rPr>
          <w:sz w:val="20"/>
          <w:szCs w:val="20"/>
          <w:color w:val="auto"/>
        </w:rPr>
      </w:pPr>
    </w:p>
    <w:p>
      <w:pPr>
        <w:ind w:right="100" w:firstLine="374"/>
        <w:spacing w:after="0" w:line="290" w:lineRule="auto"/>
        <w:rPr>
          <w:sz w:val="20"/>
          <w:szCs w:val="20"/>
          <w:color w:val="auto"/>
        </w:rPr>
      </w:pPr>
      <w:r>
        <w:rPr>
          <w:rFonts w:ascii="Arial" w:cs="Arial" w:eastAsia="Arial" w:hAnsi="Arial"/>
          <w:sz w:val="17"/>
          <w:szCs w:val="17"/>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93" w:lineRule="exact"/>
        <w:rPr>
          <w:sz w:val="20"/>
          <w:szCs w:val="20"/>
          <w:color w:val="auto"/>
        </w:rPr>
      </w:pPr>
    </w:p>
    <w:p>
      <w:pPr>
        <w:ind w:right="120" w:firstLine="374"/>
        <w:spacing w:after="0" w:line="264" w:lineRule="auto"/>
        <w:rPr>
          <w:sz w:val="20"/>
          <w:szCs w:val="20"/>
          <w:color w:val="auto"/>
        </w:rPr>
      </w:pPr>
      <w:r>
        <w:rPr>
          <w:rFonts w:ascii="Arial" w:cs="Arial" w:eastAsia="Arial" w:hAnsi="Arial"/>
          <w:sz w:val="18"/>
          <w:szCs w:val="18"/>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117" w:lineRule="exact"/>
        <w:rPr>
          <w:sz w:val="20"/>
          <w:szCs w:val="20"/>
          <w:color w:val="auto"/>
        </w:rPr>
      </w:pPr>
    </w:p>
    <w:p>
      <w:pPr>
        <w:ind w:right="20" w:firstLine="374"/>
        <w:spacing w:after="0" w:line="304" w:lineRule="auto"/>
        <w:rPr>
          <w:sz w:val="20"/>
          <w:szCs w:val="20"/>
          <w:color w:val="auto"/>
        </w:rPr>
      </w:pPr>
      <w:r>
        <w:rPr>
          <w:rFonts w:ascii="Arial" w:cs="Arial" w:eastAsia="Arial" w:hAnsi="Arial"/>
          <w:sz w:val="16"/>
          <w:szCs w:val="16"/>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8" w:name="page59"/>
    <w:bookmarkEnd w:id="58"/>
    <w:p>
      <w:pPr>
        <w:ind w:right="300"/>
        <w:spacing w:after="0" w:line="292" w:lineRule="auto"/>
        <w:rPr>
          <w:sz w:val="20"/>
          <w:szCs w:val="20"/>
          <w:color w:val="auto"/>
        </w:rPr>
      </w:pPr>
      <w:r>
        <w:rPr>
          <w:rFonts w:ascii="Arial" w:cs="Arial" w:eastAsia="Arial" w:hAnsi="Arial"/>
          <w:sz w:val="18"/>
          <w:szCs w:val="18"/>
          <w:color w:val="auto"/>
        </w:rPr>
        <w:t>able to protect our intellectual property at all. Despite our efforts to protect our intellectual property, unauthorized parties may be able to obtain and use information that we regard as proprietary.</w:t>
      </w:r>
    </w:p>
    <w:p>
      <w:pPr>
        <w:spacing w:after="0" w:line="90" w:lineRule="exact"/>
        <w:rPr>
          <w:sz w:val="20"/>
          <w:szCs w:val="20"/>
          <w:color w:val="auto"/>
        </w:rPr>
      </w:pPr>
    </w:p>
    <w:p>
      <w:pPr>
        <w:ind w:right="20" w:firstLine="374"/>
        <w:spacing w:after="0" w:line="290"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93" w:lineRule="exact"/>
        <w:rPr>
          <w:sz w:val="20"/>
          <w:szCs w:val="20"/>
          <w:color w:val="auto"/>
        </w:rPr>
      </w:pPr>
    </w:p>
    <w:p>
      <w:pPr>
        <w:ind w:firstLine="374"/>
        <w:spacing w:after="0" w:line="277" w:lineRule="auto"/>
        <w:rPr>
          <w:sz w:val="20"/>
          <w:szCs w:val="20"/>
          <w:color w:val="auto"/>
        </w:rPr>
      </w:pPr>
      <w:r>
        <w:rPr>
          <w:rFonts w:ascii="Arial" w:cs="Arial" w:eastAsia="Arial" w:hAnsi="Arial"/>
          <w:sz w:val="17"/>
          <w:szCs w:val="17"/>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111" w:lineRule="exact"/>
        <w:rPr>
          <w:sz w:val="20"/>
          <w:szCs w:val="20"/>
          <w:color w:val="auto"/>
        </w:rPr>
      </w:pPr>
    </w:p>
    <w:p>
      <w:pPr>
        <w:ind w:right="20" w:firstLine="374"/>
        <w:spacing w:after="0" w:line="262" w:lineRule="auto"/>
        <w:rPr>
          <w:sz w:val="20"/>
          <w:szCs w:val="20"/>
          <w:color w:val="auto"/>
        </w:rPr>
      </w:pPr>
      <w:r>
        <w:rPr>
          <w:rFonts w:ascii="Arial" w:cs="Arial" w:eastAsia="Arial" w:hAnsi="Arial"/>
          <w:sz w:val="18"/>
          <w:szCs w:val="18"/>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117" w:lineRule="exact"/>
        <w:rPr>
          <w:sz w:val="20"/>
          <w:szCs w:val="20"/>
          <w:color w:val="auto"/>
        </w:rPr>
      </w:pPr>
    </w:p>
    <w:p>
      <w:pPr>
        <w:ind w:firstLine="374"/>
        <w:spacing w:after="0" w:line="298" w:lineRule="auto"/>
        <w:rPr>
          <w:sz w:val="20"/>
          <w:szCs w:val="20"/>
          <w:color w:val="auto"/>
        </w:rPr>
      </w:pPr>
      <w:r>
        <w:rPr>
          <w:rFonts w:ascii="Arial" w:cs="Arial" w:eastAsia="Arial" w:hAnsi="Arial"/>
          <w:sz w:val="16"/>
          <w:szCs w:val="16"/>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89"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7" w:right="399" w:bottom="1440" w:gutter="0" w:footer="0" w:header="0"/>
        </w:sectPr>
      </w:pPr>
    </w:p>
    <w:bookmarkStart w:id="59" w:name="page60"/>
    <w:bookmarkEnd w:id="59"/>
    <w:p>
      <w:pPr>
        <w:ind w:right="140"/>
        <w:spacing w:after="0" w:line="292" w:lineRule="auto"/>
        <w:rPr>
          <w:sz w:val="20"/>
          <w:szCs w:val="20"/>
          <w:color w:val="auto"/>
        </w:rPr>
      </w:pPr>
      <w:r>
        <w:rPr>
          <w:rFonts w:ascii="Arial" w:cs="Arial" w:eastAsia="Arial" w:hAnsi="Arial"/>
          <w:sz w:val="18"/>
          <w:szCs w:val="18"/>
          <w:color w:val="auto"/>
        </w:rPr>
        <w:t>was not novel or was obvious. In litigation, a competitor could claim that our patents, if issued, are not valid for a number of reasons. If a court agrees, we would lose our rights to those challenged patents.</w:t>
      </w:r>
    </w:p>
    <w:p>
      <w:pPr>
        <w:spacing w:after="0" w:line="90" w:lineRule="exact"/>
        <w:rPr>
          <w:sz w:val="20"/>
          <w:szCs w:val="20"/>
          <w:color w:val="auto"/>
        </w:rPr>
      </w:pPr>
    </w:p>
    <w:p>
      <w:pPr>
        <w:ind w:right="40" w:firstLine="374"/>
        <w:spacing w:after="0" w:line="280"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03" w:lineRule="exact"/>
        <w:rPr>
          <w:sz w:val="20"/>
          <w:szCs w:val="20"/>
          <w:color w:val="auto"/>
        </w:rPr>
      </w:pPr>
    </w:p>
    <w:p>
      <w:pPr>
        <w:ind w:right="180" w:firstLine="374"/>
        <w:spacing w:after="0" w:line="290" w:lineRule="auto"/>
        <w:rPr>
          <w:sz w:val="20"/>
          <w:szCs w:val="20"/>
          <w:color w:val="auto"/>
        </w:rPr>
      </w:pPr>
      <w:r>
        <w:rPr>
          <w:rFonts w:ascii="Arial" w:cs="Arial" w:eastAsia="Arial" w:hAnsi="Arial"/>
          <w:sz w:val="17"/>
          <w:szCs w:val="17"/>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93" w:lineRule="exact"/>
        <w:rPr>
          <w:sz w:val="20"/>
          <w:szCs w:val="20"/>
          <w:color w:val="auto"/>
        </w:rPr>
      </w:pPr>
    </w:p>
    <w:p>
      <w:pPr>
        <w:ind w:firstLine="374"/>
        <w:spacing w:after="0" w:line="264" w:lineRule="auto"/>
        <w:rPr>
          <w:sz w:val="20"/>
          <w:szCs w:val="20"/>
          <w:color w:val="auto"/>
        </w:rPr>
      </w:pPr>
      <w:r>
        <w:rPr>
          <w:rFonts w:ascii="Arial" w:cs="Arial" w:eastAsia="Arial" w:hAnsi="Arial"/>
          <w:sz w:val="18"/>
          <w:szCs w:val="18"/>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17" w:lineRule="exact"/>
        <w:rPr>
          <w:sz w:val="20"/>
          <w:szCs w:val="20"/>
          <w:color w:val="auto"/>
        </w:rPr>
      </w:pPr>
    </w:p>
    <w:p>
      <w:pPr>
        <w:ind w:right="80" w:firstLine="374"/>
        <w:spacing w:after="0" w:line="304" w:lineRule="auto"/>
        <w:rPr>
          <w:sz w:val="20"/>
          <w:szCs w:val="20"/>
          <w:color w:val="auto"/>
        </w:rPr>
      </w:pPr>
      <w:r>
        <w:rPr>
          <w:rFonts w:ascii="Arial" w:cs="Arial" w:eastAsia="Arial" w:hAnsi="Arial"/>
          <w:sz w:val="16"/>
          <w:szCs w:val="16"/>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85" w:lineRule="exact"/>
        <w:rPr>
          <w:sz w:val="20"/>
          <w:szCs w:val="20"/>
          <w:color w:val="auto"/>
        </w:rPr>
      </w:pPr>
    </w:p>
    <w:p>
      <w:pPr>
        <w:ind w:right="100" w:firstLine="374"/>
        <w:spacing w:after="0" w:line="297" w:lineRule="auto"/>
        <w:rPr>
          <w:sz w:val="20"/>
          <w:szCs w:val="20"/>
          <w:color w:val="auto"/>
        </w:rPr>
      </w:pPr>
      <w:r>
        <w:rPr>
          <w:rFonts w:ascii="Arial" w:cs="Arial" w:eastAsia="Arial" w:hAnsi="Arial"/>
          <w:sz w:val="16"/>
          <w:szCs w:val="16"/>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0" w:name="page61"/>
    <w:bookmarkEnd w:id="60"/>
    <w:p>
      <w:pPr>
        <w:jc w:val="both"/>
        <w:ind w:right="100" w:firstLine="374"/>
        <w:spacing w:after="0" w:line="313" w:lineRule="auto"/>
        <w:rPr>
          <w:sz w:val="20"/>
          <w:szCs w:val="20"/>
          <w:color w:val="auto"/>
        </w:rPr>
      </w:pPr>
      <w:r>
        <w:rPr>
          <w:rFonts w:ascii="Arial" w:cs="Arial" w:eastAsia="Arial" w:hAnsi="Arial"/>
          <w:sz w:val="16"/>
          <w:szCs w:val="16"/>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technology for an adequate amount of time.</w:t>
      </w:r>
    </w:p>
    <w:p>
      <w:pPr>
        <w:spacing w:after="0" w:line="130" w:lineRule="exact"/>
        <w:rPr>
          <w:sz w:val="20"/>
          <w:szCs w:val="20"/>
          <w:color w:val="auto"/>
        </w:rPr>
      </w:pPr>
    </w:p>
    <w:p>
      <w:pPr>
        <w:ind w:right="40" w:firstLine="374"/>
        <w:spacing w:after="0" w:line="28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101" w:lineRule="exact"/>
        <w:rPr>
          <w:sz w:val="20"/>
          <w:szCs w:val="20"/>
          <w:color w:val="auto"/>
        </w:rPr>
      </w:pPr>
    </w:p>
    <w:p>
      <w:pPr>
        <w:jc w:val="both"/>
        <w:ind w:right="540"/>
        <w:spacing w:after="0" w:line="27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firstLine="374"/>
        <w:spacing w:after="0" w:line="277" w:lineRule="auto"/>
        <w:rPr>
          <w:sz w:val="20"/>
          <w:szCs w:val="20"/>
          <w:color w:val="auto"/>
        </w:rPr>
      </w:pPr>
      <w:r>
        <w:rPr>
          <w:rFonts w:ascii="Arial" w:cs="Arial" w:eastAsia="Arial" w:hAnsi="Arial"/>
          <w:sz w:val="17"/>
          <w:szCs w:val="17"/>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111"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49" w:lineRule="exact"/>
        <w:rPr>
          <w:sz w:val="20"/>
          <w:szCs w:val="20"/>
          <w:color w:val="auto"/>
        </w:rPr>
      </w:pPr>
    </w:p>
    <w:p>
      <w:pPr>
        <w:ind w:right="140" w:firstLine="374"/>
        <w:spacing w:after="0" w:line="320"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73" w:lineRule="exact"/>
        <w:rPr>
          <w:sz w:val="20"/>
          <w:szCs w:val="20"/>
          <w:color w:val="auto"/>
        </w:rPr>
      </w:pPr>
    </w:p>
    <w:p>
      <w:pPr>
        <w:ind w:right="80" w:firstLine="374"/>
        <w:spacing w:after="0" w:line="264"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ind w:right="320"/>
        <w:spacing w:after="0" w:line="292" w:lineRule="auto"/>
        <w:rPr>
          <w:sz w:val="20"/>
          <w:szCs w:val="20"/>
          <w:color w:val="auto"/>
        </w:rPr>
      </w:pPr>
      <w:r>
        <w:rPr>
          <w:rFonts w:ascii="Arial" w:cs="Arial" w:eastAsia="Arial" w:hAnsi="Arial"/>
          <w:sz w:val="18"/>
          <w:szCs w:val="18"/>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49" w:lineRule="exact"/>
        <w:rPr>
          <w:sz w:val="20"/>
          <w:szCs w:val="20"/>
          <w:color w:val="auto"/>
        </w:rPr>
      </w:pPr>
    </w:p>
    <w:p>
      <w:pPr>
        <w:ind w:right="40" w:firstLine="374"/>
        <w:spacing w:after="0" w:line="297" w:lineRule="auto"/>
        <w:rPr>
          <w:sz w:val="20"/>
          <w:szCs w:val="20"/>
          <w:color w:val="auto"/>
        </w:rPr>
      </w:pPr>
      <w:r>
        <w:rPr>
          <w:rFonts w:ascii="Arial" w:cs="Arial" w:eastAsia="Arial" w:hAnsi="Arial"/>
          <w:sz w:val="16"/>
          <w:szCs w:val="16"/>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96" w:lineRule="exact"/>
        <w:rPr>
          <w:sz w:val="20"/>
          <w:szCs w:val="20"/>
          <w:color w:val="auto"/>
        </w:rPr>
      </w:pPr>
    </w:p>
    <w:p>
      <w:pPr>
        <w:ind w:right="80" w:firstLine="374"/>
        <w:spacing w:after="0" w:line="264"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2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67" w:lineRule="exact"/>
        <w:rPr>
          <w:sz w:val="20"/>
          <w:szCs w:val="20"/>
          <w:color w:val="auto"/>
        </w:rPr>
      </w:pPr>
    </w:p>
    <w:p>
      <w:pPr>
        <w:ind w:right="20" w:firstLine="374"/>
        <w:spacing w:after="0" w:line="278" w:lineRule="auto"/>
        <w:rPr>
          <w:sz w:val="20"/>
          <w:szCs w:val="20"/>
          <w:color w:val="auto"/>
        </w:rPr>
      </w:pPr>
      <w:r>
        <w:rPr>
          <w:rFonts w:ascii="Arial" w:cs="Arial" w:eastAsia="Arial" w:hAnsi="Arial"/>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109" w:lineRule="exact"/>
        <w:rPr>
          <w:sz w:val="20"/>
          <w:szCs w:val="20"/>
          <w:color w:val="auto"/>
        </w:rPr>
      </w:pPr>
    </w:p>
    <w:p>
      <w:pPr>
        <w:ind w:firstLine="374"/>
        <w:spacing w:after="0" w:line="304" w:lineRule="auto"/>
        <w:rPr>
          <w:sz w:val="20"/>
          <w:szCs w:val="20"/>
          <w:color w:val="auto"/>
        </w:rPr>
      </w:pPr>
      <w:r>
        <w:rPr>
          <w:rFonts w:ascii="Arial" w:cs="Arial" w:eastAsia="Arial" w:hAnsi="Arial"/>
          <w:sz w:val="16"/>
          <w:szCs w:val="16"/>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85" w:lineRule="exact"/>
        <w:rPr>
          <w:sz w:val="20"/>
          <w:szCs w:val="20"/>
          <w:color w:val="auto"/>
        </w:rPr>
      </w:pPr>
    </w:p>
    <w:p>
      <w:pPr>
        <w:ind w:right="180" w:firstLine="374"/>
        <w:spacing w:after="0" w:line="292" w:lineRule="auto"/>
        <w:rPr>
          <w:sz w:val="20"/>
          <w:szCs w:val="20"/>
          <w:color w:val="auto"/>
        </w:rPr>
      </w:pPr>
      <w:r>
        <w:rPr>
          <w:rFonts w:ascii="Arial" w:cs="Arial" w:eastAsia="Arial" w:hAnsi="Arial"/>
          <w:sz w:val="18"/>
          <w:szCs w:val="18"/>
          <w:color w:val="auto"/>
        </w:rPr>
        <w:t>In addition, we or our licensors may in the future be subject to claims by former employees, consultants or other third parties asserting an ownership right in our owned or in-licensed issued patents or patent applications. An</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2" w:name="page63"/>
    <w:bookmarkEnd w:id="62"/>
    <w:p>
      <w:pPr>
        <w:ind w:right="180"/>
        <w:spacing w:after="0" w:line="283" w:lineRule="auto"/>
        <w:rPr>
          <w:sz w:val="20"/>
          <w:szCs w:val="20"/>
          <w:color w:val="auto"/>
        </w:rPr>
      </w:pPr>
      <w:r>
        <w:rPr>
          <w:rFonts w:ascii="Arial" w:cs="Arial" w:eastAsia="Arial" w:hAnsi="Arial"/>
          <w:sz w:val="17"/>
          <w:szCs w:val="17"/>
          <w:color w:val="auto"/>
        </w:rPr>
        <w:t>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99" w:lineRule="exact"/>
        <w:rPr>
          <w:sz w:val="20"/>
          <w:szCs w:val="20"/>
          <w:color w:val="auto"/>
        </w:rPr>
      </w:pPr>
    </w:p>
    <w:p>
      <w:pPr>
        <w:ind w:right="40" w:firstLine="374"/>
        <w:spacing w:after="0" w:line="261" w:lineRule="auto"/>
        <w:rPr>
          <w:sz w:val="20"/>
          <w:szCs w:val="20"/>
          <w:color w:val="auto"/>
        </w:rPr>
      </w:pPr>
      <w:r>
        <w:rPr>
          <w:rFonts w:ascii="Arial" w:cs="Arial" w:eastAsia="Arial" w:hAnsi="Arial"/>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75"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97" w:lineRule="exact"/>
        <w:rPr>
          <w:sz w:val="20"/>
          <w:szCs w:val="20"/>
          <w:color w:val="auto"/>
        </w:rPr>
      </w:pPr>
    </w:p>
    <w:p>
      <w:pPr>
        <w:ind w:right="40" w:firstLine="374"/>
        <w:spacing w:after="0" w:line="292" w:lineRule="auto"/>
        <w:rPr>
          <w:sz w:val="20"/>
          <w:szCs w:val="20"/>
          <w:color w:val="auto"/>
        </w:rPr>
      </w:pPr>
      <w:r>
        <w:rPr>
          <w:rFonts w:ascii="Arial" w:cs="Arial" w:eastAsia="Arial" w:hAnsi="Arial"/>
          <w:sz w:val="18"/>
          <w:szCs w:val="18"/>
          <w:color w:val="auto"/>
        </w:rPr>
        <w:t>Even if we believe a third party’s intellectual property claims are without merit, there is no assurance that a court would find in our favor, including on questions of infringement, validity, enforceability or priority of patents.</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3" w:name="page64"/>
    <w:bookmarkEnd w:id="63"/>
    <w:p>
      <w:pPr>
        <w:ind w:right="80"/>
        <w:spacing w:after="0" w:line="283" w:lineRule="auto"/>
        <w:rPr>
          <w:sz w:val="20"/>
          <w:szCs w:val="20"/>
          <w:color w:val="auto"/>
        </w:rPr>
      </w:pPr>
      <w:r>
        <w:rPr>
          <w:rFonts w:ascii="Arial" w:cs="Arial" w:eastAsia="Arial" w:hAnsi="Arial"/>
          <w:sz w:val="17"/>
          <w:szCs w:val="17"/>
          <w:color w:val="auto"/>
        </w:rPr>
        <w:t>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99" w:lineRule="exact"/>
        <w:rPr>
          <w:sz w:val="20"/>
          <w:szCs w:val="20"/>
          <w:color w:val="auto"/>
        </w:rPr>
      </w:pPr>
    </w:p>
    <w:p>
      <w:pPr>
        <w:ind w:right="160" w:firstLine="374"/>
        <w:spacing w:after="0" w:line="264" w:lineRule="auto"/>
        <w:rPr>
          <w:sz w:val="20"/>
          <w:szCs w:val="20"/>
          <w:color w:val="auto"/>
        </w:rPr>
      </w:pPr>
      <w:r>
        <w:rPr>
          <w:rFonts w:ascii="Arial" w:cs="Arial" w:eastAsia="Arial" w:hAnsi="Arial"/>
          <w:sz w:val="18"/>
          <w:szCs w:val="18"/>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14" w:lineRule="exact"/>
        <w:rPr>
          <w:sz w:val="20"/>
          <w:szCs w:val="20"/>
          <w:color w:val="auto"/>
        </w:rPr>
      </w:pPr>
    </w:p>
    <w:p>
      <w:pPr>
        <w:ind w:right="120" w:firstLine="374"/>
        <w:spacing w:after="0" w:line="264" w:lineRule="auto"/>
        <w:rPr>
          <w:sz w:val="20"/>
          <w:szCs w:val="20"/>
          <w:color w:val="auto"/>
        </w:rPr>
      </w:pPr>
      <w:r>
        <w:rPr>
          <w:rFonts w:ascii="Arial" w:cs="Arial" w:eastAsia="Arial" w:hAnsi="Arial"/>
          <w:sz w:val="18"/>
          <w:szCs w:val="18"/>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117" w:lineRule="exact"/>
        <w:rPr>
          <w:sz w:val="20"/>
          <w:szCs w:val="20"/>
          <w:color w:val="auto"/>
        </w:rPr>
      </w:pPr>
    </w:p>
    <w:p>
      <w:pPr>
        <w:ind w:right="120" w:firstLine="374"/>
        <w:spacing w:after="0" w:line="264" w:lineRule="auto"/>
        <w:rPr>
          <w:sz w:val="20"/>
          <w:szCs w:val="20"/>
          <w:color w:val="auto"/>
        </w:rPr>
      </w:pPr>
      <w:r>
        <w:rPr>
          <w:rFonts w:ascii="Arial" w:cs="Arial" w:eastAsia="Arial" w:hAnsi="Arial"/>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17"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95" w:lineRule="exact"/>
        <w:rPr>
          <w:sz w:val="20"/>
          <w:szCs w:val="20"/>
          <w:color w:val="auto"/>
        </w:rPr>
      </w:pPr>
    </w:p>
    <w:p>
      <w:pPr>
        <w:ind w:right="500" w:firstLine="374"/>
        <w:spacing w:after="0" w:line="292" w:lineRule="auto"/>
        <w:rPr>
          <w:sz w:val="20"/>
          <w:szCs w:val="20"/>
          <w:color w:val="auto"/>
        </w:rPr>
      </w:pPr>
      <w:r>
        <w:rPr>
          <w:rFonts w:ascii="Arial" w:cs="Arial" w:eastAsia="Arial" w:hAnsi="Arial"/>
          <w:sz w:val="18"/>
          <w:szCs w:val="18"/>
          <w:color w:val="auto"/>
        </w:rPr>
        <w:t>The outcome following legal assertions of invalidity and unenforceability is unpredictable. If a third party were to prevail on a legal assertion of invalidity or unenforceability, we would lose at least part, and perhaps all, of the</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jc w:val="both"/>
        <w:spacing w:after="0" w:line="264" w:lineRule="auto"/>
        <w:rPr>
          <w:sz w:val="20"/>
          <w:szCs w:val="20"/>
          <w:color w:val="auto"/>
        </w:rPr>
      </w:pPr>
      <w:r>
        <w:rPr>
          <w:rFonts w:ascii="Arial" w:cs="Arial" w:eastAsia="Arial" w:hAnsi="Arial"/>
          <w:sz w:val="18"/>
          <w:szCs w:val="18"/>
          <w:color w:val="auto"/>
        </w:rPr>
        <w:t>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129" w:lineRule="exact"/>
        <w:rPr>
          <w:sz w:val="20"/>
          <w:szCs w:val="20"/>
          <w:color w:val="auto"/>
        </w:rPr>
      </w:pPr>
    </w:p>
    <w:p>
      <w:pPr>
        <w:ind w:firstLine="374"/>
        <w:spacing w:after="0" w:line="295"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20" w:firstLine="374"/>
        <w:spacing w:after="0" w:line="313"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rights to develop and commercialize our products are subject, in part, to the terms and conditions of licenses granted to us by others.</w:t>
      </w:r>
    </w:p>
    <w:p>
      <w:pPr>
        <w:spacing w:after="0" w:line="128" w:lineRule="exact"/>
        <w:rPr>
          <w:sz w:val="20"/>
          <w:szCs w:val="20"/>
          <w:color w:val="auto"/>
        </w:rPr>
      </w:pPr>
    </w:p>
    <w:p>
      <w:pPr>
        <w:ind w:firstLine="374"/>
        <w:spacing w:after="0" w:line="264" w:lineRule="auto"/>
        <w:rPr>
          <w:sz w:val="20"/>
          <w:szCs w:val="20"/>
          <w:color w:val="auto"/>
        </w:rPr>
      </w:pPr>
      <w:r>
        <w:rPr>
          <w:rFonts w:ascii="Arial" w:cs="Arial" w:eastAsia="Arial" w:hAnsi="Arial"/>
          <w:sz w:val="18"/>
          <w:szCs w:val="18"/>
          <w:color w:val="auto"/>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17" w:lineRule="exact"/>
        <w:rPr>
          <w:sz w:val="20"/>
          <w:szCs w:val="20"/>
          <w:color w:val="auto"/>
        </w:rPr>
      </w:pPr>
    </w:p>
    <w:p>
      <w:pPr>
        <w:ind w:right="40" w:firstLine="374"/>
        <w:spacing w:after="0" w:line="300" w:lineRule="auto"/>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7" w:right="379" w:bottom="1440" w:gutter="0" w:footer="0" w:header="0"/>
        </w:sectPr>
      </w:pPr>
    </w:p>
    <w:bookmarkStart w:id="65" w:name="page66"/>
    <w:bookmarkEnd w:id="65"/>
    <w:p>
      <w:pPr>
        <w:ind w:right="360" w:firstLine="374"/>
        <w:spacing w:after="0" w:line="359" w:lineRule="auto"/>
        <w:rPr>
          <w:sz w:val="20"/>
          <w:szCs w:val="20"/>
          <w:color w:val="auto"/>
        </w:rPr>
      </w:pPr>
      <w:r>
        <w:rPr>
          <w:rFonts w:ascii="Arial" w:cs="Arial" w:eastAsia="Arial" w:hAnsi="Arial"/>
          <w:sz w:val="16"/>
          <w:szCs w:val="16"/>
          <w:color w:val="auto"/>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43"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95" w:lineRule="exact"/>
        <w:rPr>
          <w:sz w:val="20"/>
          <w:szCs w:val="20"/>
          <w:color w:val="auto"/>
        </w:rPr>
      </w:pPr>
    </w:p>
    <w:p>
      <w:pPr>
        <w:jc w:val="both"/>
        <w:ind w:right="460"/>
        <w:spacing w:after="0" w:line="320" w:lineRule="auto"/>
        <w:rPr>
          <w:sz w:val="20"/>
          <w:szCs w:val="20"/>
          <w:color w:val="auto"/>
        </w:rPr>
      </w:pPr>
      <w:r>
        <w:rPr>
          <w:rFonts w:ascii="Arial" w:cs="Arial" w:eastAsia="Arial" w:hAnsi="Arial"/>
          <w:sz w:val="16"/>
          <w:szCs w:val="16"/>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46" w:lineRule="exact"/>
        <w:rPr>
          <w:sz w:val="20"/>
          <w:szCs w:val="20"/>
          <w:color w:val="auto"/>
        </w:rPr>
      </w:pPr>
    </w:p>
    <w:p>
      <w:pPr>
        <w:ind w:right="100" w:firstLine="374"/>
        <w:spacing w:after="0" w:line="264" w:lineRule="auto"/>
        <w:rPr>
          <w:sz w:val="20"/>
          <w:szCs w:val="20"/>
          <w:color w:val="auto"/>
        </w:rPr>
      </w:pPr>
      <w:r>
        <w:rPr>
          <w:rFonts w:ascii="Arial" w:cs="Arial" w:eastAsia="Arial" w:hAnsi="Arial"/>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Disputes may arise between us and our future licensors regarding intellectual property subject to a license agreement, including:</w:t>
      </w:r>
    </w:p>
    <w:p>
      <w:pPr>
        <w:spacing w:after="0" w:line="157" w:lineRule="exact"/>
        <w:rPr>
          <w:sz w:val="20"/>
          <w:szCs w:val="20"/>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3" w:lineRule="exact"/>
        <w:rPr>
          <w:rFonts w:ascii="Arial" w:cs="Arial" w:eastAsia="Arial" w:hAnsi="Arial"/>
          <w:sz w:val="18"/>
          <w:szCs w:val="18"/>
          <w:color w:val="auto"/>
        </w:rPr>
      </w:pPr>
    </w:p>
    <w:p>
      <w:pPr>
        <w:ind w:left="1140" w:right="480" w:hanging="383"/>
        <w:spacing w:after="0" w:line="26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43" w:lineRule="exact"/>
        <w:rPr>
          <w:rFonts w:ascii="Arial" w:cs="Arial" w:eastAsia="Arial" w:hAnsi="Arial"/>
          <w:sz w:val="18"/>
          <w:szCs w:val="18"/>
          <w:color w:val="auto"/>
        </w:rPr>
      </w:pPr>
    </w:p>
    <w:p>
      <w:pPr>
        <w:ind w:left="1140" w:right="340" w:hanging="383"/>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43" w:lineRule="exact"/>
        <w:rPr>
          <w:rFonts w:ascii="Arial" w:cs="Arial" w:eastAsia="Arial" w:hAnsi="Arial"/>
          <w:sz w:val="18"/>
          <w:szCs w:val="18"/>
          <w:color w:val="auto"/>
        </w:rPr>
      </w:pPr>
    </w:p>
    <w:p>
      <w:pPr>
        <w:ind w:left="1140" w:right="20" w:hanging="383"/>
        <w:spacing w:after="0" w:line="26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any of our future licensors and us and our partners.</w:t>
      </w:r>
    </w:p>
    <w:p>
      <w:pPr>
        <w:spacing w:after="0" w:line="103" w:lineRule="exact"/>
        <w:rPr>
          <w:sz w:val="20"/>
          <w:szCs w:val="20"/>
          <w:color w:val="auto"/>
        </w:rPr>
      </w:pPr>
    </w:p>
    <w:p>
      <w:pPr>
        <w:jc w:val="both"/>
        <w:ind w:right="240" w:firstLine="374"/>
        <w:spacing w:after="0" w:line="341" w:lineRule="auto"/>
        <w:rPr>
          <w:sz w:val="20"/>
          <w:szCs w:val="20"/>
          <w:color w:val="auto"/>
        </w:rPr>
      </w:pPr>
      <w:r>
        <w:rPr>
          <w:rFonts w:ascii="Arial" w:cs="Arial" w:eastAsia="Arial" w:hAnsi="Arial"/>
          <w:sz w:val="16"/>
          <w:szCs w:val="16"/>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ind w:right="40" w:firstLine="374"/>
        <w:spacing w:after="0" w:line="294"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04" w:lineRule="exact"/>
        <w:rPr>
          <w:sz w:val="20"/>
          <w:szCs w:val="20"/>
          <w:color w:val="auto"/>
        </w:rPr>
      </w:pPr>
    </w:p>
    <w:p>
      <w:pPr>
        <w:ind w:firstLine="374"/>
        <w:spacing w:after="0" w:line="278" w:lineRule="auto"/>
        <w:rPr>
          <w:sz w:val="20"/>
          <w:szCs w:val="20"/>
          <w:color w:val="auto"/>
        </w:rPr>
      </w:pPr>
      <w:r>
        <w:rPr>
          <w:rFonts w:ascii="Arial" w:cs="Arial" w:eastAsia="Arial" w:hAnsi="Arial"/>
          <w:sz w:val="17"/>
          <w:szCs w:val="17"/>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06" w:lineRule="exact"/>
        <w:rPr>
          <w:sz w:val="20"/>
          <w:szCs w:val="20"/>
          <w:color w:val="auto"/>
        </w:rPr>
      </w:pPr>
    </w:p>
    <w:p>
      <w:pPr>
        <w:jc w:val="both"/>
        <w:ind w:right="180" w:firstLine="374"/>
        <w:spacing w:after="0" w:line="271"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108" w:lineRule="exact"/>
        <w:rPr>
          <w:sz w:val="20"/>
          <w:szCs w:val="20"/>
          <w:color w:val="auto"/>
        </w:rPr>
      </w:pPr>
    </w:p>
    <w:p>
      <w:pPr>
        <w:ind w:right="40" w:firstLine="374"/>
        <w:spacing w:after="0" w:line="283" w:lineRule="auto"/>
        <w:rPr>
          <w:sz w:val="20"/>
          <w:szCs w:val="20"/>
          <w:color w:val="auto"/>
        </w:rPr>
      </w:pPr>
      <w:r>
        <w:rPr>
          <w:rFonts w:ascii="Arial" w:cs="Arial" w:eastAsia="Arial" w:hAnsi="Arial"/>
          <w:sz w:val="17"/>
          <w:szCs w:val="17"/>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15" w:lineRule="exact"/>
        <w:rPr>
          <w:sz w:val="20"/>
          <w:szCs w:val="20"/>
          <w:color w:val="auto"/>
        </w:rPr>
      </w:pPr>
    </w:p>
    <w:p>
      <w:pPr>
        <w:ind w:right="200" w:firstLine="374"/>
        <w:spacing w:after="0" w:line="307" w:lineRule="auto"/>
        <w:rPr>
          <w:sz w:val="20"/>
          <w:szCs w:val="20"/>
          <w:color w:val="auto"/>
        </w:rPr>
      </w:pPr>
      <w:r>
        <w:rPr>
          <w:rFonts w:ascii="Arial" w:cs="Arial" w:eastAsia="Arial" w:hAnsi="Arial"/>
          <w:sz w:val="16"/>
          <w:szCs w:val="16"/>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any products we may develop through acquisitions and in-licenses.</w:t>
      </w:r>
    </w:p>
    <w:p>
      <w:pPr>
        <w:spacing w:after="0" w:line="130" w:lineRule="exact"/>
        <w:rPr>
          <w:sz w:val="20"/>
          <w:szCs w:val="20"/>
          <w:color w:val="auto"/>
        </w:rPr>
      </w:pPr>
    </w:p>
    <w:p>
      <w:pPr>
        <w:ind w:right="20" w:firstLine="374"/>
        <w:spacing w:after="0" w:line="277" w:lineRule="auto"/>
        <w:rPr>
          <w:sz w:val="20"/>
          <w:szCs w:val="20"/>
          <w:color w:val="auto"/>
        </w:rPr>
      </w:pPr>
      <w:r>
        <w:rPr>
          <w:rFonts w:ascii="Arial" w:cs="Arial" w:eastAsia="Arial" w:hAnsi="Arial"/>
          <w:sz w:val="17"/>
          <w:szCs w:val="17"/>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7" w:name="page68"/>
    <w:bookmarkEnd w:id="67"/>
    <w:p>
      <w:pPr>
        <w:ind w:right="200"/>
        <w:spacing w:after="0" w:line="292" w:lineRule="auto"/>
        <w:rPr>
          <w:sz w:val="20"/>
          <w:szCs w:val="20"/>
          <w:color w:val="auto"/>
        </w:rPr>
      </w:pPr>
      <w:r>
        <w:rPr>
          <w:rFonts w:ascii="Arial" w:cs="Arial" w:eastAsia="Arial" w:hAnsi="Arial"/>
          <w:sz w:val="18"/>
          <w:szCs w:val="18"/>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49" w:lineRule="exact"/>
        <w:rPr>
          <w:sz w:val="20"/>
          <w:szCs w:val="20"/>
          <w:color w:val="auto"/>
        </w:rPr>
      </w:pPr>
    </w:p>
    <w:p>
      <w:pPr>
        <w:ind w:right="160" w:firstLine="374"/>
        <w:spacing w:after="0" w:line="292"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90" w:lineRule="exact"/>
        <w:rPr>
          <w:sz w:val="20"/>
          <w:szCs w:val="20"/>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43" w:lineRule="exact"/>
        <w:rPr>
          <w:rFonts w:ascii="Arial" w:cs="Arial" w:eastAsia="Arial" w:hAnsi="Arial"/>
          <w:sz w:val="18"/>
          <w:szCs w:val="18"/>
          <w:color w:val="auto"/>
        </w:rPr>
      </w:pPr>
    </w:p>
    <w:p>
      <w:pPr>
        <w:jc w:val="both"/>
        <w:ind w:left="1140" w:right="300" w:hanging="383"/>
        <w:spacing w:after="0" w:line="302"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74" w:lineRule="exact"/>
        <w:rPr>
          <w:rFonts w:ascii="Arial" w:cs="Arial" w:eastAsia="Arial" w:hAnsi="Arial"/>
          <w:sz w:val="16"/>
          <w:szCs w:val="16"/>
          <w:color w:val="auto"/>
        </w:rPr>
      </w:pPr>
    </w:p>
    <w:p>
      <w:pPr>
        <w:ind w:left="1140" w:right="20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current and future products;</w:t>
      </w:r>
    </w:p>
    <w:p>
      <w:pPr>
        <w:spacing w:after="0" w:line="102" w:lineRule="exact"/>
        <w:rPr>
          <w:rFonts w:ascii="Arial" w:cs="Arial" w:eastAsia="Arial" w:hAnsi="Arial"/>
          <w:sz w:val="18"/>
          <w:szCs w:val="18"/>
          <w:color w:val="auto"/>
        </w:rPr>
      </w:pPr>
    </w:p>
    <w:p>
      <w:pPr>
        <w:ind w:left="1140" w:right="38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43" w:lineRule="exact"/>
        <w:rPr>
          <w:rFonts w:ascii="Arial" w:cs="Arial" w:eastAsia="Arial" w:hAnsi="Arial"/>
          <w:sz w:val="18"/>
          <w:szCs w:val="18"/>
          <w:color w:val="auto"/>
        </w:rPr>
      </w:pPr>
    </w:p>
    <w:p>
      <w:pPr>
        <w:ind w:left="1140" w:right="580" w:hanging="383"/>
        <w:spacing w:after="0" w:line="255"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08" w:lineRule="exact"/>
        <w:rPr>
          <w:rFonts w:ascii="Arial" w:cs="Arial" w:eastAsia="Arial" w:hAnsi="Arial"/>
          <w:sz w:val="18"/>
          <w:szCs w:val="18"/>
          <w:color w:val="auto"/>
        </w:rPr>
      </w:pPr>
    </w:p>
    <w:p>
      <w:pPr>
        <w:ind w:left="1140" w:right="80" w:hanging="383"/>
        <w:spacing w:after="0" w:line="324"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6" w:lineRule="exact"/>
        <w:rPr>
          <w:rFonts w:ascii="Arial" w:cs="Arial" w:eastAsia="Arial" w:hAnsi="Arial"/>
          <w:sz w:val="16"/>
          <w:szCs w:val="16"/>
          <w:color w:val="auto"/>
        </w:rPr>
      </w:pPr>
    </w:p>
    <w:p>
      <w:pPr>
        <w:ind w:left="1140" w:right="84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02" w:lineRule="exact"/>
        <w:rPr>
          <w:rFonts w:ascii="Arial" w:cs="Arial" w:eastAsia="Arial" w:hAnsi="Arial"/>
          <w:sz w:val="18"/>
          <w:szCs w:val="18"/>
          <w:color w:val="auto"/>
        </w:rPr>
      </w:pPr>
    </w:p>
    <w:p>
      <w:pPr>
        <w:ind w:left="1140" w:right="360" w:hanging="383"/>
        <w:spacing w:after="0" w:line="27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88" w:lineRule="exact"/>
        <w:rPr>
          <w:rFonts w:ascii="Arial" w:cs="Arial" w:eastAsia="Arial" w:hAnsi="Arial"/>
          <w:sz w:val="18"/>
          <w:szCs w:val="18"/>
          <w:color w:val="auto"/>
        </w:rPr>
      </w:pPr>
    </w:p>
    <w:p>
      <w:pPr>
        <w:ind w:left="1140" w:right="56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374"/>
        <w:spacing w:after="0" w:line="299" w:lineRule="auto"/>
        <w:rPr>
          <w:sz w:val="20"/>
          <w:szCs w:val="20"/>
          <w:color w:val="auto"/>
        </w:rPr>
      </w:pPr>
      <w:r>
        <w:rPr>
          <w:rFonts w:ascii="Arial" w:cs="Arial" w:eastAsia="Arial" w:hAnsi="Arial"/>
          <w:sz w:val="16"/>
          <w:szCs w:val="16"/>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68" w:name="page69"/>
    <w:bookmarkEnd w:id="68"/>
    <w:p>
      <w:pPr>
        <w:ind w:right="620"/>
        <w:spacing w:after="0" w:line="292" w:lineRule="auto"/>
        <w:rPr>
          <w:sz w:val="20"/>
          <w:szCs w:val="20"/>
          <w:color w:val="auto"/>
        </w:rPr>
      </w:pPr>
      <w:r>
        <w:rPr>
          <w:rFonts w:ascii="Arial" w:cs="Arial" w:eastAsia="Arial" w:hAnsi="Arial"/>
          <w:sz w:val="18"/>
          <w:szCs w:val="18"/>
          <w:color w:val="auto"/>
        </w:rPr>
        <w:t>may be ineffective in perfecting ownership of inventions developed by that individual. Any such events could have a material adverse effect on our business, financial condition and results of operations.</w:t>
      </w:r>
    </w:p>
    <w:p>
      <w:pPr>
        <w:spacing w:after="0" w:line="90"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49" w:lineRule="exact"/>
        <w:rPr>
          <w:sz w:val="20"/>
          <w:szCs w:val="20"/>
          <w:color w:val="auto"/>
        </w:rPr>
      </w:pPr>
    </w:p>
    <w:p>
      <w:pPr>
        <w:ind w:firstLine="374"/>
        <w:spacing w:after="0" w:line="277"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08" w:lineRule="exact"/>
        <w:rPr>
          <w:sz w:val="20"/>
          <w:szCs w:val="20"/>
          <w:color w:val="auto"/>
        </w:rPr>
      </w:pPr>
    </w:p>
    <w:p>
      <w:pPr>
        <w:ind w:firstLine="374"/>
        <w:spacing w:after="0" w:line="278" w:lineRule="auto"/>
        <w:rPr>
          <w:sz w:val="20"/>
          <w:szCs w:val="20"/>
          <w:color w:val="auto"/>
        </w:rPr>
      </w:pPr>
      <w:r>
        <w:rPr>
          <w:rFonts w:ascii="Arial" w:cs="Arial" w:eastAsia="Arial" w:hAnsi="Arial"/>
          <w:sz w:val="17"/>
          <w:szCs w:val="17"/>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17" w:lineRule="exact"/>
        <w:rPr>
          <w:sz w:val="20"/>
          <w:szCs w:val="20"/>
          <w:color w:val="auto"/>
        </w:rPr>
      </w:pPr>
    </w:p>
    <w:p>
      <w:pPr>
        <w:ind w:right="160" w:firstLine="374"/>
        <w:spacing w:after="0" w:line="262" w:lineRule="auto"/>
        <w:rPr>
          <w:sz w:val="20"/>
          <w:szCs w:val="20"/>
          <w:color w:val="auto"/>
        </w:rPr>
      </w:pPr>
      <w:r>
        <w:rPr>
          <w:rFonts w:ascii="Arial" w:cs="Arial" w:eastAsia="Arial" w:hAnsi="Arial"/>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17" w:lineRule="exact"/>
        <w:rPr>
          <w:sz w:val="20"/>
          <w:szCs w:val="20"/>
          <w:color w:val="auto"/>
        </w:rPr>
      </w:pPr>
    </w:p>
    <w:p>
      <w:pPr>
        <w:ind w:right="280" w:firstLine="374"/>
        <w:spacing w:after="0" w:line="290" w:lineRule="auto"/>
        <w:rPr>
          <w:sz w:val="20"/>
          <w:szCs w:val="20"/>
          <w:color w:val="auto"/>
        </w:rPr>
      </w:pPr>
      <w:r>
        <w:rPr>
          <w:rFonts w:ascii="Arial" w:cs="Arial" w:eastAsia="Arial" w:hAnsi="Arial"/>
          <w:sz w:val="17"/>
          <w:szCs w:val="17"/>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and time-consuming, and the outcome is unpredictable. Further, we may not be able to obtain adequate remedies for any breach.</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75" w:lineRule="exact"/>
        <w:rPr>
          <w:sz w:val="20"/>
          <w:szCs w:val="20"/>
          <w:color w:val="auto"/>
        </w:rPr>
      </w:pPr>
    </w:p>
    <w:p>
      <w:pPr>
        <w:ind w:right="60" w:firstLine="374"/>
        <w:spacing w:after="0" w:line="294"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14" w:lineRule="exact"/>
        <w:rPr>
          <w:sz w:val="20"/>
          <w:szCs w:val="20"/>
          <w:color w:val="auto"/>
        </w:rPr>
      </w:pPr>
    </w:p>
    <w:p>
      <w:pPr>
        <w:ind w:firstLine="374"/>
        <w:spacing w:after="0" w:line="297"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impair our business.</w:t>
      </w:r>
    </w:p>
    <w:p>
      <w:pPr>
        <w:spacing w:after="0" w:line="130" w:lineRule="exact"/>
        <w:rPr>
          <w:sz w:val="20"/>
          <w:szCs w:val="20"/>
          <w:color w:val="auto"/>
        </w:rPr>
      </w:pPr>
    </w:p>
    <w:p>
      <w:pPr>
        <w:ind w:right="100" w:firstLine="374"/>
        <w:spacing w:after="0" w:line="277" w:lineRule="auto"/>
        <w:rPr>
          <w:sz w:val="20"/>
          <w:szCs w:val="20"/>
          <w:color w:val="auto"/>
        </w:rPr>
      </w:pPr>
      <w:r>
        <w:rPr>
          <w:rFonts w:ascii="Arial" w:cs="Arial" w:eastAsia="Arial" w:hAnsi="Arial"/>
          <w:sz w:val="17"/>
          <w:szCs w:val="17"/>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ind w:firstLine="374"/>
        <w:spacing w:after="0" w:line="263" w:lineRule="auto"/>
        <w:rPr>
          <w:sz w:val="20"/>
          <w:szCs w:val="20"/>
          <w:color w:val="auto"/>
        </w:rPr>
      </w:pPr>
      <w:r>
        <w:rPr>
          <w:rFonts w:ascii="Arial" w:cs="Arial" w:eastAsia="Arial" w:hAnsi="Arial"/>
          <w:sz w:val="18"/>
          <w:szCs w:val="18"/>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6" w:lineRule="exact"/>
        <w:rPr>
          <w:sz w:val="20"/>
          <w:szCs w:val="20"/>
          <w:color w:val="auto"/>
        </w:rPr>
      </w:pPr>
    </w:p>
    <w:p>
      <w:pPr>
        <w:ind w:right="100" w:firstLine="374"/>
        <w:spacing w:after="0" w:line="307"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20" w:firstLine="374"/>
        <w:spacing w:after="0" w:line="32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6" w:lineRule="exact"/>
        <w:rPr>
          <w:sz w:val="20"/>
          <w:szCs w:val="20"/>
          <w:color w:val="auto"/>
        </w:rPr>
      </w:pPr>
    </w:p>
    <w:p>
      <w:pPr>
        <w:ind w:left="1140" w:right="140" w:hanging="383"/>
        <w:spacing w:after="0" w:line="26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102" w:lineRule="exact"/>
        <w:rPr>
          <w:rFonts w:ascii="Arial" w:cs="Arial" w:eastAsia="Arial" w:hAnsi="Arial"/>
          <w:sz w:val="18"/>
          <w:szCs w:val="18"/>
          <w:color w:val="auto"/>
        </w:rPr>
      </w:pPr>
    </w:p>
    <w:p>
      <w:pPr>
        <w:ind w:left="1140" w:right="300" w:hanging="383"/>
        <w:spacing w:after="0" w:line="26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102" w:lineRule="exact"/>
        <w:rPr>
          <w:rFonts w:ascii="Arial" w:cs="Arial" w:eastAsia="Arial" w:hAnsi="Arial"/>
          <w:sz w:val="18"/>
          <w:szCs w:val="18"/>
          <w:color w:val="auto"/>
        </w:rPr>
      </w:pPr>
    </w:p>
    <w:p>
      <w:pPr>
        <w:ind w:left="1140" w:right="140" w:hanging="383"/>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of our current or future licensors or collaborators might not have been the first to file patent applications covering certain of our inventions;</w:t>
      </w:r>
    </w:p>
    <w:p>
      <w:pPr>
        <w:spacing w:after="0" w:line="88" w:lineRule="exact"/>
        <w:rPr>
          <w:rFonts w:ascii="Arial" w:cs="Arial" w:eastAsia="Arial" w:hAnsi="Arial"/>
          <w:sz w:val="18"/>
          <w:szCs w:val="18"/>
          <w:color w:val="auto"/>
        </w:rPr>
      </w:pPr>
    </w:p>
    <w:p>
      <w:pPr>
        <w:ind w:left="1140" w:right="1060" w:hanging="383"/>
        <w:spacing w:after="0" w:line="26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our current or future owned or in-licensed patent applications will not lead to issued patents;</w:t>
      </w:r>
    </w:p>
    <w:p>
      <w:pPr>
        <w:spacing w:after="0" w:line="143"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102" w:lineRule="exact"/>
        <w:rPr>
          <w:rFonts w:ascii="Arial" w:cs="Arial" w:eastAsia="Arial" w:hAnsi="Arial"/>
          <w:sz w:val="18"/>
          <w:szCs w:val="18"/>
          <w:color w:val="auto"/>
        </w:rPr>
      </w:pPr>
    </w:p>
    <w:p>
      <w:pPr>
        <w:ind w:left="1140" w:right="80" w:hanging="383"/>
        <w:spacing w:after="0" w:line="302" w:lineRule="auto"/>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74"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43"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1" w:name="page72"/>
    <w:bookmarkEnd w:id="71"/>
    <w:p>
      <w:pPr>
        <w:ind w:right="80"/>
        <w:spacing w:after="0" w:line="277" w:lineRule="auto"/>
        <w:rPr>
          <w:sz w:val="20"/>
          <w:szCs w:val="20"/>
          <w:color w:val="auto"/>
        </w:rPr>
      </w:pPr>
      <w:r>
        <w:rPr>
          <w:rFonts w:ascii="Arial" w:cs="Arial" w:eastAsia="Arial" w:hAnsi="Arial"/>
          <w:sz w:val="18"/>
          <w:szCs w:val="18"/>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48" w:lineRule="exact"/>
        <w:rPr>
          <w:sz w:val="20"/>
          <w:szCs w:val="20"/>
          <w:color w:val="auto"/>
        </w:rPr>
      </w:pPr>
    </w:p>
    <w:p>
      <w:pPr>
        <w:ind w:firstLine="374"/>
        <w:spacing w:after="0" w:line="273" w:lineRule="auto"/>
        <w:rPr>
          <w:sz w:val="20"/>
          <w:szCs w:val="20"/>
          <w:color w:val="auto"/>
        </w:rPr>
      </w:pPr>
      <w:r>
        <w:rPr>
          <w:rFonts w:ascii="Arial" w:cs="Arial" w:eastAsia="Arial" w:hAnsi="Arial"/>
          <w:sz w:val="16"/>
          <w:szCs w:val="16"/>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6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76" w:lineRule="exact"/>
        <w:rPr>
          <w:sz w:val="20"/>
          <w:szCs w:val="20"/>
          <w:color w:val="auto"/>
        </w:rPr>
      </w:pPr>
    </w:p>
    <w:p>
      <w:pPr>
        <w:ind w:firstLine="374"/>
        <w:spacing w:after="0" w:line="255" w:lineRule="auto"/>
        <w:rPr>
          <w:sz w:val="20"/>
          <w:szCs w:val="20"/>
          <w:color w:val="auto"/>
        </w:rPr>
      </w:pPr>
      <w:r>
        <w:rPr>
          <w:rFonts w:ascii="Arial" w:cs="Arial" w:eastAsia="Arial" w:hAnsi="Arial"/>
          <w:sz w:val="17"/>
          <w:szCs w:val="17"/>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62"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48" w:lineRule="exact"/>
        <w:rPr>
          <w:sz w:val="20"/>
          <w:szCs w:val="20"/>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safety and effective;</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changes;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post marketing surveillance, including reporting of deaths or serious injuries and recalls and correction and removals.</w:t>
      </w:r>
    </w:p>
    <w:p>
      <w:pPr>
        <w:spacing w:after="0" w:line="144" w:lineRule="exact"/>
        <w:rPr>
          <w:sz w:val="20"/>
          <w:szCs w:val="20"/>
          <w:color w:val="auto"/>
        </w:rPr>
      </w:pPr>
    </w:p>
    <w:p>
      <w:pPr>
        <w:ind w:right="100" w:firstLine="374"/>
        <w:spacing w:after="0" w:line="247" w:lineRule="auto"/>
        <w:rPr>
          <w:sz w:val="20"/>
          <w:szCs w:val="20"/>
          <w:color w:val="auto"/>
        </w:rPr>
      </w:pPr>
      <w:r>
        <w:rPr>
          <w:rFonts w:ascii="Arial" w:cs="Arial" w:eastAsia="Arial" w:hAnsi="Arial"/>
          <w:sz w:val="18"/>
          <w:szCs w:val="18"/>
          <w:color w:val="auto"/>
        </w:rPr>
        <w:t>Before a new medical device, or a new intended use for an existing product, can be marketed in the United States, a company must first submit and receive either 510(k) clearance pursuant to Section 510(k) of the Food, Drug and Cosmetic Act, or the (“FDCA”), or approval of a premarket approval, or PMA, application from the FDA, unless an exemption applies.</w:t>
      </w:r>
    </w:p>
    <w:p>
      <w:pPr>
        <w:spacing w:after="0" w:line="116" w:lineRule="exact"/>
        <w:rPr>
          <w:sz w:val="20"/>
          <w:szCs w:val="20"/>
          <w:color w:val="auto"/>
        </w:rPr>
      </w:pPr>
    </w:p>
    <w:p>
      <w:pPr>
        <w:ind w:firstLine="374"/>
        <w:spacing w:after="0" w:line="257" w:lineRule="auto"/>
        <w:rPr>
          <w:sz w:val="20"/>
          <w:szCs w:val="20"/>
          <w:color w:val="auto"/>
        </w:rPr>
      </w:pPr>
      <w:r>
        <w:rPr>
          <w:rFonts w:ascii="Arial" w:cs="Arial" w:eastAsia="Arial" w:hAnsi="Arial"/>
          <w:sz w:val="17"/>
          <w:szCs w:val="17"/>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44" w:lineRule="exact"/>
        <w:rPr>
          <w:sz w:val="20"/>
          <w:szCs w:val="20"/>
          <w:color w:val="auto"/>
        </w:rPr>
      </w:pPr>
    </w:p>
    <w:p>
      <w:pPr>
        <w:ind w:left="1140" w:right="140" w:hanging="383"/>
        <w:spacing w:after="0" w:line="26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our products are safe or effective for their intended uses;</w:t>
      </w:r>
    </w:p>
    <w:p>
      <w:pPr>
        <w:spacing w:after="0" w:line="102" w:lineRule="exact"/>
        <w:rPr>
          <w:rFonts w:ascii="Arial" w:cs="Arial" w:eastAsia="Arial" w:hAnsi="Arial"/>
          <w:sz w:val="18"/>
          <w:szCs w:val="18"/>
          <w:color w:val="auto"/>
        </w:rPr>
      </w:pPr>
    </w:p>
    <w:p>
      <w:pPr>
        <w:ind w:left="1140" w:right="140" w:hanging="383"/>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75"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73" w:name="page74"/>
    <w:bookmarkEnd w:id="73"/>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43" w:lineRule="exact"/>
        <w:rPr>
          <w:rFonts w:ascii="Arial" w:cs="Arial" w:eastAsia="Arial" w:hAnsi="Arial"/>
          <w:sz w:val="18"/>
          <w:szCs w:val="18"/>
          <w:color w:val="auto"/>
        </w:rPr>
      </w:pPr>
    </w:p>
    <w:p>
      <w:pPr>
        <w:ind w:left="1140" w:right="400" w:hanging="383"/>
        <w:spacing w:after="0" w:line="268" w:lineRule="auto"/>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97" w:lineRule="exact"/>
        <w:rPr>
          <w:rFonts w:ascii="Arial" w:cs="Arial" w:eastAsia="Arial" w:hAnsi="Arial"/>
          <w:sz w:val="17"/>
          <w:szCs w:val="17"/>
          <w:color w:val="auto"/>
        </w:rPr>
      </w:pPr>
    </w:p>
    <w:p>
      <w:pPr>
        <w:ind w:left="1140" w:right="180" w:hanging="383"/>
        <w:spacing w:after="0" w:line="26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applicable regulatory authority may identify significant deficiencies in our manufacturing processes, facilities or analytical methods or those of our third-party contract manufacturers;</w:t>
      </w:r>
    </w:p>
    <w:p>
      <w:pPr>
        <w:spacing w:after="0" w:line="102" w:lineRule="exact"/>
        <w:rPr>
          <w:rFonts w:ascii="Arial" w:cs="Arial" w:eastAsia="Arial" w:hAnsi="Arial"/>
          <w:sz w:val="18"/>
          <w:szCs w:val="18"/>
          <w:color w:val="auto"/>
        </w:rPr>
      </w:pPr>
    </w:p>
    <w:p>
      <w:pPr>
        <w:ind w:left="1140" w:right="360" w:hanging="383"/>
        <w:spacing w:after="0" w:line="277"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88"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foreign regulatory authorities may audit our clinical trial data and conclude that the data is not sufficiently reliable to support approval or clearance.</w:t>
      </w:r>
    </w:p>
    <w:p>
      <w:pPr>
        <w:spacing w:after="0" w:line="103" w:lineRule="exact"/>
        <w:rPr>
          <w:sz w:val="20"/>
          <w:szCs w:val="20"/>
          <w:color w:val="auto"/>
        </w:rPr>
      </w:pPr>
    </w:p>
    <w:p>
      <w:pPr>
        <w:ind w:right="40" w:firstLine="374"/>
        <w:spacing w:after="0" w:line="283" w:lineRule="auto"/>
        <w:rPr>
          <w:sz w:val="20"/>
          <w:szCs w:val="20"/>
          <w:color w:val="auto"/>
        </w:rPr>
      </w:pPr>
      <w:r>
        <w:rPr>
          <w:rFonts w:ascii="Arial" w:cs="Arial" w:eastAsia="Arial" w:hAnsi="Arial"/>
          <w:sz w:val="16"/>
          <w:szCs w:val="16"/>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88" w:lineRule="exact"/>
        <w:rPr>
          <w:sz w:val="20"/>
          <w:szCs w:val="20"/>
          <w:color w:val="auto"/>
        </w:rPr>
      </w:pPr>
    </w:p>
    <w:p>
      <w:pPr>
        <w:ind w:right="20" w:firstLine="374"/>
        <w:spacing w:after="0" w:line="263" w:lineRule="auto"/>
        <w:rPr>
          <w:sz w:val="20"/>
          <w:szCs w:val="20"/>
          <w:color w:val="auto"/>
        </w:rPr>
      </w:pPr>
      <w:r>
        <w:rPr>
          <w:rFonts w:ascii="Arial" w:cs="Arial" w:eastAsia="Arial" w:hAnsi="Arial"/>
          <w:sz w:val="17"/>
          <w:szCs w:val="17"/>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102"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color w:val="auto"/>
        </w:rPr>
        <w:t>In addition, we are required to timely file various reports with the FDA, including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115" w:lineRule="exact"/>
        <w:rPr>
          <w:sz w:val="20"/>
          <w:szCs w:val="20"/>
          <w:color w:val="auto"/>
        </w:rPr>
      </w:pPr>
    </w:p>
    <w:p>
      <w:pPr>
        <w:ind w:right="100" w:firstLine="374"/>
        <w:spacing w:after="0" w:line="249" w:lineRule="auto"/>
        <w:rPr>
          <w:sz w:val="20"/>
          <w:szCs w:val="20"/>
          <w:color w:val="auto"/>
        </w:rPr>
      </w:pPr>
      <w:r>
        <w:rPr>
          <w:rFonts w:ascii="Arial" w:cs="Arial" w:eastAsia="Arial" w:hAnsi="Arial"/>
          <w:sz w:val="18"/>
          <w:szCs w:val="18"/>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113" w:lineRule="exact"/>
        <w:rPr>
          <w:sz w:val="20"/>
          <w:szCs w:val="20"/>
          <w:color w:val="auto"/>
        </w:rPr>
      </w:pPr>
    </w:p>
    <w:p>
      <w:pPr>
        <w:ind w:firstLine="374"/>
        <w:spacing w:after="0" w:line="263" w:lineRule="auto"/>
        <w:rPr>
          <w:sz w:val="20"/>
          <w:szCs w:val="20"/>
          <w:color w:val="auto"/>
        </w:rPr>
      </w:pPr>
      <w:r>
        <w:rPr>
          <w:rFonts w:ascii="Arial" w:cs="Arial" w:eastAsia="Arial" w:hAnsi="Arial"/>
          <w:sz w:val="17"/>
          <w:szCs w:val="17"/>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ind w:right="660" w:firstLine="374"/>
        <w:spacing w:after="0" w:line="277"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89" w:lineRule="exact"/>
        <w:rPr>
          <w:sz w:val="20"/>
          <w:szCs w:val="20"/>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 of our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denial of our requests for 510(k) clearance or PMA of new products, new intended uses or modifications to existing products;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510(k) clearance or PMAs that have already been granted;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right="20" w:firstLine="374"/>
        <w:spacing w:after="0" w:line="268" w:lineRule="auto"/>
        <w:rPr>
          <w:sz w:val="20"/>
          <w:szCs w:val="20"/>
          <w:color w:val="auto"/>
        </w:rPr>
      </w:pPr>
      <w:r>
        <w:rPr>
          <w:rFonts w:ascii="Arial" w:cs="Arial" w:eastAsia="Arial" w:hAnsi="Arial"/>
          <w:sz w:val="18"/>
          <w:szCs w:val="18"/>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in the United States.</w:t>
      </w:r>
    </w:p>
    <w:p>
      <w:pPr>
        <w:spacing w:after="0" w:line="117" w:lineRule="exact"/>
        <w:rPr>
          <w:sz w:val="20"/>
          <w:szCs w:val="20"/>
          <w:color w:val="auto"/>
        </w:rPr>
      </w:pPr>
    </w:p>
    <w:p>
      <w:pPr>
        <w:ind w:right="80" w:firstLine="374"/>
        <w:spacing w:after="0" w:line="300" w:lineRule="auto"/>
        <w:rPr>
          <w:sz w:val="20"/>
          <w:szCs w:val="20"/>
          <w:color w:val="auto"/>
        </w:rPr>
      </w:pPr>
      <w:r>
        <w:rPr>
          <w:rFonts w:ascii="Arial" w:cs="Arial" w:eastAsia="Arial" w:hAnsi="Arial"/>
          <w:sz w:val="16"/>
          <w:szCs w:val="16"/>
          <w:color w:val="auto"/>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103" w:lineRule="exact"/>
        <w:rPr>
          <w:sz w:val="20"/>
          <w:szCs w:val="20"/>
          <w:color w:val="auto"/>
        </w:rPr>
      </w:pPr>
    </w:p>
    <w:p>
      <w:pPr>
        <w:ind w:right="120" w:firstLine="374"/>
        <w:spacing w:after="0" w:line="307" w:lineRule="auto"/>
        <w:rPr>
          <w:sz w:val="20"/>
          <w:szCs w:val="20"/>
          <w:color w:val="auto"/>
        </w:rPr>
      </w:pPr>
      <w:r>
        <w:rPr>
          <w:rFonts w:ascii="Arial" w:cs="Arial" w:eastAsia="Arial" w:hAnsi="Arial"/>
          <w:sz w:val="16"/>
          <w:szCs w:val="16"/>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83" w:lineRule="exact"/>
        <w:rPr>
          <w:sz w:val="20"/>
          <w:szCs w:val="20"/>
          <w:color w:val="auto"/>
        </w:rPr>
      </w:pPr>
    </w:p>
    <w:p>
      <w:pPr>
        <w:ind w:firstLine="374"/>
        <w:spacing w:after="0" w:line="283" w:lineRule="auto"/>
        <w:rPr>
          <w:sz w:val="20"/>
          <w:szCs w:val="20"/>
          <w:color w:val="auto"/>
        </w:rPr>
      </w:pPr>
      <w:r>
        <w:rPr>
          <w:rFonts w:ascii="Arial" w:cs="Arial" w:eastAsia="Arial" w:hAnsi="Arial"/>
          <w:sz w:val="17"/>
          <w:szCs w:val="17"/>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99"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Promotional communications with respect to devices are subject to a variety of legal and regulatory restrictions and must be consistent with the information in the products’ cleared or approved labeling. As such, we may not</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5" w:name="page76"/>
    <w:bookmarkEnd w:id="75"/>
    <w:p>
      <w:pPr>
        <w:spacing w:after="0" w:line="280" w:lineRule="auto"/>
        <w:rPr>
          <w:sz w:val="20"/>
          <w:szCs w:val="20"/>
          <w:color w:val="auto"/>
        </w:rPr>
      </w:pPr>
      <w:r>
        <w:rPr>
          <w:rFonts w:ascii="Arial" w:cs="Arial" w:eastAsia="Arial" w:hAnsi="Arial"/>
          <w:sz w:val="17"/>
          <w:szCs w:val="17"/>
          <w:color w:val="auto"/>
        </w:rPr>
        <w:t>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105" w:lineRule="exact"/>
        <w:rPr>
          <w:sz w:val="20"/>
          <w:szCs w:val="20"/>
          <w:color w:val="auto"/>
        </w:rPr>
      </w:pPr>
    </w:p>
    <w:p>
      <w:pPr>
        <w:ind w:right="60" w:firstLine="374"/>
        <w:spacing w:after="0" w:line="277" w:lineRule="auto"/>
        <w:rPr>
          <w:sz w:val="20"/>
          <w:szCs w:val="20"/>
          <w:color w:val="auto"/>
        </w:rPr>
      </w:pPr>
      <w:r>
        <w:rPr>
          <w:rFonts w:ascii="Arial" w:cs="Arial" w:eastAsia="Arial" w:hAnsi="Arial"/>
          <w:sz w:val="17"/>
          <w:szCs w:val="17"/>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111" w:lineRule="exact"/>
        <w:rPr>
          <w:sz w:val="20"/>
          <w:szCs w:val="20"/>
          <w:color w:val="auto"/>
        </w:rPr>
      </w:pPr>
    </w:p>
    <w:p>
      <w:pPr>
        <w:ind w:right="180" w:firstLine="374"/>
        <w:spacing w:after="0" w:line="294"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we fail to comply with applicable regulatory requirements, a regulatory agency or enforcement authority may, among other things:</w:t>
      </w:r>
    </w:p>
    <w:p>
      <w:pPr>
        <w:spacing w:after="0" w:line="157" w:lineRule="exact"/>
        <w:rPr>
          <w:sz w:val="20"/>
          <w:szCs w:val="20"/>
          <w:color w:val="auto"/>
        </w:rPr>
      </w:pPr>
    </w:p>
    <w:p>
      <w:pPr>
        <w:ind w:left="1140" w:right="800" w:hanging="383"/>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our facility to an adverse inspectional finding or Form 483, or other compliance or enforcement notice, communication or correspondence;</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 warning or untitled letters that would result in adverse publicity or may require corrective advertising;</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suspend or withdraw regulatory clearances or approvals;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refuse to clear or approve pending applications or supplements to approved applications submitted by us;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sub-assembly suppliers’ facilities;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6" w:name="page77"/>
    <w:bookmarkEnd w:id="76"/>
    <w:p>
      <w:pPr>
        <w:ind w:right="100" w:firstLine="374"/>
        <w:spacing w:after="0" w:line="292" w:lineRule="auto"/>
        <w:rPr>
          <w:sz w:val="20"/>
          <w:szCs w:val="20"/>
          <w:color w:val="auto"/>
        </w:rPr>
      </w:pPr>
      <w:r>
        <w:rPr>
          <w:rFonts w:ascii="Arial" w:cs="Arial" w:eastAsia="Arial" w:hAnsi="Arial"/>
          <w:sz w:val="18"/>
          <w:szCs w:val="18"/>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90" w:lineRule="exact"/>
        <w:rPr>
          <w:sz w:val="20"/>
          <w:szCs w:val="20"/>
          <w:color w:val="auto"/>
        </w:rPr>
      </w:pPr>
    </w:p>
    <w:p>
      <w:pPr>
        <w:ind w:right="200" w:firstLine="374"/>
        <w:spacing w:after="0" w:line="26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75" w:lineRule="exact"/>
        <w:rPr>
          <w:sz w:val="20"/>
          <w:szCs w:val="20"/>
          <w:color w:val="auto"/>
        </w:rPr>
      </w:pPr>
    </w:p>
    <w:p>
      <w:pPr>
        <w:ind w:firstLine="374"/>
        <w:spacing w:after="0" w:line="276" w:lineRule="auto"/>
        <w:rPr>
          <w:sz w:val="20"/>
          <w:szCs w:val="20"/>
          <w:color w:val="auto"/>
        </w:rPr>
      </w:pPr>
      <w:r>
        <w:rPr>
          <w:rFonts w:ascii="Arial" w:cs="Arial" w:eastAsia="Arial" w:hAnsi="Arial"/>
          <w:sz w:val="17"/>
          <w:szCs w:val="17"/>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112"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60" w:lineRule="exact"/>
        <w:rPr>
          <w:sz w:val="20"/>
          <w:szCs w:val="20"/>
          <w:color w:val="auto"/>
        </w:rPr>
      </w:pPr>
    </w:p>
    <w:p>
      <w:pPr>
        <w:ind w:right="20" w:firstLine="374"/>
        <w:spacing w:after="0" w:line="278" w:lineRule="auto"/>
        <w:rPr>
          <w:sz w:val="20"/>
          <w:szCs w:val="20"/>
          <w:color w:val="auto"/>
        </w:rPr>
      </w:pPr>
      <w:r>
        <w:rPr>
          <w:rFonts w:ascii="Arial" w:cs="Arial" w:eastAsia="Arial" w:hAnsi="Arial"/>
          <w:sz w:val="17"/>
          <w:szCs w:val="17"/>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106" w:lineRule="exact"/>
        <w:rPr>
          <w:sz w:val="20"/>
          <w:szCs w:val="20"/>
          <w:color w:val="auto"/>
        </w:rPr>
      </w:pPr>
    </w:p>
    <w:p>
      <w:pPr>
        <w:ind w:right="20" w:firstLine="374"/>
        <w:spacing w:after="0" w:line="268" w:lineRule="auto"/>
        <w:rPr>
          <w:sz w:val="20"/>
          <w:szCs w:val="20"/>
          <w:color w:val="auto"/>
        </w:rPr>
      </w:pPr>
      <w:r>
        <w:rPr>
          <w:rFonts w:ascii="Arial" w:cs="Arial" w:eastAsia="Arial" w:hAnsi="Arial"/>
          <w:sz w:val="18"/>
          <w:szCs w:val="18"/>
          <w:color w:val="auto"/>
        </w:rPr>
        <w:t>The RxSight system has a CE Mark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and in Mexico. Obtaining additional foreign regulatory approvals and establishing and maintaining compliance with foreign regulatory requirements in jurisdictions where we conduct business currently or in the future, such as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7" w:right="399" w:bottom="1440" w:gutter="0" w:footer="0" w:header="0"/>
        </w:sectPr>
      </w:pPr>
    </w:p>
    <w:bookmarkStart w:id="77" w:name="page78"/>
    <w:bookmarkEnd w:id="77"/>
    <w:p>
      <w:pPr>
        <w:ind w:right="60"/>
        <w:spacing w:after="0" w:line="269" w:lineRule="auto"/>
        <w:rPr>
          <w:sz w:val="20"/>
          <w:szCs w:val="20"/>
          <w:color w:val="auto"/>
        </w:rPr>
      </w:pPr>
      <w:r>
        <w:rPr>
          <w:rFonts w:ascii="Arial" w:cs="Arial" w:eastAsia="Arial" w:hAnsi="Arial"/>
          <w:sz w:val="18"/>
          <w:szCs w:val="18"/>
          <w:color w:val="auto"/>
        </w:rPr>
        <w:t>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110" w:lineRule="exact"/>
        <w:rPr>
          <w:sz w:val="20"/>
          <w:szCs w:val="20"/>
          <w:color w:val="auto"/>
        </w:rPr>
      </w:pPr>
    </w:p>
    <w:p>
      <w:pPr>
        <w:ind w:firstLine="374"/>
        <w:spacing w:after="0" w:line="294" w:lineRule="auto"/>
        <w:rPr>
          <w:sz w:val="20"/>
          <w:szCs w:val="20"/>
          <w:color w:val="auto"/>
        </w:rPr>
      </w:pPr>
      <w:r>
        <w:rPr>
          <w:rFonts w:ascii="Arial" w:cs="Arial" w:eastAsia="Arial" w:hAnsi="Arial"/>
          <w:sz w:val="16"/>
          <w:szCs w:val="16"/>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w:t>
      </w:r>
    </w:p>
    <w:p>
      <w:pPr>
        <w:spacing w:after="0" w:line="3" w:lineRule="exact"/>
        <w:rPr>
          <w:sz w:val="20"/>
          <w:szCs w:val="20"/>
          <w:color w:val="auto"/>
        </w:rPr>
      </w:pPr>
    </w:p>
    <w:p>
      <w:pPr>
        <w:ind w:right="60" w:firstLine="8"/>
        <w:spacing w:after="0" w:line="277"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1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75" w:lineRule="exact"/>
        <w:rPr>
          <w:sz w:val="20"/>
          <w:szCs w:val="20"/>
          <w:color w:val="auto"/>
        </w:rPr>
      </w:pPr>
    </w:p>
    <w:p>
      <w:pPr>
        <w:ind w:right="60" w:firstLine="374"/>
        <w:spacing w:after="0" w:line="264" w:lineRule="auto"/>
        <w:rPr>
          <w:sz w:val="20"/>
          <w:szCs w:val="20"/>
          <w:color w:val="auto"/>
        </w:rPr>
      </w:pPr>
      <w:r>
        <w:rPr>
          <w:rFonts w:ascii="Arial" w:cs="Arial" w:eastAsia="Arial" w:hAnsi="Arial"/>
          <w:sz w:val="18"/>
          <w:szCs w:val="18"/>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116" w:lineRule="exact"/>
        <w:rPr>
          <w:sz w:val="20"/>
          <w:szCs w:val="20"/>
          <w:color w:val="auto"/>
        </w:rPr>
      </w:pPr>
    </w:p>
    <w:p>
      <w:pPr>
        <w:jc w:val="both"/>
        <w:ind w:right="80" w:firstLine="374"/>
        <w:spacing w:after="0" w:line="283" w:lineRule="auto"/>
        <w:rPr>
          <w:sz w:val="20"/>
          <w:szCs w:val="20"/>
          <w:color w:val="auto"/>
        </w:rPr>
      </w:pPr>
      <w:r>
        <w:rPr>
          <w:rFonts w:ascii="Arial" w:cs="Arial" w:eastAsia="Arial" w:hAnsi="Arial"/>
          <w:sz w:val="17"/>
          <w:szCs w:val="17"/>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102" w:lineRule="exact"/>
        <w:rPr>
          <w:sz w:val="20"/>
          <w:szCs w:val="20"/>
          <w:color w:val="auto"/>
        </w:rPr>
      </w:pPr>
    </w:p>
    <w:p>
      <w:pPr>
        <w:ind w:right="20" w:firstLine="374"/>
        <w:spacing w:after="0" w:line="313" w:lineRule="auto"/>
        <w:rPr>
          <w:sz w:val="20"/>
          <w:szCs w:val="20"/>
          <w:color w:val="auto"/>
        </w:rPr>
      </w:pPr>
      <w:r>
        <w:rPr>
          <w:rFonts w:ascii="Arial" w:cs="Arial" w:eastAsia="Arial" w:hAnsi="Arial"/>
          <w:sz w:val="16"/>
          <w:szCs w:val="16"/>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78" w:lineRule="exact"/>
        <w:rPr>
          <w:sz w:val="20"/>
          <w:szCs w:val="20"/>
          <w:color w:val="auto"/>
        </w:rPr>
      </w:pPr>
    </w:p>
    <w:p>
      <w:pPr>
        <w:ind w:right="140" w:firstLine="374"/>
        <w:spacing w:after="0" w:line="271" w:lineRule="auto"/>
        <w:rPr>
          <w:sz w:val="20"/>
          <w:szCs w:val="20"/>
          <w:color w:val="auto"/>
        </w:rPr>
      </w:pPr>
      <w:r>
        <w:rPr>
          <w:rFonts w:ascii="Arial" w:cs="Arial" w:eastAsia="Arial" w:hAnsi="Arial"/>
          <w:sz w:val="18"/>
          <w:szCs w:val="18"/>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78" w:name="page79"/>
    <w:bookmarkEnd w:id="78"/>
    <w:p>
      <w:pPr>
        <w:ind w:right="320"/>
        <w:spacing w:after="0" w:line="292" w:lineRule="auto"/>
        <w:rPr>
          <w:sz w:val="20"/>
          <w:szCs w:val="20"/>
          <w:color w:val="auto"/>
        </w:rPr>
      </w:pPr>
      <w:r>
        <w:rPr>
          <w:rFonts w:ascii="Arial" w:cs="Arial" w:eastAsia="Arial" w:hAnsi="Arial"/>
          <w:sz w:val="18"/>
          <w:szCs w:val="18"/>
          <w:b w:val="1"/>
          <w:bCs w:val="1"/>
          <w:i w:val="1"/>
          <w:iCs w:val="1"/>
          <w:color w:val="auto"/>
        </w:rPr>
        <w:t>If we, or our suppliers, fail to comply with the FDA’s QSR or applicable foreign regulations, our manufacturing or distribution operations could be delayed or shut down and our revenue could suffer.</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manufacturing and design processes and those of our third-party component suppliers are required to comply with the FDA’s Quality System</w:t>
      </w:r>
    </w:p>
    <w:p>
      <w:pPr>
        <w:spacing w:after="0" w:line="3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Regulation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08" w:lineRule="exact"/>
        <w:rPr>
          <w:sz w:val="20"/>
          <w:szCs w:val="20"/>
          <w:color w:val="auto"/>
        </w:rPr>
      </w:pPr>
    </w:p>
    <w:p>
      <w:pPr>
        <w:jc w:val="both"/>
        <w:ind w:right="140" w:firstLine="374"/>
        <w:spacing w:after="0" w:line="294" w:lineRule="auto"/>
        <w:rPr>
          <w:sz w:val="20"/>
          <w:szCs w:val="20"/>
          <w:color w:val="auto"/>
        </w:rPr>
      </w:pPr>
      <w:r>
        <w:rPr>
          <w:rFonts w:ascii="Arial" w:cs="Arial" w:eastAsia="Arial" w:hAnsi="Arial"/>
          <w:sz w:val="17"/>
          <w:szCs w:val="17"/>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91" w:lineRule="exact"/>
        <w:rPr>
          <w:sz w:val="20"/>
          <w:szCs w:val="20"/>
          <w:color w:val="auto"/>
        </w:rPr>
      </w:pPr>
    </w:p>
    <w:p>
      <w:pPr>
        <w:ind w:right="60" w:firstLine="374"/>
        <w:spacing w:after="0" w:line="264" w:lineRule="auto"/>
        <w:rPr>
          <w:sz w:val="20"/>
          <w:szCs w:val="20"/>
          <w:color w:val="auto"/>
        </w:rPr>
      </w:pPr>
      <w:r>
        <w:rPr>
          <w:rFonts w:ascii="Arial" w:cs="Arial" w:eastAsia="Arial" w:hAnsi="Arial"/>
          <w:sz w:val="18"/>
          <w:szCs w:val="18"/>
          <w:color w:val="auto"/>
        </w:rPr>
        <w:t>We can provide no assurance that we will continue to remain in material compliance with the QSR.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116"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63" w:lineRule="exact"/>
        <w:rPr>
          <w:sz w:val="20"/>
          <w:szCs w:val="20"/>
          <w:color w:val="auto"/>
        </w:rPr>
      </w:pPr>
    </w:p>
    <w:p>
      <w:pPr>
        <w:ind w:right="120" w:firstLine="374"/>
        <w:spacing w:after="0" w:line="307" w:lineRule="auto"/>
        <w:rPr>
          <w:sz w:val="20"/>
          <w:szCs w:val="20"/>
          <w:color w:val="auto"/>
        </w:rPr>
      </w:pPr>
      <w:r>
        <w:rPr>
          <w:rFonts w:ascii="Arial" w:cs="Arial" w:eastAsia="Arial" w:hAnsi="Arial"/>
          <w:sz w:val="16"/>
          <w:szCs w:val="16"/>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83" w:lineRule="exact"/>
        <w:rPr>
          <w:sz w:val="20"/>
          <w:szCs w:val="20"/>
          <w:color w:val="auto"/>
        </w:rPr>
      </w:pPr>
    </w:p>
    <w:p>
      <w:pPr>
        <w:ind w:right="120" w:firstLine="374"/>
        <w:spacing w:after="0" w:line="283" w:lineRule="auto"/>
        <w:rPr>
          <w:sz w:val="20"/>
          <w:szCs w:val="20"/>
          <w:color w:val="auto"/>
        </w:rPr>
      </w:pPr>
      <w:r>
        <w:rPr>
          <w:rFonts w:ascii="Arial" w:cs="Arial" w:eastAsia="Arial" w:hAnsi="Arial"/>
          <w:sz w:val="17"/>
          <w:szCs w:val="17"/>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115" w:lineRule="exact"/>
        <w:rPr>
          <w:sz w:val="20"/>
          <w:szCs w:val="20"/>
          <w:color w:val="auto"/>
        </w:rPr>
      </w:pPr>
    </w:p>
    <w:p>
      <w:pPr>
        <w:ind w:right="200" w:firstLine="374"/>
        <w:spacing w:after="0" w:line="264" w:lineRule="auto"/>
        <w:rPr>
          <w:sz w:val="20"/>
          <w:szCs w:val="20"/>
          <w:color w:val="auto"/>
        </w:rPr>
      </w:pPr>
      <w:r>
        <w:rPr>
          <w:rFonts w:ascii="Arial" w:cs="Arial" w:eastAsia="Arial" w:hAnsi="Arial"/>
          <w:sz w:val="18"/>
          <w:szCs w:val="18"/>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79" w:name="page80"/>
    <w:bookmarkEnd w:id="79"/>
    <w:p>
      <w:pPr>
        <w:ind w:right="320"/>
        <w:spacing w:after="0" w:line="324" w:lineRule="auto"/>
        <w:rPr>
          <w:sz w:val="20"/>
          <w:szCs w:val="20"/>
          <w:color w:val="auto"/>
        </w:rPr>
      </w:pPr>
      <w:r>
        <w:rPr>
          <w:rFonts w:ascii="Arial" w:cs="Arial" w:eastAsia="Arial" w:hAnsi="Arial"/>
          <w:sz w:val="17"/>
          <w:szCs w:val="17"/>
          <w:color w:val="auto"/>
        </w:rPr>
        <w:t>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2011 was signed into law, which, among other things, includes reductions to Medicare payments to providers of, on average, 2% per fiscal year, which went into effect on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124" w:lineRule="exact"/>
        <w:rPr>
          <w:sz w:val="20"/>
          <w:szCs w:val="20"/>
          <w:color w:val="auto"/>
        </w:rPr>
      </w:pPr>
    </w:p>
    <w:p>
      <w:pPr>
        <w:ind w:right="440" w:firstLine="374"/>
        <w:spacing w:after="0" w:line="320"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73" w:lineRule="exact"/>
        <w:rPr>
          <w:sz w:val="20"/>
          <w:szCs w:val="20"/>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44" w:lineRule="exact"/>
        <w:rPr>
          <w:sz w:val="20"/>
          <w:szCs w:val="20"/>
          <w:color w:val="auto"/>
        </w:rPr>
      </w:pPr>
    </w:p>
    <w:p>
      <w:pPr>
        <w:ind w:right="20" w:firstLine="374"/>
        <w:spacing w:after="0" w:line="274" w:lineRule="auto"/>
        <w:rPr>
          <w:sz w:val="20"/>
          <w:szCs w:val="20"/>
          <w:color w:val="auto"/>
        </w:rPr>
      </w:pPr>
      <w:r>
        <w:rPr>
          <w:rFonts w:ascii="Arial" w:cs="Arial" w:eastAsia="Arial" w:hAnsi="Arial"/>
          <w:sz w:val="16"/>
          <w:szCs w:val="16"/>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48" w:lineRule="exact"/>
        <w:rPr>
          <w:sz w:val="20"/>
          <w:szCs w:val="20"/>
          <w:color w:val="auto"/>
        </w:rPr>
      </w:pPr>
    </w:p>
    <w:p>
      <w:pPr>
        <w:ind w:right="60" w:firstLine="374"/>
        <w:spacing w:after="0" w:line="245" w:lineRule="auto"/>
        <w:rPr>
          <w:sz w:val="20"/>
          <w:szCs w:val="20"/>
          <w:color w:val="auto"/>
        </w:rPr>
      </w:pPr>
      <w:r>
        <w:rPr>
          <w:rFonts w:ascii="Arial" w:cs="Arial" w:eastAsia="Arial" w:hAnsi="Arial"/>
          <w:sz w:val="18"/>
          <w:szCs w:val="18"/>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0" w:name="page81"/>
    <w:bookmarkEnd w:id="80"/>
    <w:p>
      <w:pPr>
        <w:jc w:val="both"/>
        <w:spacing w:after="0" w:line="255" w:lineRule="auto"/>
        <w:rPr>
          <w:sz w:val="20"/>
          <w:szCs w:val="20"/>
          <w:color w:val="auto"/>
        </w:rPr>
      </w:pPr>
      <w:r>
        <w:rPr>
          <w:rFonts w:ascii="Arial" w:cs="Arial" w:eastAsia="Arial" w:hAnsi="Arial"/>
          <w:sz w:val="18"/>
          <w:szCs w:val="18"/>
          <w:color w:val="auto"/>
        </w:rPr>
        <w:t>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109" w:lineRule="exact"/>
        <w:rPr>
          <w:sz w:val="20"/>
          <w:szCs w:val="20"/>
          <w:color w:val="auto"/>
        </w:rPr>
      </w:pPr>
    </w:p>
    <w:p>
      <w:pPr>
        <w:ind w:right="100" w:firstLine="374"/>
        <w:spacing w:after="0" w:line="279" w:lineRule="auto"/>
        <w:rPr>
          <w:sz w:val="20"/>
          <w:szCs w:val="20"/>
          <w:color w:val="auto"/>
        </w:rPr>
      </w:pPr>
      <w:r>
        <w:rPr>
          <w:rFonts w:ascii="Arial" w:cs="Arial" w:eastAsia="Arial" w:hAnsi="Arial"/>
          <w:sz w:val="16"/>
          <w:szCs w:val="16"/>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92" w:lineRule="exact"/>
        <w:rPr>
          <w:sz w:val="20"/>
          <w:szCs w:val="20"/>
          <w:color w:val="auto"/>
        </w:rPr>
      </w:pPr>
    </w:p>
    <w:p>
      <w:pPr>
        <w:ind w:left="1140" w:hanging="383"/>
        <w:spacing w:after="0" w:line="246"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115" w:lineRule="exact"/>
        <w:rPr>
          <w:rFonts w:ascii="Arial" w:cs="Arial" w:eastAsia="Arial" w:hAnsi="Arial"/>
          <w:sz w:val="18"/>
          <w:szCs w:val="18"/>
          <w:color w:val="auto"/>
        </w:rPr>
      </w:pPr>
    </w:p>
    <w:p>
      <w:pPr>
        <w:ind w:left="1140" w:right="40" w:hanging="383"/>
        <w:spacing w:after="0" w:line="245"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116" w:lineRule="exact"/>
        <w:rPr>
          <w:rFonts w:ascii="Arial" w:cs="Arial" w:eastAsia="Arial" w:hAnsi="Arial"/>
          <w:sz w:val="18"/>
          <w:szCs w:val="18"/>
          <w:color w:val="auto"/>
        </w:rPr>
      </w:pPr>
    </w:p>
    <w:p>
      <w:pPr>
        <w:ind w:left="1140" w:right="360" w:hanging="383"/>
        <w:spacing w:after="0" w:line="341"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30" w:lineRule="exact"/>
        <w:rPr>
          <w:rFonts w:ascii="Arial" w:cs="Arial" w:eastAsia="Arial" w:hAnsi="Arial"/>
          <w:sz w:val="16"/>
          <w:szCs w:val="16"/>
          <w:color w:val="auto"/>
        </w:rPr>
      </w:pPr>
    </w:p>
    <w:p>
      <w:pPr>
        <w:ind w:left="1140" w:right="60" w:hanging="383"/>
        <w:spacing w:after="0" w:line="268" w:lineRule="auto"/>
        <w:tabs>
          <w:tab w:leader="none" w:pos="11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97" w:lineRule="exact"/>
        <w:rPr>
          <w:rFonts w:ascii="Arial" w:cs="Arial" w:eastAsia="Arial" w:hAnsi="Arial"/>
          <w:sz w:val="17"/>
          <w:szCs w:val="17"/>
          <w:color w:val="auto"/>
        </w:rPr>
      </w:pPr>
    </w:p>
    <w:p>
      <w:pPr>
        <w:ind w:left="1140" w:right="20" w:hanging="383"/>
        <w:spacing w:after="0" w:line="282"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91" w:lineRule="exact"/>
        <w:rPr>
          <w:rFonts w:ascii="Arial" w:cs="Arial" w:eastAsia="Arial" w:hAnsi="Arial"/>
          <w:sz w:val="16"/>
          <w:szCs w:val="16"/>
          <w:color w:val="auto"/>
        </w:rPr>
      </w:pPr>
    </w:p>
    <w:p>
      <w:pPr>
        <w:ind w:left="1140" w:right="40" w:hanging="383"/>
        <w:spacing w:after="0" w:line="279"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1" w:name="page82"/>
    <w:bookmarkEnd w:id="81"/>
    <w:p>
      <w:pPr>
        <w:ind w:left="1140" w:right="660"/>
        <w:spacing w:after="0" w:line="255" w:lineRule="auto"/>
        <w:rPr>
          <w:sz w:val="20"/>
          <w:szCs w:val="20"/>
          <w:color w:val="auto"/>
        </w:rPr>
      </w:pPr>
      <w:r>
        <w:rPr>
          <w:rFonts w:ascii="Arial" w:cs="Arial" w:eastAsia="Arial" w:hAnsi="Arial"/>
          <w:sz w:val="18"/>
          <w:szCs w:val="18"/>
          <w:color w:val="auto"/>
        </w:rPr>
        <w:t>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09" w:lineRule="exact"/>
        <w:rPr>
          <w:sz w:val="20"/>
          <w:szCs w:val="20"/>
          <w:color w:val="auto"/>
        </w:rPr>
      </w:pPr>
    </w:p>
    <w:p>
      <w:pPr>
        <w:ind w:right="160" w:firstLine="374"/>
        <w:spacing w:after="0" w:line="279" w:lineRule="auto"/>
        <w:rPr>
          <w:sz w:val="20"/>
          <w:szCs w:val="20"/>
          <w:color w:val="auto"/>
        </w:rPr>
      </w:pPr>
      <w:r>
        <w:rPr>
          <w:rFonts w:ascii="Arial" w:cs="Arial" w:eastAsia="Arial" w:hAnsi="Arial"/>
          <w:sz w:val="16"/>
          <w:szCs w:val="16"/>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92" w:lineRule="exact"/>
        <w:rPr>
          <w:sz w:val="20"/>
          <w:szCs w:val="20"/>
          <w:color w:val="auto"/>
        </w:rPr>
      </w:pPr>
    </w:p>
    <w:p>
      <w:pPr>
        <w:ind w:right="140" w:firstLine="374"/>
        <w:spacing w:after="0" w:line="267"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99" w:lineRule="exact"/>
        <w:rPr>
          <w:sz w:val="20"/>
          <w:szCs w:val="20"/>
          <w:color w:val="auto"/>
        </w:rPr>
      </w:pPr>
    </w:p>
    <w:p>
      <w:pPr>
        <w:ind w:right="20" w:firstLine="374"/>
        <w:spacing w:after="0" w:line="257" w:lineRule="auto"/>
        <w:rPr>
          <w:sz w:val="20"/>
          <w:szCs w:val="20"/>
          <w:color w:val="auto"/>
        </w:rPr>
      </w:pPr>
      <w:r>
        <w:rPr>
          <w:rFonts w:ascii="Arial" w:cs="Arial" w:eastAsia="Arial" w:hAnsi="Arial"/>
          <w:sz w:val="17"/>
          <w:szCs w:val="17"/>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112" w:lineRule="exact"/>
        <w:rPr>
          <w:sz w:val="20"/>
          <w:szCs w:val="20"/>
          <w:color w:val="auto"/>
        </w:rPr>
      </w:pPr>
    </w:p>
    <w:p>
      <w:pPr>
        <w:ind w:firstLine="374"/>
        <w:spacing w:after="0" w:line="275"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CMS fee schedules may harm our revenue and operating results.</w:t>
      </w:r>
    </w:p>
    <w:p>
      <w:pPr>
        <w:spacing w:after="0" w:line="117" w:lineRule="exact"/>
        <w:rPr>
          <w:sz w:val="20"/>
          <w:szCs w:val="20"/>
          <w:color w:val="auto"/>
        </w:rPr>
      </w:pPr>
    </w:p>
    <w:p>
      <w:pPr>
        <w:ind w:right="240" w:firstLine="374"/>
        <w:spacing w:after="0" w:line="263" w:lineRule="auto"/>
        <w:rPr>
          <w:sz w:val="20"/>
          <w:szCs w:val="20"/>
          <w:color w:val="auto"/>
        </w:rPr>
      </w:pPr>
      <w:r>
        <w:rPr>
          <w:rFonts w:ascii="Arial" w:cs="Arial" w:eastAsia="Arial" w:hAnsi="Arial"/>
          <w:sz w:val="17"/>
          <w:szCs w:val="17"/>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2" w:name="page83"/>
    <w:bookmarkEnd w:id="82"/>
    <w:p>
      <w:pPr>
        <w:ind w:right="180"/>
        <w:spacing w:after="0" w:line="289" w:lineRule="auto"/>
        <w:rPr>
          <w:sz w:val="20"/>
          <w:szCs w:val="20"/>
          <w:color w:val="auto"/>
        </w:rPr>
      </w:pPr>
      <w:r>
        <w:rPr>
          <w:rFonts w:ascii="Arial" w:cs="Arial" w:eastAsia="Arial" w:hAnsi="Arial"/>
          <w:sz w:val="16"/>
          <w:szCs w:val="16"/>
          <w:color w:val="auto"/>
        </w:rPr>
        <w:t>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85" w:lineRule="exact"/>
        <w:rPr>
          <w:sz w:val="20"/>
          <w:szCs w:val="20"/>
          <w:color w:val="auto"/>
        </w:rPr>
      </w:pPr>
    </w:p>
    <w:p>
      <w:pPr>
        <w:ind w:right="480"/>
        <w:spacing w:after="0" w:line="307"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26" w:lineRule="exact"/>
        <w:rPr>
          <w:sz w:val="20"/>
          <w:szCs w:val="20"/>
          <w:color w:val="auto"/>
        </w:rPr>
      </w:pPr>
    </w:p>
    <w:p>
      <w:pPr>
        <w:ind w:right="160" w:firstLine="374"/>
        <w:spacing w:after="0" w:line="283"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88" w:lineRule="exact"/>
        <w:rPr>
          <w:sz w:val="20"/>
          <w:szCs w:val="20"/>
          <w:color w:val="auto"/>
        </w:rPr>
      </w:pPr>
    </w:p>
    <w:p>
      <w:pPr>
        <w:ind w:firstLine="374"/>
        <w:spacing w:after="0" w:line="248"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15" w:lineRule="exact"/>
        <w:rPr>
          <w:sz w:val="20"/>
          <w:szCs w:val="20"/>
          <w:color w:val="auto"/>
        </w:rPr>
      </w:pPr>
    </w:p>
    <w:p>
      <w:pPr>
        <w:spacing w:after="0" w:line="324" w:lineRule="auto"/>
        <w:rPr>
          <w:sz w:val="20"/>
          <w:szCs w:val="20"/>
          <w:color w:val="auto"/>
        </w:rPr>
      </w:pPr>
      <w:r>
        <w:rPr>
          <w:rFonts w:ascii="Arial" w:cs="Arial" w:eastAsia="Arial" w:hAnsi="Arial"/>
          <w:sz w:val="16"/>
          <w:szCs w:val="16"/>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29" w:lineRule="exact"/>
        <w:rPr>
          <w:sz w:val="20"/>
          <w:szCs w:val="20"/>
          <w:color w:val="auto"/>
        </w:rPr>
      </w:pPr>
    </w:p>
    <w:p>
      <w:pPr>
        <w:ind w:firstLine="374"/>
        <w:spacing w:after="0" w:line="258" w:lineRule="auto"/>
        <w:rPr>
          <w:sz w:val="20"/>
          <w:szCs w:val="20"/>
          <w:color w:val="auto"/>
        </w:rPr>
      </w:pPr>
      <w:r>
        <w:rPr>
          <w:rFonts w:ascii="Arial" w:cs="Arial" w:eastAsia="Arial" w:hAnsi="Arial"/>
          <w:sz w:val="17"/>
          <w:szCs w:val="17"/>
          <w:color w:val="auto"/>
        </w:rPr>
        <w:t>In 2017, the European Union (“EU”) published the new EU Medical Device Regulation (“MDR”) (2017/745), the application of which was postponed until May 26, 2021 for class I devices (lowest risk) and May 26, 2024 for all other class devices (higher risk devices). The new regulations replace predecessor directives and emphasize a global convergence of regulations. With the transition from the Medical Devices Directive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07" w:lineRule="exact"/>
        <w:rPr>
          <w:sz w:val="20"/>
          <w:szCs w:val="20"/>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reclassification of some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emphasis on clinical data;</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data transparency, including publication of clinical trial data and safety summaries;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defined content and structure for technical files to support registration;</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unique device identification system;</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burden on post-market surveillance and clinical follow-up;</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reduction of adverse event reporting time from 30 to 15 days after the event;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more power to notified bodies.</w:t>
      </w:r>
    </w:p>
    <w:p>
      <w:pPr>
        <w:spacing w:after="0" w:line="144" w:lineRule="exact"/>
        <w:rPr>
          <w:sz w:val="20"/>
          <w:szCs w:val="20"/>
          <w:color w:val="auto"/>
        </w:rPr>
      </w:pPr>
    </w:p>
    <w:p>
      <w:pPr>
        <w:jc w:val="both"/>
        <w:ind w:right="180" w:firstLine="374"/>
        <w:spacing w:after="0" w:line="302" w:lineRule="auto"/>
        <w:rPr>
          <w:sz w:val="20"/>
          <w:szCs w:val="20"/>
          <w:color w:val="auto"/>
        </w:rPr>
      </w:pPr>
      <w:r>
        <w:rPr>
          <w:rFonts w:ascii="Arial" w:cs="Arial" w:eastAsia="Arial" w:hAnsi="Arial"/>
          <w:sz w:val="16"/>
          <w:szCs w:val="16"/>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83" w:name="page84"/>
    <w:bookmarkEnd w:id="83"/>
    <w:p>
      <w:pPr>
        <w:ind w:right="480"/>
        <w:spacing w:after="0" w:line="277" w:lineRule="auto"/>
        <w:rPr>
          <w:sz w:val="20"/>
          <w:szCs w:val="20"/>
          <w:color w:val="auto"/>
        </w:rPr>
      </w:pPr>
      <w:r>
        <w:rPr>
          <w:rFonts w:ascii="Arial" w:cs="Arial" w:eastAsia="Arial" w:hAnsi="Arial"/>
          <w:sz w:val="18"/>
          <w:szCs w:val="18"/>
          <w:color w:val="auto"/>
        </w:rPr>
        <w:t>Marketing authorization timelines will become more protracted and the costs of operating in Europe will increase. A significantly more costly path to regulatory compliance is anticipated.</w:t>
      </w:r>
    </w:p>
    <w:p>
      <w:pPr>
        <w:spacing w:after="0" w:line="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62"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failures associated with our products could lead to recalls, safety alerts or litigation, as well as significant costs and negative publicity.</w:t>
      </w:r>
    </w:p>
    <w:p>
      <w:pPr>
        <w:spacing w:after="0" w:line="140" w:lineRule="exact"/>
        <w:rPr>
          <w:sz w:val="20"/>
          <w:szCs w:val="20"/>
          <w:color w:val="auto"/>
        </w:rPr>
      </w:pPr>
    </w:p>
    <w:p>
      <w:pPr>
        <w:ind w:right="40" w:firstLine="374"/>
        <w:spacing w:after="0" w:line="244" w:lineRule="auto"/>
        <w:rPr>
          <w:sz w:val="20"/>
          <w:szCs w:val="20"/>
          <w:color w:val="auto"/>
        </w:rPr>
      </w:pPr>
      <w:r>
        <w:rPr>
          <w:rFonts w:ascii="Arial" w:cs="Arial" w:eastAsia="Arial" w:hAnsi="Arial"/>
          <w:sz w:val="18"/>
          <w:szCs w:val="18"/>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118" w:lineRule="exact"/>
        <w:rPr>
          <w:sz w:val="20"/>
          <w:szCs w:val="20"/>
          <w:color w:val="auto"/>
        </w:rPr>
      </w:pPr>
    </w:p>
    <w:p>
      <w:pPr>
        <w:ind w:right="40" w:firstLine="374"/>
        <w:spacing w:after="0" w:line="262" w:lineRule="auto"/>
        <w:rPr>
          <w:sz w:val="20"/>
          <w:szCs w:val="20"/>
          <w:color w:val="auto"/>
        </w:rPr>
      </w:pPr>
      <w:r>
        <w:rPr>
          <w:rFonts w:ascii="Arial" w:cs="Arial" w:eastAsia="Arial" w:hAnsi="Arial"/>
          <w:sz w:val="17"/>
          <w:szCs w:val="17"/>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104" w:lineRule="exact"/>
        <w:rPr>
          <w:sz w:val="20"/>
          <w:szCs w:val="20"/>
          <w:color w:val="auto"/>
        </w:rPr>
      </w:pPr>
    </w:p>
    <w:p>
      <w:pPr>
        <w:ind w:firstLine="374"/>
        <w:spacing w:after="0" w:line="276"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96" w:lineRule="exact"/>
        <w:rPr>
          <w:sz w:val="20"/>
          <w:szCs w:val="20"/>
          <w:color w:val="auto"/>
        </w:rPr>
      </w:pPr>
    </w:p>
    <w:p>
      <w:pPr>
        <w:ind w:right="20" w:firstLine="374"/>
        <w:spacing w:after="0" w:line="246" w:lineRule="auto"/>
        <w:rPr>
          <w:sz w:val="20"/>
          <w:szCs w:val="20"/>
          <w:color w:val="auto"/>
        </w:rPr>
      </w:pPr>
      <w:r>
        <w:rPr>
          <w:rFonts w:ascii="Arial" w:cs="Arial" w:eastAsia="Arial" w:hAnsi="Arial"/>
          <w:sz w:val="18"/>
          <w:szCs w:val="18"/>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4" w:name="page85"/>
    <w:bookmarkEnd w:id="84"/>
    <w:p>
      <w:pPr>
        <w:ind w:right="320"/>
        <w:spacing w:after="0" w:line="255" w:lineRule="auto"/>
        <w:rPr>
          <w:sz w:val="20"/>
          <w:szCs w:val="20"/>
          <w:color w:val="auto"/>
        </w:rPr>
      </w:pPr>
      <w:r>
        <w:rPr>
          <w:rFonts w:ascii="Arial" w:cs="Arial" w:eastAsia="Arial" w:hAnsi="Arial"/>
          <w:sz w:val="18"/>
          <w:szCs w:val="18"/>
          <w:color w:val="auto"/>
        </w:rPr>
        <w:t>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09" w:lineRule="exact"/>
        <w:rPr>
          <w:sz w:val="20"/>
          <w:szCs w:val="20"/>
          <w:color w:val="auto"/>
        </w:rPr>
      </w:pPr>
    </w:p>
    <w:p>
      <w:pPr>
        <w:ind w:right="140" w:firstLine="374"/>
        <w:spacing w:after="0" w:line="277" w:lineRule="auto"/>
        <w:rPr>
          <w:sz w:val="20"/>
          <w:szCs w:val="20"/>
          <w:color w:val="auto"/>
        </w:rPr>
      </w:pPr>
      <w:r>
        <w:rPr>
          <w:rFonts w:ascii="Arial" w:cs="Arial" w:eastAsia="Arial" w:hAnsi="Arial"/>
          <w:sz w:val="16"/>
          <w:szCs w:val="16"/>
          <w:color w:val="auto"/>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9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76" w:lineRule="exact"/>
        <w:rPr>
          <w:sz w:val="20"/>
          <w:szCs w:val="20"/>
          <w:color w:val="auto"/>
        </w:rPr>
      </w:pPr>
    </w:p>
    <w:p>
      <w:pPr>
        <w:ind w:right="40" w:firstLine="374"/>
        <w:spacing w:after="0" w:line="258"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97"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2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62" w:lineRule="exact"/>
        <w:rPr>
          <w:sz w:val="20"/>
          <w:szCs w:val="20"/>
          <w:color w:val="auto"/>
        </w:rPr>
      </w:pPr>
    </w:p>
    <w:p>
      <w:pPr>
        <w:ind w:right="140" w:firstLine="374"/>
        <w:spacing w:after="0" w:line="268" w:lineRule="auto"/>
        <w:rPr>
          <w:sz w:val="20"/>
          <w:szCs w:val="20"/>
          <w:color w:val="auto"/>
        </w:rPr>
      </w:pPr>
      <w:r>
        <w:rPr>
          <w:rFonts w:ascii="Arial" w:cs="Arial" w:eastAsia="Arial" w:hAnsi="Arial"/>
          <w:sz w:val="17"/>
          <w:szCs w:val="17"/>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5" w:name="page86"/>
    <w:bookmarkEnd w:id="85"/>
    <w:p>
      <w:pPr>
        <w:ind w:right="20"/>
        <w:spacing w:after="0" w:line="287" w:lineRule="auto"/>
        <w:rPr>
          <w:sz w:val="20"/>
          <w:szCs w:val="20"/>
          <w:color w:val="auto"/>
        </w:rPr>
      </w:pPr>
      <w:r>
        <w:rPr>
          <w:rFonts w:ascii="Arial" w:cs="Arial" w:eastAsia="Arial" w:hAnsi="Arial"/>
          <w:sz w:val="16"/>
          <w:szCs w:val="16"/>
          <w:color w:val="auto"/>
        </w:rPr>
        <w:t>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87" w:lineRule="exact"/>
        <w:rPr>
          <w:sz w:val="20"/>
          <w:szCs w:val="20"/>
          <w:color w:val="auto"/>
        </w:rPr>
      </w:pPr>
    </w:p>
    <w:p>
      <w:pPr>
        <w:ind w:firstLine="374"/>
        <w:spacing w:after="0" w:line="273"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9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76" w:lineRule="exact"/>
        <w:rPr>
          <w:sz w:val="20"/>
          <w:szCs w:val="20"/>
          <w:color w:val="auto"/>
        </w:rPr>
      </w:pPr>
    </w:p>
    <w:p>
      <w:pPr>
        <w:ind w:right="20" w:firstLine="374"/>
        <w:spacing w:after="0" w:line="274" w:lineRule="auto"/>
        <w:rPr>
          <w:sz w:val="20"/>
          <w:szCs w:val="20"/>
          <w:color w:val="auto"/>
        </w:rPr>
      </w:pPr>
      <w:r>
        <w:rPr>
          <w:rFonts w:ascii="Arial" w:cs="Arial" w:eastAsia="Arial" w:hAnsi="Arial"/>
          <w:sz w:val="16"/>
          <w:szCs w:val="16"/>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United States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97" w:lineRule="exact"/>
        <w:rPr>
          <w:sz w:val="20"/>
          <w:szCs w:val="20"/>
          <w:color w:val="auto"/>
        </w:rPr>
      </w:pPr>
    </w:p>
    <w:p>
      <w:pPr>
        <w:ind w:right="80" w:firstLine="374"/>
        <w:spacing w:after="0" w:line="259" w:lineRule="auto"/>
        <w:rPr>
          <w:sz w:val="20"/>
          <w:szCs w:val="20"/>
          <w:color w:val="auto"/>
        </w:rPr>
      </w:pPr>
      <w:r>
        <w:rPr>
          <w:rFonts w:ascii="Arial" w:cs="Arial" w:eastAsia="Arial" w:hAnsi="Arial"/>
          <w:sz w:val="17"/>
          <w:szCs w:val="17"/>
          <w:color w:val="auto"/>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the California Consumer Privacy Act (“CCPA”), in January 2020, which requires certain companies that process information of California consumers to, among other things, provide new disclosures to California consumers and afford such consumers new</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6" w:name="page87"/>
    <w:bookmarkEnd w:id="86"/>
    <w:p>
      <w:pPr>
        <w:ind w:right="280"/>
        <w:spacing w:after="0" w:line="258" w:lineRule="auto"/>
        <w:rPr>
          <w:sz w:val="20"/>
          <w:szCs w:val="20"/>
          <w:color w:val="auto"/>
        </w:rPr>
      </w:pPr>
      <w:r>
        <w:rPr>
          <w:rFonts w:ascii="Arial" w:cs="Arial" w:eastAsia="Arial" w:hAnsi="Arial"/>
          <w:sz w:val="17"/>
          <w:szCs w:val="17"/>
          <w:color w:val="auto"/>
        </w:rPr>
        <w:t>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California Privacy Rights Act of 2020 (“CPRA”). Effective January 1, 2023, the CPRA imposes additional obligations on companies covered by the legislation and will significantly modify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spacing w:after="0" w:line="110" w:lineRule="exact"/>
        <w:rPr>
          <w:sz w:val="20"/>
          <w:szCs w:val="20"/>
          <w:color w:val="auto"/>
        </w:rPr>
      </w:pPr>
    </w:p>
    <w:p>
      <w:pPr>
        <w:ind w:right="20" w:firstLine="374"/>
        <w:spacing w:after="0" w:line="260" w:lineRule="auto"/>
        <w:rPr>
          <w:sz w:val="20"/>
          <w:szCs w:val="20"/>
          <w:color w:val="auto"/>
        </w:rPr>
      </w:pPr>
      <w:r>
        <w:rPr>
          <w:rFonts w:ascii="Arial" w:cs="Arial" w:eastAsia="Arial" w:hAnsi="Arial"/>
          <w:sz w:val="17"/>
          <w:szCs w:val="17"/>
          <w:color w:val="auto"/>
        </w:rPr>
        <w:t>In addition, we are subject to international laws, regulations and standards in many jurisdictions, which apply broadly to the collection, use, retention, security, disclosure, transfer and other processing of personal information. For example, the General Data Protection Regulation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109" w:lineRule="exact"/>
        <w:rPr>
          <w:sz w:val="20"/>
          <w:szCs w:val="20"/>
          <w:color w:val="auto"/>
        </w:rPr>
      </w:pPr>
    </w:p>
    <w:p>
      <w:pPr>
        <w:ind w:right="40" w:firstLine="374"/>
        <w:spacing w:after="0" w:line="273" w:lineRule="auto"/>
        <w:rPr>
          <w:sz w:val="20"/>
          <w:szCs w:val="20"/>
          <w:color w:val="auto"/>
        </w:rPr>
      </w:pPr>
      <w:r>
        <w:rPr>
          <w:rFonts w:ascii="Arial" w:cs="Arial" w:eastAsia="Arial" w:hAnsi="Arial"/>
          <w:sz w:val="16"/>
          <w:szCs w:val="16"/>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The interpretations of the GDPR by local data protection authorities in EU member states, along with the complexity of the new data protection regime itself, will leave the interpretation and enforcement of the law unclear in the near term, with potential inconsistencies across the EU member states. The implementation and enforcement of the GDPR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We are subject to the UK General Data Protection Regulation and UK Data Protection Act of 2018, which retains the GDPR in the United Kingdom’s national law and provides for a penalty structure similar to the GDPR. These recent developments have required us to review and modify the legal means by which we process personal data and may require us to make other modifications.</w:t>
      </w:r>
    </w:p>
    <w:p>
      <w:pPr>
        <w:spacing w:after="0" w:line="104" w:lineRule="exact"/>
        <w:rPr>
          <w:sz w:val="20"/>
          <w:szCs w:val="20"/>
          <w:color w:val="auto"/>
        </w:rPr>
      </w:pPr>
    </w:p>
    <w:p>
      <w:pPr>
        <w:ind w:firstLine="374"/>
        <w:spacing w:after="0" w:line="276" w:lineRule="auto"/>
        <w:rPr>
          <w:sz w:val="20"/>
          <w:szCs w:val="20"/>
          <w:color w:val="auto"/>
        </w:rPr>
      </w:pPr>
      <w:r>
        <w:rPr>
          <w:rFonts w:ascii="Arial" w:cs="Arial" w:eastAsia="Arial" w:hAnsi="Arial"/>
          <w:sz w:val="16"/>
          <w:szCs w:val="16"/>
          <w:color w:val="auto"/>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that are required to be implemented over time, and the United Kingdom has adopted new standard contractual clauses that also are required to be implemented over time. In June 2021, the European Commission issued an adequacy decision in respect of the United Kingdom’s data protection framework, enabling data transfers from EU member states to the United Kingdom to continue without requiring contractual or other additional measures. While it is intended to last for at least four years, the European Commission may revoke the adequacy decision at any point, and if this occurs it could lead to additional costs and increase our overall risk exposure. These developments and other regulatory guidance or developments may impose</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7" w:name="page88"/>
    <w:bookmarkEnd w:id="87"/>
    <w:p>
      <w:pPr>
        <w:ind w:right="20"/>
        <w:spacing w:after="0" w:line="249" w:lineRule="auto"/>
        <w:rPr>
          <w:sz w:val="20"/>
          <w:szCs w:val="20"/>
          <w:color w:val="auto"/>
        </w:rPr>
      </w:pPr>
      <w:r>
        <w:rPr>
          <w:rFonts w:ascii="Arial" w:cs="Arial" w:eastAsia="Arial" w:hAnsi="Arial"/>
          <w:sz w:val="18"/>
          <w:szCs w:val="18"/>
          <w:color w:val="auto"/>
        </w:rPr>
        <w:t>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This could adversely affect the manner in which we provide our services and thus materially affect our operations and financial results.</w:t>
      </w:r>
    </w:p>
    <w:p>
      <w:pPr>
        <w:spacing w:after="0" w:line="113" w:lineRule="exact"/>
        <w:rPr>
          <w:sz w:val="20"/>
          <w:szCs w:val="20"/>
          <w:color w:val="auto"/>
        </w:rPr>
      </w:pPr>
    </w:p>
    <w:p>
      <w:pPr>
        <w:ind w:right="40" w:firstLine="374"/>
        <w:spacing w:after="0" w:line="274" w:lineRule="auto"/>
        <w:rPr>
          <w:sz w:val="20"/>
          <w:szCs w:val="20"/>
          <w:color w:val="auto"/>
        </w:rPr>
      </w:pPr>
      <w:r>
        <w:rPr>
          <w:rFonts w:ascii="Arial" w:cs="Arial" w:eastAsia="Arial" w:hAnsi="Arial"/>
          <w:sz w:val="16"/>
          <w:szCs w:val="16"/>
          <w:color w:val="auto"/>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9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4" w:lineRule="exact"/>
        <w:rPr>
          <w:sz w:val="20"/>
          <w:szCs w:val="20"/>
          <w:color w:val="auto"/>
        </w:rPr>
      </w:pPr>
    </w:p>
    <w:p>
      <w:pPr>
        <w:ind w:right="180" w:firstLine="374"/>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109" w:lineRule="exact"/>
        <w:rPr>
          <w:sz w:val="20"/>
          <w:szCs w:val="20"/>
          <w:color w:val="auto"/>
        </w:rPr>
      </w:pPr>
    </w:p>
    <w:p>
      <w:pPr>
        <w:ind w:firstLine="374"/>
        <w:spacing w:after="0" w:line="256" w:lineRule="auto"/>
        <w:rPr>
          <w:sz w:val="20"/>
          <w:szCs w:val="20"/>
          <w:color w:val="auto"/>
        </w:rPr>
      </w:pPr>
      <w:r>
        <w:rPr>
          <w:rFonts w:ascii="Arial" w:cs="Arial" w:eastAsia="Arial" w:hAnsi="Arial"/>
          <w:sz w:val="17"/>
          <w:szCs w:val="17"/>
          <w:color w:val="auto"/>
        </w:rPr>
        <w:t>Disruptions at the FDA and other agencies may also slow the time necessary for new medical devices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In February 2022, the FDA announced that it will resume routine domestic surveillance inspections. The FDA also announced proceeding with previously planned foreign surveillance inspections that have received country clearance and are within the CDC’s Level 1 or Level 2 COVID -19 travel recommendation; otherwise, the inspection would be rescheduled, with the anticipated goal of resuming foreign prioritized inspections in April 2022. However, the FDA may not be able to continue its current inspection pace or may be unable to complete required inspections during the review period, which can delay clinical development and result in a complete response letter.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0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68"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We have commercialized the RxSight system outside of the United States, each component of which has received a CE mark and is registered with the MHRA in the United Kingdom. We are subject to numerous, and sometimes conflicting, legal regimes in the countries in which we operate, including on matters as diverse as health</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8" w:name="page89"/>
    <w:bookmarkEnd w:id="88"/>
    <w:p>
      <w:pPr>
        <w:jc w:val="both"/>
        <w:ind w:right="20"/>
        <w:spacing w:after="0" w:line="276" w:lineRule="auto"/>
        <w:rPr>
          <w:sz w:val="20"/>
          <w:szCs w:val="20"/>
          <w:color w:val="auto"/>
        </w:rPr>
      </w:pPr>
      <w:r>
        <w:rPr>
          <w:rFonts w:ascii="Arial" w:cs="Arial" w:eastAsia="Arial" w:hAnsi="Arial"/>
          <w:sz w:val="16"/>
          <w:szCs w:val="16"/>
          <w:color w:val="auto"/>
        </w:rPr>
        <w:t>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w:t>
      </w:r>
    </w:p>
    <w:p>
      <w:pPr>
        <w:spacing w:after="0" w:line="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94" w:lineRule="exact"/>
        <w:rPr>
          <w:sz w:val="20"/>
          <w:szCs w:val="20"/>
          <w:color w:val="auto"/>
        </w:rPr>
      </w:pPr>
    </w:p>
    <w:p>
      <w:pPr>
        <w:ind w:right="40" w:firstLine="374"/>
        <w:spacing w:after="0" w:line="257" w:lineRule="auto"/>
        <w:rPr>
          <w:sz w:val="20"/>
          <w:szCs w:val="20"/>
          <w:color w:val="auto"/>
        </w:rPr>
      </w:pPr>
      <w:r>
        <w:rPr>
          <w:rFonts w:ascii="Arial" w:cs="Arial" w:eastAsia="Arial" w:hAnsi="Arial"/>
          <w:sz w:val="17"/>
          <w:szCs w:val="17"/>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112" w:lineRule="exact"/>
        <w:rPr>
          <w:sz w:val="20"/>
          <w:szCs w:val="20"/>
          <w:color w:val="auto"/>
        </w:rPr>
      </w:pPr>
    </w:p>
    <w:p>
      <w:pPr>
        <w:ind w:right="80" w:firstLine="374"/>
        <w:spacing w:after="0" w:line="267" w:lineRule="auto"/>
        <w:rPr>
          <w:sz w:val="20"/>
          <w:szCs w:val="20"/>
          <w:color w:val="auto"/>
        </w:rPr>
      </w:pPr>
      <w:r>
        <w:rPr>
          <w:rFonts w:ascii="Arial" w:cs="Arial" w:eastAsia="Arial" w:hAnsi="Arial"/>
          <w:sz w:val="17"/>
          <w:szCs w:val="17"/>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67" w:lineRule="exact"/>
        <w:rPr>
          <w:sz w:val="20"/>
          <w:szCs w:val="20"/>
          <w:color w:val="auto"/>
        </w:rPr>
      </w:pPr>
    </w:p>
    <w:p>
      <w:pPr>
        <w:ind w:firstLine="374"/>
        <w:spacing w:after="0" w:line="277" w:lineRule="auto"/>
        <w:rPr>
          <w:sz w:val="20"/>
          <w:szCs w:val="20"/>
          <w:color w:val="auto"/>
        </w:rPr>
      </w:pPr>
      <w:r>
        <w:rPr>
          <w:rFonts w:ascii="Arial" w:cs="Arial" w:eastAsia="Arial" w:hAnsi="Arial"/>
          <w:sz w:val="16"/>
          <w:szCs w:val="16"/>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62"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As a medical device manufacturer, we must register with the FDA and non-U.S. regulatory agencies in jurisdictions where we commercialize our products, and we are subject to periodic inspection by the FDA and</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7" w:right="379" w:bottom="1440" w:gutter="0" w:footer="0" w:header="0"/>
        </w:sectPr>
      </w:pPr>
    </w:p>
    <w:bookmarkStart w:id="89" w:name="page90"/>
    <w:bookmarkEnd w:id="89"/>
    <w:p>
      <w:pPr>
        <w:ind w:right="280"/>
        <w:spacing w:after="0" w:line="268" w:lineRule="auto"/>
        <w:rPr>
          <w:sz w:val="20"/>
          <w:szCs w:val="20"/>
          <w:color w:val="auto"/>
        </w:rPr>
      </w:pPr>
      <w:r>
        <w:rPr>
          <w:rFonts w:ascii="Arial" w:cs="Arial" w:eastAsia="Arial" w:hAnsi="Arial"/>
          <w:sz w:val="17"/>
          <w:szCs w:val="17"/>
          <w:color w:val="auto"/>
        </w:rPr>
        <w:t>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98" w:lineRule="exact"/>
        <w:rPr>
          <w:sz w:val="20"/>
          <w:szCs w:val="20"/>
          <w:color w:val="auto"/>
        </w:rPr>
      </w:pPr>
    </w:p>
    <w:p>
      <w:pPr>
        <w:ind w:right="40" w:firstLine="374"/>
        <w:spacing w:after="0" w:line="259" w:lineRule="auto"/>
        <w:rPr>
          <w:sz w:val="20"/>
          <w:szCs w:val="20"/>
          <w:color w:val="auto"/>
        </w:rPr>
      </w:pPr>
      <w:r>
        <w:rPr>
          <w:rFonts w:ascii="Arial" w:cs="Arial" w:eastAsia="Arial" w:hAnsi="Arial"/>
          <w:sz w:val="17"/>
          <w:szCs w:val="17"/>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111" w:lineRule="exact"/>
        <w:rPr>
          <w:sz w:val="20"/>
          <w:szCs w:val="20"/>
          <w:color w:val="auto"/>
        </w:rPr>
      </w:pPr>
    </w:p>
    <w:p>
      <w:pPr>
        <w:ind w:right="200" w:firstLine="374"/>
        <w:spacing w:after="0" w:line="289" w:lineRule="auto"/>
        <w:rPr>
          <w:sz w:val="20"/>
          <w:szCs w:val="20"/>
          <w:color w:val="auto"/>
        </w:rPr>
      </w:pPr>
      <w:r>
        <w:rPr>
          <w:rFonts w:ascii="Arial" w:cs="Arial" w:eastAsia="Arial" w:hAnsi="Arial"/>
          <w:sz w:val="16"/>
          <w:szCs w:val="16"/>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8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62" w:lineRule="exact"/>
        <w:rPr>
          <w:sz w:val="20"/>
          <w:szCs w:val="20"/>
          <w:color w:val="auto"/>
        </w:rPr>
      </w:pPr>
    </w:p>
    <w:p>
      <w:pPr>
        <w:ind w:firstLine="374"/>
        <w:spacing w:after="0" w:line="272" w:lineRule="auto"/>
        <w:rPr>
          <w:sz w:val="20"/>
          <w:szCs w:val="20"/>
          <w:color w:val="auto"/>
        </w:rPr>
      </w:pPr>
      <w:r>
        <w:rPr>
          <w:rFonts w:ascii="Arial" w:cs="Arial" w:eastAsia="Arial" w:hAnsi="Arial"/>
          <w:sz w:val="16"/>
          <w:szCs w:val="16"/>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since the start of the COVID-19 pandemic and resultant supply chain constraints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particularly in Europe and Asia, related to the COVID-19 pandemic, and COVID related shutdowns again in China and the more recently the military conflict in Ukraine,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We have deferred the introduction of our lower cost-to-manufacture LDD to the market until the second half of 2023, as it was less difficult to procure components and subcomponents for our existing LDD than the lower cost-to-manufacture LDD. Additionally, on June 30, 2022, we received notification from the Food and Drug Administration (“FDA”) that additional information will be required for the approval of our lower-cost-to-manufacture LDD. We responded to the FDA in the third quarter of 2022 and we expect we can obtain FDA approval, however we are also procuring material for our current LDD to mitigate any delay in the FDA’s approval, allowing us to sell both LDDs, which have the same functionality. Our management’s expectation is that the Company’s gross margin will be impacted by its decision to continue to produce the current LDD, which is more expensive to produce than the lower cost LDD, but it is necessary in order to mitigate potential supply chain issues and delay in FDA approval of the lower cost-to-manufacture LDD.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0" w:name="page91"/>
    <w:bookmarkEnd w:id="90"/>
    <w:p>
      <w:pPr>
        <w:ind w:right="100"/>
        <w:spacing w:after="0" w:line="341" w:lineRule="auto"/>
        <w:rPr>
          <w:sz w:val="20"/>
          <w:szCs w:val="20"/>
          <w:color w:val="auto"/>
        </w:rPr>
      </w:pPr>
      <w:r>
        <w:rPr>
          <w:rFonts w:ascii="Arial" w:cs="Arial" w:eastAsia="Arial" w:hAnsi="Arial"/>
          <w:sz w:val="16"/>
          <w:szCs w:val="16"/>
          <w:color w:val="auto"/>
        </w:rPr>
        <w:t>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103" w:lineRule="exact"/>
        <w:rPr>
          <w:sz w:val="20"/>
          <w:szCs w:val="20"/>
          <w:color w:val="auto"/>
        </w:rPr>
      </w:pPr>
    </w:p>
    <w:p>
      <w:pPr>
        <w:ind w:right="20" w:firstLine="374"/>
        <w:spacing w:after="0" w:line="259" w:lineRule="auto"/>
        <w:rPr>
          <w:sz w:val="20"/>
          <w:szCs w:val="20"/>
          <w:color w:val="auto"/>
        </w:rPr>
      </w:pPr>
      <w:r>
        <w:rPr>
          <w:rFonts w:ascii="Arial" w:cs="Arial" w:eastAsia="Arial" w:hAnsi="Arial"/>
          <w:sz w:val="17"/>
          <w:szCs w:val="17"/>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3" w:lineRule="exact"/>
        <w:rPr>
          <w:sz w:val="20"/>
          <w:szCs w:val="20"/>
          <w:color w:val="auto"/>
        </w:rPr>
      </w:pPr>
    </w:p>
    <w:p>
      <w:pPr>
        <w:ind w:firstLine="374"/>
        <w:spacing w:after="0" w:line="260" w:lineRule="auto"/>
        <w:rPr>
          <w:sz w:val="20"/>
          <w:szCs w:val="20"/>
          <w:color w:val="auto"/>
        </w:rPr>
      </w:pPr>
      <w:r>
        <w:rPr>
          <w:rFonts w:ascii="Arial" w:cs="Arial" w:eastAsia="Arial" w:hAnsi="Arial"/>
          <w:sz w:val="17"/>
          <w:szCs w:val="17"/>
          <w:color w:val="auto"/>
        </w:rPr>
        <w:t>The trading price of our common stock has been and may continue to be highly volatile and could be subject to wide fluctuations in response to various factors, some of which we cannot control. From the date of our initial public offering through November 1, 2022, our common stock has traded at a low of $8.80 and a high of $19.67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Quarterly Report on Form 10-Q, these factors include:</w:t>
      </w:r>
    </w:p>
    <w:p>
      <w:pPr>
        <w:spacing w:after="0" w:line="105" w:lineRule="exact"/>
        <w:rPr>
          <w:sz w:val="20"/>
          <w:szCs w:val="20"/>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current and future products or those of our competitors;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3" w:lineRule="exact"/>
        <w:rPr>
          <w:rFonts w:ascii="Arial" w:cs="Arial" w:eastAsia="Arial" w:hAnsi="Arial"/>
          <w:sz w:val="18"/>
          <w:szCs w:val="18"/>
          <w:color w:val="auto"/>
        </w:rPr>
      </w:pPr>
    </w:p>
    <w:p>
      <w:pPr>
        <w:ind w:left="1140" w:right="620" w:hanging="383"/>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1" w:lineRule="exact"/>
        <w:rPr>
          <w:rFonts w:ascii="Arial" w:cs="Arial" w:eastAsia="Arial" w:hAnsi="Arial"/>
          <w:sz w:val="17"/>
          <w:szCs w:val="17"/>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medical device sector;</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1" w:name="page92"/>
    <w:bookmarkEnd w:id="91"/>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43" w:lineRule="exact"/>
        <w:rPr>
          <w:rFonts w:ascii="Arial" w:cs="Arial" w:eastAsia="Arial" w:hAnsi="Arial"/>
          <w:sz w:val="18"/>
          <w:szCs w:val="18"/>
          <w:color w:val="auto"/>
        </w:rPr>
      </w:pPr>
    </w:p>
    <w:p>
      <w:pPr>
        <w:ind w:left="1140" w:right="20" w:hanging="383"/>
        <w:spacing w:after="0" w:line="277"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global and national events, such as the conflicts in Eastern Europe, and general economic downturns; and</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44" w:lineRule="exact"/>
        <w:rPr>
          <w:sz w:val="20"/>
          <w:szCs w:val="20"/>
          <w:color w:val="auto"/>
        </w:rPr>
      </w:pPr>
    </w:p>
    <w:p>
      <w:pPr>
        <w:ind w:firstLine="374"/>
        <w:spacing w:after="0" w:line="26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Part II, Item 1A, “Risk Factors,” could have a dramatic and adverse impact on the market price of our common stock.</w:t>
      </w:r>
    </w:p>
    <w:p>
      <w:pPr>
        <w:spacing w:after="0" w:line="103" w:lineRule="exact"/>
        <w:rPr>
          <w:sz w:val="20"/>
          <w:szCs w:val="20"/>
          <w:color w:val="auto"/>
        </w:rPr>
      </w:pPr>
    </w:p>
    <w:p>
      <w:pPr>
        <w:ind w:right="40" w:firstLine="374"/>
        <w:spacing w:after="0" w:line="247" w:lineRule="auto"/>
        <w:rPr>
          <w:sz w:val="20"/>
          <w:szCs w:val="20"/>
          <w:color w:val="auto"/>
        </w:rPr>
      </w:pPr>
      <w:r>
        <w:rPr>
          <w:rFonts w:ascii="Arial" w:cs="Arial" w:eastAsia="Arial" w:hAnsi="Arial"/>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48" w:lineRule="exact"/>
        <w:rPr>
          <w:sz w:val="20"/>
          <w:szCs w:val="20"/>
          <w:color w:val="auto"/>
        </w:rPr>
      </w:pPr>
    </w:p>
    <w:p>
      <w:pPr>
        <w:ind w:right="60" w:firstLine="374"/>
        <w:spacing w:after="0" w:line="245" w:lineRule="auto"/>
        <w:rPr>
          <w:sz w:val="20"/>
          <w:szCs w:val="20"/>
          <w:color w:val="auto"/>
        </w:rPr>
      </w:pPr>
      <w:r>
        <w:rPr>
          <w:rFonts w:ascii="Arial" w:cs="Arial" w:eastAsia="Arial" w:hAnsi="Arial"/>
          <w:sz w:val="18"/>
          <w:szCs w:val="18"/>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48" w:lineRule="exact"/>
        <w:rPr>
          <w:sz w:val="20"/>
          <w:szCs w:val="20"/>
          <w:color w:val="auto"/>
        </w:rPr>
      </w:pPr>
    </w:p>
    <w:p>
      <w:pPr>
        <w:ind w:right="240" w:firstLine="374"/>
        <w:spacing w:after="0" w:line="279" w:lineRule="auto"/>
        <w:rPr>
          <w:sz w:val="20"/>
          <w:szCs w:val="20"/>
          <w:color w:val="auto"/>
        </w:rPr>
      </w:pPr>
      <w:r>
        <w:rPr>
          <w:rFonts w:ascii="Arial" w:cs="Arial" w:eastAsia="Arial" w:hAnsi="Arial"/>
          <w:sz w:val="16"/>
          <w:szCs w:val="16"/>
          <w:color w:val="auto"/>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3" w:lineRule="exact"/>
        <w:rPr>
          <w:sz w:val="20"/>
          <w:szCs w:val="20"/>
          <w:color w:val="auto"/>
        </w:rPr>
      </w:pPr>
    </w:p>
    <w:p>
      <w:pPr>
        <w:ind w:right="60" w:firstLine="374"/>
        <w:spacing w:after="0" w:line="290"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80"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As of September 30, 2022, we had 27,719,132 shares of common stock issued and outstanding. All of these shares are available for sale in the public market, subject to limitations under Rule 144 with respect to affiliates of our company.</w:t>
      </w:r>
    </w:p>
    <w:p>
      <w:pPr>
        <w:spacing w:after="0" w:line="89" w:lineRule="exact"/>
        <w:rPr>
          <w:sz w:val="20"/>
          <w:szCs w:val="20"/>
          <w:color w:val="auto"/>
        </w:rPr>
      </w:pPr>
    </w:p>
    <w:p>
      <w:pPr>
        <w:ind w:right="20" w:firstLine="374"/>
        <w:spacing w:after="0" w:line="261" w:lineRule="auto"/>
        <w:rPr>
          <w:sz w:val="20"/>
          <w:szCs w:val="20"/>
          <w:color w:val="auto"/>
        </w:rPr>
      </w:pPr>
      <w:r>
        <w:rPr>
          <w:rFonts w:ascii="Arial" w:cs="Arial" w:eastAsia="Arial" w:hAnsi="Arial"/>
          <w:sz w:val="18"/>
          <w:szCs w:val="18"/>
          <w:color w:val="auto"/>
        </w:rPr>
        <w:t>On July 30, 2021, we filed a registration statement on Form S-8 under the Securities Act registering the issuance of 7,473,839 shares of common stock subject to options or other equity awards issued or reserved for future issuance under our equity incentive plans.</w:t>
      </w:r>
    </w:p>
    <w:p>
      <w:pPr>
        <w:spacing w:after="0" w:line="103" w:lineRule="exact"/>
        <w:rPr>
          <w:sz w:val="20"/>
          <w:szCs w:val="20"/>
          <w:color w:val="auto"/>
        </w:rPr>
      </w:pPr>
    </w:p>
    <w:p>
      <w:pPr>
        <w:ind w:right="500" w:firstLine="374"/>
        <w:spacing w:after="0" w:line="261" w:lineRule="auto"/>
        <w:rPr>
          <w:sz w:val="20"/>
          <w:szCs w:val="20"/>
          <w:color w:val="auto"/>
        </w:rPr>
      </w:pPr>
      <w:r>
        <w:rPr>
          <w:rFonts w:ascii="Arial" w:cs="Arial" w:eastAsia="Arial" w:hAnsi="Arial"/>
          <w:sz w:val="18"/>
          <w:szCs w:val="18"/>
          <w:color w:val="auto"/>
        </w:rPr>
        <w:t>On March 8, 2022, we filed an additional registration statement on Form S-8 under the Securities Act registering the offer and sale of 1,094,670 additional shares of common stock under the 2021 Plan and 273,667</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2" w:name="page93"/>
    <w:bookmarkEnd w:id="92"/>
    <w:p>
      <w:pPr>
        <w:ind w:right="40"/>
        <w:spacing w:after="0" w:line="263" w:lineRule="auto"/>
        <w:rPr>
          <w:sz w:val="20"/>
          <w:szCs w:val="20"/>
          <w:color w:val="auto"/>
        </w:rPr>
      </w:pPr>
      <w:r>
        <w:rPr>
          <w:rFonts w:ascii="Arial" w:cs="Arial" w:eastAsia="Arial" w:hAnsi="Arial"/>
          <w:sz w:val="17"/>
          <w:szCs w:val="17"/>
          <w:color w:val="auto"/>
        </w:rPr>
        <w:t>additional shares of common stock under the 2021 Employee Stock Purchase Plan. Shares registered under the registration statement on Form S-8 can be freely sold in the public market upon issuance, subject to volume limitations applicable to affiliates. The number of shares registered represent the annual increase commencing on the first day of each fiscal year beginning with the 2022 fiscal year calculated as 4% of the outstanding shares of our common stock on the last day of our immediately preceding fiscal year under our 2021 Equity Incentive Plan and 1% of the outstanding shares of our common stock as of the last day of the immediately preceding fiscal year under our 2021 Employee Stock Purchase Plan. We anticipate filing additional Form S-8 registration statements for future annual increases under our equity plans.</w:t>
      </w:r>
    </w:p>
    <w:p>
      <w:pPr>
        <w:spacing w:after="0" w:line="104" w:lineRule="exact"/>
        <w:rPr>
          <w:sz w:val="20"/>
          <w:szCs w:val="20"/>
          <w:color w:val="auto"/>
        </w:rPr>
      </w:pPr>
    </w:p>
    <w:p>
      <w:pPr>
        <w:ind w:right="100" w:firstLine="374"/>
        <w:spacing w:after="0" w:line="243" w:lineRule="auto"/>
        <w:rPr>
          <w:sz w:val="20"/>
          <w:szCs w:val="20"/>
          <w:color w:val="auto"/>
        </w:rPr>
      </w:pPr>
      <w:r>
        <w:rPr>
          <w:rFonts w:ascii="Arial" w:cs="Arial" w:eastAsia="Arial" w:hAnsi="Arial"/>
          <w:sz w:val="18"/>
          <w:szCs w:val="18"/>
          <w:color w:val="auto"/>
        </w:rPr>
        <w:t>On August 8, 2022, we filed a $200 million shelf registration statement on Form S-3 which became effective August 12, 2022. The shelf registration statement is effective for three years and permits us to sell, from time to time, up to $200 million in aggregate value of our common stock, preferred stock, debt securities, warrants, and/or units. The shelf registration statement is intended to provide us with flexibility to access additional capital when market conditions are appropriate. Included in the $200 million shelf registration on Form S-3, we also filed a prospectus supplement to sell up to an aggregate value of $50 million dollars of our common stock through an “at-the-market” (“ATM”) offering. The shares will be offered through BofA Securities as sales agent.</w:t>
      </w:r>
    </w:p>
    <w:p>
      <w:pPr>
        <w:spacing w:after="0" w:line="118" w:lineRule="exact"/>
        <w:rPr>
          <w:sz w:val="20"/>
          <w:szCs w:val="20"/>
          <w:color w:val="auto"/>
        </w:rPr>
      </w:pPr>
    </w:p>
    <w:p>
      <w:pPr>
        <w:ind w:right="460" w:firstLine="374"/>
        <w:spacing w:after="0" w:line="255"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3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89"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As of September 30, 2022, our executive officers, directors, holders of 5% or more of our common stock and their respective affiliates beneficially owned approximately 50% of our voting common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200" w:firstLine="374"/>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09" w:lineRule="exact"/>
        <w:rPr>
          <w:sz w:val="20"/>
          <w:szCs w:val="20"/>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43" w:lineRule="exact"/>
        <w:rPr>
          <w:rFonts w:ascii="Arial" w:cs="Arial" w:eastAsia="Arial" w:hAnsi="Arial"/>
          <w:sz w:val="18"/>
          <w:szCs w:val="18"/>
          <w:color w:val="auto"/>
        </w:rPr>
      </w:pPr>
    </w:p>
    <w:p>
      <w:pPr>
        <w:ind w:left="1140" w:right="340" w:hanging="383"/>
        <w:spacing w:after="0" w:line="255"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8"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30" w:lineRule="exact"/>
        <w:rPr>
          <w:rFonts w:ascii="Arial" w:cs="Arial" w:eastAsia="Arial" w:hAnsi="Arial"/>
          <w:sz w:val="18"/>
          <w:szCs w:val="18"/>
          <w:color w:val="auto"/>
        </w:rPr>
      </w:pPr>
    </w:p>
    <w:p>
      <w:pPr>
        <w:ind w:left="1140" w:right="140" w:hanging="383"/>
        <w:spacing w:after="0" w:line="277"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93" w:name="page94"/>
    <w:bookmarkEnd w:id="93"/>
    <w:p>
      <w:pPr>
        <w:jc w:val="both"/>
        <w:ind w:right="640" w:firstLine="374"/>
        <w:spacing w:after="0" w:line="341"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44" w:lineRule="exact"/>
        <w:rPr>
          <w:sz w:val="20"/>
          <w:szCs w:val="20"/>
          <w:color w:val="auto"/>
        </w:rPr>
      </w:pPr>
    </w:p>
    <w:p>
      <w:pPr>
        <w:ind w:right="160" w:firstLine="374"/>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(i.e., December 31, 2026).</w:t>
      </w:r>
    </w:p>
    <w:p>
      <w:pPr>
        <w:spacing w:after="0" w:line="115" w:lineRule="exact"/>
        <w:rPr>
          <w:sz w:val="20"/>
          <w:szCs w:val="20"/>
          <w:color w:val="auto"/>
        </w:rPr>
      </w:pPr>
    </w:p>
    <w:p>
      <w:pPr>
        <w:ind w:right="100" w:firstLine="374"/>
        <w:spacing w:after="0" w:line="263"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02" w:lineRule="exact"/>
        <w:rPr>
          <w:sz w:val="20"/>
          <w:szCs w:val="20"/>
          <w:color w:val="auto"/>
        </w:rPr>
      </w:pPr>
    </w:p>
    <w:p>
      <w:pPr>
        <w:ind w:right="120" w:firstLine="374"/>
        <w:spacing w:after="0" w:line="243"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68"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As a public company we incur significant legal, accounting and other expenses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11" w:lineRule="exact"/>
        <w:rPr>
          <w:sz w:val="20"/>
          <w:szCs w:val="20"/>
          <w:color w:val="auto"/>
        </w:rPr>
      </w:pPr>
    </w:p>
    <w:p>
      <w:pPr>
        <w:ind w:right="20" w:firstLine="374"/>
        <w:spacing w:after="0" w:line="275" w:lineRule="auto"/>
        <w:rPr>
          <w:sz w:val="20"/>
          <w:szCs w:val="20"/>
          <w:color w:val="auto"/>
        </w:rPr>
      </w:pPr>
      <w:r>
        <w:rPr>
          <w:rFonts w:ascii="Arial" w:cs="Arial" w:eastAsia="Arial" w:hAnsi="Arial"/>
          <w:sz w:val="16"/>
          <w:szCs w:val="16"/>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becoming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if we are an accelerated filer or large accelerated filer.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4" w:name="page95"/>
    <w:bookmarkEnd w:id="94"/>
    <w:p>
      <w:pPr>
        <w:ind w:right="20" w:firstLine="374"/>
        <w:spacing w:after="0" w:line="244"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8" w:lineRule="exact"/>
        <w:rPr>
          <w:sz w:val="20"/>
          <w:szCs w:val="20"/>
          <w:color w:val="auto"/>
        </w:rPr>
      </w:pPr>
    </w:p>
    <w:p>
      <w:pPr>
        <w:ind w:right="40" w:firstLine="374"/>
        <w:spacing w:after="0" w:line="24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3"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0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76" w:lineRule="exact"/>
        <w:rPr>
          <w:sz w:val="20"/>
          <w:szCs w:val="20"/>
          <w:color w:val="auto"/>
        </w:rPr>
      </w:pPr>
    </w:p>
    <w:p>
      <w:pPr>
        <w:ind w:right="60" w:firstLine="374"/>
        <w:spacing w:after="0" w:line="247"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16" w:lineRule="exact"/>
        <w:rPr>
          <w:sz w:val="20"/>
          <w:szCs w:val="20"/>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43"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55" w:lineRule="exact"/>
        <w:rPr>
          <w:rFonts w:ascii="Arial" w:cs="Arial" w:eastAsia="Arial" w:hAnsi="Arial"/>
          <w:sz w:val="17"/>
          <w:szCs w:val="17"/>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43" w:lineRule="exact"/>
        <w:rPr>
          <w:rFonts w:ascii="Arial" w:cs="Arial" w:eastAsia="Arial" w:hAnsi="Arial"/>
          <w:sz w:val="18"/>
          <w:szCs w:val="18"/>
          <w:color w:val="auto"/>
        </w:rPr>
      </w:pPr>
    </w:p>
    <w:p>
      <w:pPr>
        <w:ind w:left="1140" w:right="740" w:hanging="383"/>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88"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44" w:lineRule="exact"/>
        <w:rPr>
          <w:sz w:val="20"/>
          <w:szCs w:val="20"/>
          <w:color w:val="auto"/>
        </w:rPr>
      </w:pPr>
    </w:p>
    <w:p>
      <w:pPr>
        <w:ind w:right="140" w:firstLine="374"/>
        <w:spacing w:after="0" w:line="243"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5" w:name="page96"/>
    <w:bookmarkEnd w:id="95"/>
    <w:p>
      <w:pPr>
        <w:jc w:val="both"/>
        <w:ind w:right="140" w:firstLine="374"/>
        <w:spacing w:after="0" w:line="25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0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right="220" w:firstLine="374"/>
        <w:spacing w:after="0" w:line="261"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is the exclusive forum for:</w:t>
      </w:r>
    </w:p>
    <w:p>
      <w:pPr>
        <w:spacing w:after="0" w:line="103" w:lineRule="exact"/>
        <w:rPr>
          <w:sz w:val="20"/>
          <w:szCs w:val="20"/>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43" w:lineRule="exact"/>
        <w:rPr>
          <w:rFonts w:ascii="Arial" w:cs="Arial" w:eastAsia="Arial" w:hAnsi="Arial"/>
          <w:sz w:val="18"/>
          <w:szCs w:val="18"/>
          <w:color w:val="auto"/>
        </w:rPr>
      </w:pPr>
    </w:p>
    <w:p>
      <w:pPr>
        <w:ind w:left="1140" w:right="160" w:hanging="383"/>
        <w:spacing w:after="0" w:line="261"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02"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44" w:lineRule="exact"/>
        <w:rPr>
          <w:sz w:val="20"/>
          <w:szCs w:val="20"/>
          <w:color w:val="auto"/>
        </w:rPr>
      </w:pPr>
    </w:p>
    <w:p>
      <w:pPr>
        <w:ind w:right="20" w:firstLine="374"/>
        <w:spacing w:after="0" w:line="263" w:lineRule="auto"/>
        <w:rPr>
          <w:sz w:val="20"/>
          <w:szCs w:val="20"/>
          <w:color w:val="auto"/>
        </w:rPr>
      </w:pPr>
      <w:r>
        <w:rPr>
          <w:rFonts w:ascii="Arial" w:cs="Arial" w:eastAsia="Arial" w:hAnsi="Arial"/>
          <w:sz w:val="17"/>
          <w:szCs w:val="17"/>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102" w:lineRule="exact"/>
        <w:rPr>
          <w:sz w:val="20"/>
          <w:szCs w:val="20"/>
          <w:color w:val="auto"/>
        </w:rPr>
      </w:pPr>
    </w:p>
    <w:p>
      <w:pPr>
        <w:ind w:right="60" w:firstLine="374"/>
        <w:spacing w:after="0" w:line="276" w:lineRule="auto"/>
        <w:rPr>
          <w:sz w:val="20"/>
          <w:szCs w:val="20"/>
          <w:color w:val="auto"/>
        </w:rPr>
      </w:pPr>
      <w:r>
        <w:rPr>
          <w:rFonts w:ascii="Arial" w:cs="Arial" w:eastAsia="Arial" w:hAnsi="Arial"/>
          <w:sz w:val="16"/>
          <w:szCs w:val="16"/>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96" w:lineRule="exact"/>
        <w:rPr>
          <w:sz w:val="20"/>
          <w:szCs w:val="20"/>
          <w:color w:val="auto"/>
        </w:rPr>
      </w:pPr>
    </w:p>
    <w:p>
      <w:pPr>
        <w:ind w:right="60" w:firstLine="374"/>
        <w:spacing w:after="0" w:line="261" w:lineRule="auto"/>
        <w:rPr>
          <w:sz w:val="20"/>
          <w:szCs w:val="20"/>
          <w:color w:val="auto"/>
        </w:rPr>
      </w:pPr>
      <w:r>
        <w:rPr>
          <w:rFonts w:ascii="Arial" w:cs="Arial" w:eastAsia="Arial" w:hAnsi="Arial"/>
          <w:sz w:val="18"/>
          <w:szCs w:val="18"/>
          <w:color w:val="auto"/>
        </w:rPr>
        <w:t>This Delaware forum provision does not apply to actions arising under the Securities Exchange Act of 1934 because the federal courts have exclusive jurisdiction over such claims.</w:t>
      </w:r>
    </w:p>
    <w:p>
      <w:pPr>
        <w:spacing w:after="0" w:line="103"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3" w:lineRule="exact"/>
        <w:rPr>
          <w:sz w:val="20"/>
          <w:szCs w:val="20"/>
          <w:color w:val="auto"/>
        </w:rPr>
      </w:pPr>
    </w:p>
    <w:p>
      <w:pPr>
        <w:ind w:firstLine="374"/>
        <w:spacing w:after="0" w:line="260" w:lineRule="auto"/>
        <w:rPr>
          <w:sz w:val="20"/>
          <w:szCs w:val="20"/>
          <w:color w:val="auto"/>
        </w:rPr>
      </w:pPr>
      <w:r>
        <w:rPr>
          <w:rFonts w:ascii="Arial" w:cs="Arial" w:eastAsia="Arial" w:hAnsi="Arial"/>
          <w:sz w:val="17"/>
          <w:szCs w:val="17"/>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i w:val="1"/>
          <w:iCs w:val="1"/>
          <w:color w:val="auto"/>
        </w:rPr>
        <w:t>Our Board of Directors are authorized to issue and designate shares of our preferred stock in additional series without stockholder approval.</w:t>
      </w:r>
    </w:p>
    <w:p>
      <w:pPr>
        <w:spacing w:after="0" w:line="140" w:lineRule="exact"/>
        <w:rPr>
          <w:sz w:val="20"/>
          <w:szCs w:val="20"/>
          <w:color w:val="auto"/>
        </w:rPr>
      </w:pPr>
    </w:p>
    <w:p>
      <w:pPr>
        <w:ind w:firstLine="374"/>
        <w:spacing w:after="0" w:line="283" w:lineRule="auto"/>
        <w:rPr>
          <w:sz w:val="20"/>
          <w:szCs w:val="20"/>
          <w:color w:val="auto"/>
        </w:rPr>
      </w:pPr>
      <w:r>
        <w:rPr>
          <w:rFonts w:ascii="Arial" w:cs="Arial" w:eastAsia="Arial" w:hAnsi="Arial"/>
          <w:sz w:val="16"/>
          <w:szCs w:val="16"/>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8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20" w:firstLine="374"/>
        <w:spacing w:after="0" w:line="259" w:lineRule="auto"/>
        <w:rPr>
          <w:sz w:val="20"/>
          <w:szCs w:val="20"/>
          <w:color w:val="auto"/>
        </w:rPr>
      </w:pPr>
      <w:r>
        <w:rPr>
          <w:rFonts w:ascii="Arial" w:cs="Arial" w:eastAsia="Arial" w:hAnsi="Arial"/>
          <w:sz w:val="17"/>
          <w:szCs w:val="17"/>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will become effective beginning in fiscal year 2024. We do not currently expect that the IRA will have a material impact on our income tax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03" w:lineRule="exact"/>
        <w:rPr>
          <w:sz w:val="20"/>
          <w:szCs w:val="20"/>
          <w:color w:val="auto"/>
        </w:rPr>
      </w:pPr>
    </w:p>
    <w:p>
      <w:pPr>
        <w:ind w:firstLine="374"/>
        <w:spacing w:after="0" w:line="259" w:lineRule="auto"/>
        <w:rPr>
          <w:sz w:val="20"/>
          <w:szCs w:val="20"/>
          <w:color w:val="auto"/>
        </w:rPr>
      </w:pPr>
      <w:r>
        <w:rPr>
          <w:rFonts w:ascii="Arial" w:cs="Arial" w:eastAsia="Arial" w:hAnsi="Arial"/>
          <w:sz w:val="17"/>
          <w:szCs w:val="17"/>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Many of the other medical device and biotechnology companies that we compete against for qualified personnel have greater financial and other</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or security breaches or incidents.</w:t>
      </w:r>
    </w:p>
    <w:p>
      <w:pPr>
        <w:spacing w:after="0" w:line="103"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Our computer systems, as well as those of our contractors and consultants, are vulnerable to damage from computer viruses, ransomware, and other malicious code, unauthorized access, natural disasters (including</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7" w:right="379" w:bottom="1440" w:gutter="0" w:footer="0" w:header="0"/>
        </w:sectPr>
      </w:pPr>
    </w:p>
    <w:bookmarkStart w:id="97" w:name="page98"/>
    <w:bookmarkEnd w:id="97"/>
    <w:p>
      <w:pPr>
        <w:ind w:right="60"/>
        <w:spacing w:after="0" w:line="263" w:lineRule="auto"/>
        <w:rPr>
          <w:sz w:val="20"/>
          <w:szCs w:val="20"/>
          <w:color w:val="auto"/>
        </w:rPr>
      </w:pPr>
      <w:r>
        <w:rPr>
          <w:rFonts w:ascii="Arial" w:cs="Arial" w:eastAsia="Arial" w:hAnsi="Arial"/>
          <w:sz w:val="17"/>
          <w:szCs w:val="17"/>
          <w:color w:val="auto"/>
        </w:rPr>
        <w:t>hurricanes), terrorism, war and telecommunication and electrical failures. If such an event were to occur and cause interruptions in our operations, it could result in a material disruption of the commercialization of our RxSight system and our future products. For example, the loss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a loss of or damage to our data or applications, or inappropriate disclosure of personal, confidential or proprietary information, could cause us to incur liability and cause the commercialization of our RxSight system and the further development of our current and future products to be delayed.</w:t>
      </w:r>
    </w:p>
    <w:p>
      <w:pPr>
        <w:spacing w:after="0" w:line="104" w:lineRule="exact"/>
        <w:rPr>
          <w:sz w:val="20"/>
          <w:szCs w:val="20"/>
          <w:color w:val="auto"/>
        </w:rPr>
      </w:pPr>
    </w:p>
    <w:p>
      <w:pPr>
        <w:ind w:right="20" w:firstLine="374"/>
        <w:spacing w:after="0" w:line="258" w:lineRule="auto"/>
        <w:rPr>
          <w:sz w:val="20"/>
          <w:szCs w:val="20"/>
          <w:color w:val="auto"/>
        </w:rPr>
      </w:pPr>
      <w:r>
        <w:rPr>
          <w:rFonts w:ascii="Arial" w:cs="Arial" w:eastAsia="Arial" w:hAnsi="Arial"/>
          <w:sz w:val="17"/>
          <w:szCs w:val="17"/>
          <w:color w:val="auto"/>
        </w:rPr>
        <w:t>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such material security breach to date, any security breach or security incident could compromise our networks and the information stored there could be accessed, publicly disclosed, lost, stolen, or otherwise processed without authorization. Any such actual or perceived access, disclosure or other security breach or incident, loss, or unauthorized processing of information (whether affecting us or one of our third-party service providers) could result in legal claims and proceedings, regulatory investigations, and other proceedings liability under laws that protect the privacy of personal information, significant regulatory penalties or other fines,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110" w:lineRule="exact"/>
        <w:rPr>
          <w:sz w:val="20"/>
          <w:szCs w:val="20"/>
          <w:color w:val="auto"/>
        </w:rPr>
      </w:pPr>
    </w:p>
    <w:p>
      <w:pPr>
        <w:ind w:right="40" w:firstLine="374"/>
        <w:spacing w:after="0" w:line="274" w:lineRule="auto"/>
        <w:rPr>
          <w:sz w:val="20"/>
          <w:szCs w:val="20"/>
          <w:color w:val="auto"/>
        </w:rPr>
      </w:pPr>
      <w:r>
        <w:rPr>
          <w:rFonts w:ascii="Arial" w:cs="Arial" w:eastAsia="Arial" w:hAnsi="Arial"/>
          <w:sz w:val="16"/>
          <w:szCs w:val="16"/>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ransomware, malware or other malicious code),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or incident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incident, or compromise. There is no assurance that any security procedures or controls that we or our third-party providers have implemented will be sufficient to prevent data-security related incidents from occurring.</w:t>
      </w:r>
    </w:p>
    <w:p>
      <w:pPr>
        <w:spacing w:after="0" w:line="97" w:lineRule="exact"/>
        <w:rPr>
          <w:sz w:val="20"/>
          <w:szCs w:val="20"/>
          <w:color w:val="auto"/>
        </w:rPr>
      </w:pPr>
    </w:p>
    <w:p>
      <w:pPr>
        <w:ind w:right="80" w:firstLine="374"/>
        <w:spacing w:after="0" w:line="261" w:lineRule="auto"/>
        <w:rPr>
          <w:sz w:val="20"/>
          <w:szCs w:val="20"/>
          <w:color w:val="auto"/>
        </w:rPr>
      </w:pPr>
      <w:r>
        <w:rPr>
          <w:rFonts w:ascii="Arial" w:cs="Arial" w:eastAsia="Arial" w:hAnsi="Arial"/>
          <w:sz w:val="17"/>
          <w:szCs w:val="17"/>
          <w:color w:val="auto"/>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adversely affect our business.</w:t>
      </w:r>
    </w:p>
    <w:p>
      <w:pPr>
        <w:spacing w:after="0" w:line="103"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Adverse worldwide economic conditions, including those related to the COVID -19 pandemic, conflicts in Eastern Europe, and general economic downturns,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8" w:name="page99"/>
    <w:bookmarkEnd w:id="98"/>
    <w:p>
      <w:pPr>
        <w:ind w:right="360"/>
        <w:spacing w:after="0" w:line="277" w:lineRule="auto"/>
        <w:rPr>
          <w:sz w:val="20"/>
          <w:szCs w:val="20"/>
          <w:color w:val="auto"/>
        </w:rPr>
      </w:pPr>
      <w:r>
        <w:rPr>
          <w:rFonts w:ascii="Arial" w:cs="Arial" w:eastAsia="Arial" w:hAnsi="Arial"/>
          <w:sz w:val="18"/>
          <w:szCs w:val="18"/>
          <w:color w:val="auto"/>
        </w:rPr>
        <w:t>our suppliers’ ability to provide us with materials and components, which could have a material adverse effect on our business,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03" w:lineRule="exact"/>
        <w:rPr>
          <w:sz w:val="20"/>
          <w:szCs w:val="20"/>
          <w:color w:val="auto"/>
        </w:rPr>
      </w:pPr>
    </w:p>
    <w:p>
      <w:pPr>
        <w:ind w:firstLine="374"/>
        <w:spacing w:after="0" w:line="257"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40" w:firstLine="374"/>
        <w:spacing w:after="0" w:line="260"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0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62" w:lineRule="exact"/>
        <w:rPr>
          <w:sz w:val="20"/>
          <w:szCs w:val="20"/>
          <w:color w:val="auto"/>
        </w:rPr>
      </w:pPr>
    </w:p>
    <w:p>
      <w:pPr>
        <w:ind w:firstLine="374"/>
        <w:spacing w:after="0" w:line="276" w:lineRule="auto"/>
        <w:rPr>
          <w:sz w:val="20"/>
          <w:szCs w:val="20"/>
          <w:color w:val="auto"/>
        </w:rPr>
      </w:pPr>
      <w:r>
        <w:rPr>
          <w:rFonts w:ascii="Arial" w:cs="Arial" w:eastAsia="Arial" w:hAnsi="Arial"/>
          <w:sz w:val="16"/>
          <w:szCs w:val="16"/>
          <w:color w:val="auto"/>
        </w:rPr>
        <w:t>We seek to maintain sufficient levels of inventory in order to protect ourselves from supply interruptions, but due to the expansion of global lead times, particularly in Europe and Asia, related to the COVID-19 pandemic,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96" w:lineRule="exact"/>
        <w:rPr>
          <w:sz w:val="20"/>
          <w:szCs w:val="20"/>
          <w:color w:val="auto"/>
        </w:rPr>
      </w:pPr>
    </w:p>
    <w:p>
      <w:pPr>
        <w:ind w:right="40" w:firstLine="374"/>
        <w:spacing w:after="0" w:line="259" w:lineRule="auto"/>
        <w:rPr>
          <w:sz w:val="20"/>
          <w:szCs w:val="20"/>
          <w:color w:val="auto"/>
        </w:rPr>
      </w:pPr>
      <w:r>
        <w:rPr>
          <w:rFonts w:ascii="Arial" w:cs="Arial" w:eastAsia="Arial" w:hAnsi="Arial"/>
          <w:sz w:val="17"/>
          <w:szCs w:val="17"/>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99" w:name="page100"/>
    <w:bookmarkEnd w:id="99"/>
    <w:p>
      <w:pPr>
        <w:ind w:right="20"/>
        <w:spacing w:after="0" w:line="277" w:lineRule="auto"/>
        <w:rPr>
          <w:sz w:val="20"/>
          <w:szCs w:val="20"/>
          <w:color w:val="auto"/>
        </w:rPr>
      </w:pPr>
      <w:r>
        <w:rPr>
          <w:rFonts w:ascii="Arial" w:cs="Arial" w:eastAsia="Arial" w:hAnsi="Arial"/>
          <w:sz w:val="18"/>
          <w:szCs w:val="18"/>
          <w:color w:val="auto"/>
        </w:rPr>
        <w:t>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business, financial condition, results of operations and growth have been harmed by the effects of the COVID-19 pandemic and may continue to be harmed.</w:t>
      </w:r>
    </w:p>
    <w:p>
      <w:pPr>
        <w:spacing w:after="0" w:line="76" w:lineRule="exact"/>
        <w:rPr>
          <w:sz w:val="20"/>
          <w:szCs w:val="20"/>
          <w:color w:val="auto"/>
        </w:rPr>
      </w:pPr>
    </w:p>
    <w:p>
      <w:pPr>
        <w:ind w:firstLine="374"/>
        <w:spacing w:after="0" w:line="275" w:lineRule="auto"/>
        <w:rPr>
          <w:sz w:val="20"/>
          <w:szCs w:val="20"/>
          <w:color w:val="auto"/>
        </w:rPr>
      </w:pPr>
      <w:r>
        <w:rPr>
          <w:rFonts w:ascii="Arial" w:cs="Arial" w:eastAsia="Arial" w:hAnsi="Arial"/>
          <w:sz w:val="16"/>
          <w:szCs w:val="16"/>
          <w:color w:val="auto"/>
        </w:rPr>
        <w:t>We are subject to risks related to public health crises such as the global pandemic associated with COVID-19. The COVID-19 outbreak has negatively impacted and may continue to negatively impact our operations and revenues and overall financial condition by decreasing the number of our RxSight systems sold. The number of our RxSight systems sold, similar to other ophthalmic procedures, has decreased as health care organizations globally have prioritized the treatment of patients with COVID-19. For example, in the United States, governmental authorities have recommended, and in certain cases required, that elective, specialty and other procedures and appointments, including those related to cataract treatments,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and continue to interrupt the commercialization of our products while the pandemic continues. Further, once the pandemic subsides, we anticipate there will be a substantial backlog of patients seeking appointments with doctors and surgeries to be performed at ophthalmic practices and ambulatory surgery centers relating to a variety of medical conditions, and as a result, patients seeking to receive, or who have received, our LAL will have to navigate limited provider capacity. We believe this limited provider capacity could have an adverse effect on our sales following the end of the pandemic.</w:t>
      </w:r>
    </w:p>
    <w:p>
      <w:pPr>
        <w:spacing w:after="0" w:line="95" w:lineRule="exact"/>
        <w:rPr>
          <w:sz w:val="20"/>
          <w:szCs w:val="20"/>
          <w:color w:val="auto"/>
        </w:rPr>
      </w:pPr>
    </w:p>
    <w:p>
      <w:pPr>
        <w:ind w:right="80" w:firstLine="374"/>
        <w:spacing w:after="0" w:line="243" w:lineRule="auto"/>
        <w:rPr>
          <w:sz w:val="20"/>
          <w:szCs w:val="20"/>
          <w:color w:val="auto"/>
        </w:rPr>
      </w:pPr>
      <w:r>
        <w:rPr>
          <w:rFonts w:ascii="Arial" w:cs="Arial" w:eastAsia="Arial" w:hAnsi="Arial"/>
          <w:sz w:val="18"/>
          <w:szCs w:val="18"/>
          <w:color w:val="auto"/>
        </w:rPr>
        <w:t>As we continue to actively advance our clinical programs and discovery and research programs, we are in close contact with the third parties we engage with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issued in March 2020, updated subsequently, we and our contract research organizations have made certain adjustments to the operation of our clinical trials in an effort to ensure the monitoring and safety of patients and minimize risk to trial integrity during the pandemic and generally.</w:t>
      </w:r>
    </w:p>
    <w:p>
      <w:pPr>
        <w:spacing w:after="0" w:line="118" w:lineRule="exact"/>
        <w:rPr>
          <w:sz w:val="20"/>
          <w:szCs w:val="20"/>
          <w:color w:val="auto"/>
        </w:rPr>
      </w:pPr>
    </w:p>
    <w:p>
      <w:pPr>
        <w:ind w:right="140" w:firstLine="374"/>
        <w:spacing w:after="0" w:line="282" w:lineRule="auto"/>
        <w:rPr>
          <w:sz w:val="20"/>
          <w:szCs w:val="20"/>
          <w:color w:val="auto"/>
        </w:rPr>
      </w:pPr>
      <w:r>
        <w:rPr>
          <w:rFonts w:ascii="Arial" w:cs="Arial" w:eastAsia="Arial" w:hAnsi="Arial"/>
          <w:sz w:val="16"/>
          <w:szCs w:val="16"/>
          <w:color w:val="auto"/>
        </w:rPr>
        <w:t>Further, the expansion of global lead times related to the COVID-19 pandemic,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92" w:lineRule="exact"/>
        <w:rPr>
          <w:sz w:val="20"/>
          <w:szCs w:val="20"/>
          <w:color w:val="auto"/>
        </w:rPr>
      </w:pPr>
    </w:p>
    <w:p>
      <w:pPr>
        <w:ind w:right="40" w:firstLine="374"/>
        <w:spacing w:after="0" w:line="277" w:lineRule="auto"/>
        <w:rPr>
          <w:sz w:val="20"/>
          <w:szCs w:val="20"/>
          <w:color w:val="auto"/>
        </w:rPr>
      </w:pPr>
      <w:r>
        <w:rPr>
          <w:rFonts w:ascii="Arial" w:cs="Arial" w:eastAsia="Arial" w:hAnsi="Arial"/>
          <w:sz w:val="16"/>
          <w:szCs w:val="16"/>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new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RxSight systems sold after the pandemic has ended.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Recent Sales of Unregistered Securities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7" w:right="379" w:bottom="1440" w:gutter="0" w:footer="0" w:header="0"/>
        </w:sectPr>
      </w:pPr>
    </w:p>
    <w:bookmarkStart w:id="100" w:name="page101"/>
    <w:bookmarkEnd w:id="100"/>
    <w:p>
      <w:pPr>
        <w:ind w:left="380"/>
        <w:spacing w:after="0"/>
        <w:rPr>
          <w:sz w:val="20"/>
          <w:szCs w:val="20"/>
          <w:color w:val="auto"/>
        </w:rPr>
      </w:pPr>
      <w:r>
        <w:rPr>
          <w:rFonts w:ascii="Arial" w:cs="Arial" w:eastAsia="Arial" w:hAnsi="Arial"/>
          <w:sz w:val="18"/>
          <w:szCs w:val="18"/>
          <w:color w:val="auto"/>
        </w:rPr>
        <w:t>None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Proceeds from Registered Securities</w:t>
      </w:r>
    </w:p>
    <w:p>
      <w:pPr>
        <w:spacing w:after="0" w:line="144" w:lineRule="exact"/>
        <w:rPr>
          <w:sz w:val="20"/>
          <w:szCs w:val="20"/>
          <w:color w:val="auto"/>
        </w:rPr>
      </w:pPr>
    </w:p>
    <w:p>
      <w:pPr>
        <w:ind w:firstLine="374"/>
        <w:spacing w:after="0" w:line="300" w:lineRule="auto"/>
        <w:rPr>
          <w:sz w:val="20"/>
          <w:szCs w:val="20"/>
          <w:color w:val="auto"/>
        </w:rPr>
      </w:pPr>
      <w:r>
        <w:rPr>
          <w:rFonts w:ascii="Arial" w:cs="Arial" w:eastAsia="Arial" w:hAnsi="Arial"/>
          <w:sz w:val="18"/>
          <w:szCs w:val="18"/>
          <w:color w:val="auto"/>
        </w:rPr>
        <w:t>On August 3, 2021, we completed our IPO, with a subsequent partial exercise of the underwriter’s over-allotment option to purchase additional shares. We issued and sold an aggregate of 8,248,549 shares of common stock, par value $0.001 per share, at an offering price of $16.00 per share. We received aggregate net proceeds of approximately $119.6 million, after deducting underwriters' discounts and commissions of $9.2 million and offering expenses of $3.2 million.</w:t>
      </w:r>
    </w:p>
    <w:p>
      <w:pPr>
        <w:spacing w:after="0" w:line="71" w:lineRule="exact"/>
        <w:rPr>
          <w:sz w:val="20"/>
          <w:szCs w:val="20"/>
          <w:color w:val="auto"/>
        </w:rPr>
      </w:pPr>
    </w:p>
    <w:p>
      <w:pPr>
        <w:ind w:right="80" w:firstLine="374"/>
        <w:spacing w:after="0" w:line="295" w:lineRule="auto"/>
        <w:rPr>
          <w:sz w:val="20"/>
          <w:szCs w:val="20"/>
          <w:color w:val="auto"/>
        </w:rPr>
      </w:pPr>
      <w:r>
        <w:rPr>
          <w:rFonts w:ascii="Arial" w:cs="Arial" w:eastAsia="Arial" w:hAnsi="Arial"/>
          <w:sz w:val="18"/>
          <w:szCs w:val="18"/>
          <w:color w:val="auto"/>
        </w:rPr>
        <w:t>There has been no material change in the planned use of the IPO proceeds as described in our prospectus dated July 29, 2021, as filed with the SEC pursuant to Rule 424(b) under the Securities Act (File No. 333-257790). From the effective date of the IPO registration statement through September 30, 2022, we have used the net proceeds of the offering to expand our sales force, customer support and operations and increase our research and development activities.</w:t>
      </w:r>
    </w:p>
    <w:p>
      <w:pPr>
        <w:spacing w:after="0" w:line="317" w:lineRule="exact"/>
        <w:rPr>
          <w:sz w:val="20"/>
          <w:szCs w:val="20"/>
          <w:color w:val="auto"/>
        </w:rPr>
      </w:pPr>
    </w:p>
    <w:p>
      <w:pPr>
        <w:ind w:left="380" w:right="8200" w:hanging="372"/>
        <w:spacing w:after="0" w:line="402" w:lineRule="auto"/>
        <w:tabs>
          <w:tab w:leader="none" w:pos="25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Issuer Purchases of Equity Securities </w:t>
      </w:r>
      <w:r>
        <w:rPr>
          <w:rFonts w:ascii="Arial" w:cs="Arial" w:eastAsia="Arial" w:hAnsi="Arial"/>
          <w:sz w:val="18"/>
          <w:szCs w:val="18"/>
          <w:color w:val="auto"/>
        </w:rPr>
        <w:t>None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 unless otherwise stated.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gridSpan w:val="8"/>
          </w:tcPr>
          <w:p>
            <w:pPr>
              <w:jc w:val="right"/>
              <w:ind w:right="320"/>
              <w:spacing w:after="0"/>
              <w:rPr>
                <w:sz w:val="20"/>
                <w:szCs w:val="20"/>
                <w:color w:val="auto"/>
              </w:rPr>
            </w:pPr>
            <w:r>
              <w:rPr>
                <w:rFonts w:ascii="Arial" w:cs="Arial" w:eastAsia="Arial" w:hAnsi="Arial"/>
                <w:sz w:val="18"/>
                <w:szCs w:val="18"/>
                <w:b w:val="1"/>
                <w:bCs w:val="1"/>
                <w:color w:val="auto"/>
              </w:rPr>
              <w:t>EXHIBIT INDEX</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8"/>
                <w:szCs w:val="18"/>
                <w:b w:val="1"/>
                <w:bCs w:val="1"/>
                <w:color w:val="auto"/>
                <w:w w:val="99"/>
              </w:rPr>
              <w:t>Incorporated by Reference</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12"/>
          </w:tcPr>
          <w:p>
            <w:pPr>
              <w:spacing w:after="0"/>
              <w:rPr>
                <w:sz w:val="20"/>
                <w:szCs w:val="20"/>
                <w:color w:val="auto"/>
              </w:rPr>
            </w:pPr>
            <w:r>
              <w:rPr>
                <w:rFonts w:ascii="Arial" w:cs="Arial" w:eastAsia="Arial" w:hAnsi="Arial"/>
                <w:sz w:val="18"/>
                <w:szCs w:val="18"/>
                <w:b w:val="1"/>
                <w:bCs w:val="1"/>
                <w:color w:val="auto"/>
              </w:rPr>
              <w:t>Description</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Form</w:t>
            </w:r>
          </w:p>
        </w:tc>
        <w:tc>
          <w:tcPr>
            <w:tcW w:w="460" w:type="dxa"/>
            <w:vAlign w:val="bottom"/>
          </w:tcPr>
          <w:p>
            <w:pPr>
              <w:spacing w:after="0"/>
              <w:rPr>
                <w:sz w:val="21"/>
                <w:szCs w:val="21"/>
                <w:color w:val="auto"/>
              </w:rPr>
            </w:pPr>
          </w:p>
        </w:tc>
        <w:tc>
          <w:tcPr>
            <w:tcW w:w="15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2"/>
              </w:rPr>
              <w:t>File No.</w:t>
            </w:r>
          </w:p>
        </w:tc>
        <w:tc>
          <w:tcPr>
            <w:tcW w:w="10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Exhibit</w:t>
            </w:r>
          </w:p>
        </w:tc>
        <w:tc>
          <w:tcPr>
            <w:tcW w:w="134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rPr>
                <w:rFonts w:ascii="Arial" w:cs="Arial" w:eastAsia="Arial" w:hAnsi="Arial"/>
                <w:sz w:val="11"/>
                <w:szCs w:val="11"/>
                <w:color w:val="0000FF"/>
                <w:w w:val="72"/>
              </w:rPr>
            </w:pPr>
            <w:hyperlink r:id="rId364">
              <w:r>
                <w:rPr>
                  <w:rFonts w:ascii="Arial" w:cs="Arial" w:eastAsia="Arial" w:hAnsi="Arial"/>
                  <w:sz w:val="11"/>
                  <w:szCs w:val="11"/>
                  <w:color w:val="0000FF"/>
                  <w:w w:val="72"/>
                </w:rPr>
                <w:t>SM</w:t>
              </w:r>
            </w:hyperlink>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60" w:type="dxa"/>
            <w:vAlign w:val="bottom"/>
            <w:gridSpan w:val="3"/>
            <w:vMerge w:val="restart"/>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560" w:type="dxa"/>
            <w:vAlign w:val="bottom"/>
            <w:gridSpan w:val="2"/>
            <w:vMerge w:val="restart"/>
          </w:tcPr>
          <w:p>
            <w:pPr>
              <w:spacing w:after="0"/>
              <w:rPr>
                <w:rFonts w:ascii="Arial" w:cs="Arial" w:eastAsia="Arial" w:hAnsi="Arial"/>
                <w:sz w:val="18"/>
                <w:szCs w:val="18"/>
                <w:color w:val="0000FF"/>
                <w:w w:val="93"/>
              </w:rPr>
            </w:pPr>
            <w:hyperlink r:id="rId364">
              <w:r>
                <w:rPr>
                  <w:rFonts w:ascii="Arial" w:cs="Arial" w:eastAsia="Arial" w:hAnsi="Arial"/>
                  <w:sz w:val="18"/>
                  <w:szCs w:val="18"/>
                  <w:color w:val="0000FF"/>
                  <w:w w:val="93"/>
                </w:rPr>
                <w:t>ATM Equity Offering</w:t>
              </w:r>
            </w:hyperlink>
          </w:p>
        </w:tc>
        <w:tc>
          <w:tcPr>
            <w:tcW w:w="140" w:type="dxa"/>
            <w:vAlign w:val="bottom"/>
            <w:tcBorders>
              <w:bottom w:val="single" w:sz="8" w:color="0000FF"/>
            </w:tcBorders>
            <w:vMerge w:val="continue"/>
          </w:tcPr>
          <w:p>
            <w:pPr>
              <w:spacing w:after="0"/>
              <w:rPr>
                <w:sz w:val="24"/>
                <w:szCs w:val="24"/>
                <w:color w:val="auto"/>
              </w:rPr>
            </w:pPr>
          </w:p>
        </w:tc>
        <w:tc>
          <w:tcPr>
            <w:tcW w:w="3180" w:type="dxa"/>
            <w:vAlign w:val="bottom"/>
            <w:gridSpan w:val="13"/>
            <w:vMerge w:val="restart"/>
          </w:tcPr>
          <w:p>
            <w:pPr>
              <w:ind w:left="60"/>
              <w:spacing w:after="0"/>
              <w:rPr>
                <w:rFonts w:ascii="Arial" w:cs="Arial" w:eastAsia="Arial" w:hAnsi="Arial"/>
                <w:sz w:val="18"/>
                <w:szCs w:val="18"/>
                <w:color w:val="0000FF"/>
              </w:rPr>
            </w:pPr>
            <w:hyperlink r:id="rId364">
              <w:r>
                <w:rPr>
                  <w:rFonts w:ascii="Arial" w:cs="Arial" w:eastAsia="Arial" w:hAnsi="Arial"/>
                  <w:sz w:val="18"/>
                  <w:szCs w:val="18"/>
                  <w:color w:val="0000FF"/>
                </w:rPr>
                <w:t>Sales Agreement, dated August 8,</w:t>
              </w:r>
            </w:hyperlink>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S-3</w:t>
            </w:r>
          </w:p>
        </w:tc>
        <w:tc>
          <w:tcPr>
            <w:tcW w:w="2000" w:type="dxa"/>
            <w:vAlign w:val="bottom"/>
            <w:gridSpan w:val="4"/>
            <w:vMerge w:val="restart"/>
          </w:tcPr>
          <w:p>
            <w:pPr>
              <w:jc w:val="right"/>
              <w:ind w:right="800"/>
              <w:spacing w:after="0"/>
              <w:rPr>
                <w:sz w:val="20"/>
                <w:szCs w:val="20"/>
                <w:color w:val="auto"/>
              </w:rPr>
            </w:pPr>
            <w:r>
              <w:rPr>
                <w:rFonts w:ascii="Arial" w:cs="Arial" w:eastAsia="Arial" w:hAnsi="Arial"/>
                <w:sz w:val="18"/>
                <w:szCs w:val="18"/>
                <w:color w:val="auto"/>
              </w:rPr>
              <w:t>333-266651</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vMerge w:val="restart"/>
          </w:tcPr>
          <w:p>
            <w:pPr>
              <w:jc w:val="center"/>
              <w:ind w:left="150"/>
              <w:spacing w:after="0"/>
              <w:rPr>
                <w:sz w:val="20"/>
                <w:szCs w:val="20"/>
                <w:color w:val="auto"/>
              </w:rPr>
            </w:pPr>
            <w:r>
              <w:rPr>
                <w:rFonts w:ascii="Arial" w:cs="Arial" w:eastAsia="Arial" w:hAnsi="Arial"/>
                <w:sz w:val="18"/>
                <w:szCs w:val="18"/>
                <w:color w:val="auto"/>
                <w:w w:val="90"/>
              </w:rPr>
              <w:t>August 8, 2022</w:t>
            </w:r>
          </w:p>
        </w:tc>
        <w:tc>
          <w:tcPr>
            <w:tcW w:w="0" w:type="dxa"/>
            <w:vAlign w:val="bottom"/>
          </w:tcPr>
          <w:p>
            <w:pPr>
              <w:spacing w:after="0"/>
              <w:rPr>
                <w:sz w:val="1"/>
                <w:szCs w:val="1"/>
                <w:color w:val="auto"/>
              </w:rPr>
            </w:pPr>
          </w:p>
        </w:tc>
      </w:tr>
      <w:tr>
        <w:trPr>
          <w:trHeight w:val="61"/>
        </w:trPr>
        <w:tc>
          <w:tcPr>
            <w:tcW w:w="7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180" w:type="dxa"/>
            <w:vAlign w:val="bottom"/>
            <w:gridSpan w:val="13"/>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0" w:type="dxa"/>
            <w:vAlign w:val="bottom"/>
            <w:gridSpan w:val="4"/>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gridSpan w:val="16"/>
          </w:tcPr>
          <w:p>
            <w:pPr>
              <w:spacing w:after="0" w:line="182" w:lineRule="exact"/>
              <w:rPr>
                <w:rFonts w:ascii="Arial" w:cs="Arial" w:eastAsia="Arial" w:hAnsi="Arial"/>
                <w:sz w:val="18"/>
                <w:szCs w:val="18"/>
                <w:color w:val="0000FF"/>
              </w:rPr>
            </w:pPr>
            <w:hyperlink r:id="rId364">
              <w:r>
                <w:rPr>
                  <w:rFonts w:ascii="Arial" w:cs="Arial" w:eastAsia="Arial" w:hAnsi="Arial"/>
                  <w:sz w:val="18"/>
                  <w:szCs w:val="18"/>
                  <w:color w:val="0000FF"/>
                </w:rPr>
                <w:t>2022, between the Company and BofA Securities, Inc.</w:t>
              </w:r>
            </w:hyperlink>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00" w:type="dxa"/>
            <w:vAlign w:val="bottom"/>
            <w:gridSpan w:val="10"/>
          </w:tcPr>
          <w:p>
            <w:pPr>
              <w:spacing w:after="0" w:line="182" w:lineRule="exact"/>
              <w:rPr>
                <w:rFonts w:ascii="Arial" w:cs="Arial" w:eastAsia="Arial" w:hAnsi="Arial"/>
                <w:sz w:val="18"/>
                <w:szCs w:val="18"/>
                <w:color w:val="0000FF"/>
                <w:w w:val="92"/>
              </w:rPr>
            </w:pPr>
            <w:hyperlink r:id="rId364">
              <w:r>
                <w:rPr>
                  <w:rFonts w:ascii="Arial" w:cs="Arial" w:eastAsia="Arial" w:hAnsi="Arial"/>
                  <w:sz w:val="18"/>
                  <w:szCs w:val="18"/>
                  <w:color w:val="0000FF"/>
                  <w:w w:val="92"/>
                </w:rPr>
                <w:t>(incorporated by reference from the Company’s shelf</w:t>
              </w:r>
            </w:hyperlink>
          </w:p>
        </w:tc>
        <w:tc>
          <w:tcPr>
            <w:tcW w:w="3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gridSpan w:val="16"/>
          </w:tcPr>
          <w:p>
            <w:pPr>
              <w:spacing w:after="0" w:line="195" w:lineRule="exact"/>
              <w:rPr>
                <w:rFonts w:ascii="Arial" w:cs="Arial" w:eastAsia="Arial" w:hAnsi="Arial"/>
                <w:sz w:val="18"/>
                <w:szCs w:val="18"/>
                <w:color w:val="0000FF"/>
              </w:rPr>
            </w:pPr>
            <w:hyperlink r:id="rId364">
              <w:r>
                <w:rPr>
                  <w:rFonts w:ascii="Arial" w:cs="Arial" w:eastAsia="Arial" w:hAnsi="Arial"/>
                  <w:sz w:val="18"/>
                  <w:szCs w:val="18"/>
                  <w:color w:val="0000FF"/>
                </w:rPr>
                <w:t>registration statement on Form S-3).</w:t>
              </w:r>
            </w:hyperlink>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gridSpan w:val="3"/>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880" w:type="dxa"/>
            <w:vAlign w:val="bottom"/>
            <w:gridSpan w:val="16"/>
          </w:tcPr>
          <w:p>
            <w:pPr>
              <w:spacing w:after="0"/>
              <w:rPr>
                <w:sz w:val="20"/>
                <w:szCs w:val="20"/>
                <w:color w:val="auto"/>
              </w:rPr>
            </w:pPr>
            <w:r>
              <w:rPr>
                <w:rFonts w:ascii="Arial" w:cs="Arial" w:eastAsia="Arial" w:hAnsi="Arial"/>
                <w:sz w:val="18"/>
                <w:szCs w:val="18"/>
                <w:color w:val="0000FF"/>
              </w:rPr>
              <w:t>Certification of Principal Executive Officer Pursuant to Rules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89"/>
              </w:rPr>
              <w:t>13a-14(a) and 15d-14(a) under the Securities Exchange Act of</w:t>
            </w:r>
          </w:p>
        </w:tc>
        <w:tc>
          <w:tcPr>
            <w:tcW w:w="40" w:type="dxa"/>
            <w:vAlign w:val="bottom"/>
            <w:tcBorders>
              <w:bottom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gridSpan w:val="15"/>
          </w:tcPr>
          <w:p>
            <w:pPr>
              <w:spacing w:after="0" w:line="182" w:lineRule="exact"/>
              <w:rPr>
                <w:sz w:val="20"/>
                <w:szCs w:val="20"/>
                <w:color w:val="auto"/>
              </w:rPr>
            </w:pPr>
            <w:r>
              <w:rPr>
                <w:rFonts w:ascii="Arial" w:cs="Arial" w:eastAsia="Arial" w:hAnsi="Arial"/>
                <w:sz w:val="18"/>
                <w:szCs w:val="18"/>
                <w:color w:val="0000FF"/>
                <w:w w:val="94"/>
              </w:rPr>
              <w:t>1934, as Adopted Pursuant to Section 302 of the Sarbanes-</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gridSpan w:val="16"/>
          </w:tcPr>
          <w:p>
            <w:pPr>
              <w:spacing w:after="0" w:line="195" w:lineRule="exact"/>
              <w:rPr>
                <w:sz w:val="20"/>
                <w:szCs w:val="20"/>
                <w:color w:val="auto"/>
              </w:rPr>
            </w:pPr>
            <w:r>
              <w:rPr>
                <w:rFonts w:ascii="Arial" w:cs="Arial" w:eastAsia="Arial" w:hAnsi="Arial"/>
                <w:sz w:val="18"/>
                <w:szCs w:val="18"/>
                <w:color w:val="0000FF"/>
              </w:rPr>
              <w:t>Oxley Act of 2002.</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gridSpan w:val="3"/>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880" w:type="dxa"/>
            <w:vAlign w:val="bottom"/>
            <w:gridSpan w:val="16"/>
          </w:tcPr>
          <w:p>
            <w:pPr>
              <w:spacing w:after="0"/>
              <w:rPr>
                <w:sz w:val="20"/>
                <w:szCs w:val="20"/>
                <w:color w:val="auto"/>
              </w:rPr>
            </w:pPr>
            <w:r>
              <w:rPr>
                <w:rFonts w:ascii="Arial" w:cs="Arial" w:eastAsia="Arial" w:hAnsi="Arial"/>
                <w:sz w:val="18"/>
                <w:szCs w:val="18"/>
                <w:color w:val="0000FF"/>
              </w:rPr>
              <w:t>Certification of Principal Financial Officer Pursuant to Rules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gridSpan w:val="16"/>
          </w:tcPr>
          <w:p>
            <w:pPr>
              <w:spacing w:after="0" w:line="182" w:lineRule="exact"/>
              <w:rPr>
                <w:sz w:val="20"/>
                <w:szCs w:val="20"/>
                <w:color w:val="auto"/>
              </w:rPr>
            </w:pPr>
            <w:r>
              <w:rPr>
                <w:rFonts w:ascii="Arial" w:cs="Arial" w:eastAsia="Arial" w:hAnsi="Arial"/>
                <w:sz w:val="18"/>
                <w:szCs w:val="18"/>
                <w:color w:val="0000FF"/>
                <w:w w:val="97"/>
              </w:rPr>
              <w:t>13a-14(a) and 15d-14(a) under the Securities Exchange Act of</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0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4"/>
              </w:rPr>
              <w:t>1934, as Adopted Pursuant to Section 302 of the Sarbanes-</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gridSpan w:val="16"/>
          </w:tcPr>
          <w:p>
            <w:pPr>
              <w:spacing w:after="0" w:line="195" w:lineRule="exact"/>
              <w:rPr>
                <w:sz w:val="20"/>
                <w:szCs w:val="20"/>
                <w:color w:val="auto"/>
              </w:rPr>
            </w:pPr>
            <w:r>
              <w:rPr>
                <w:rFonts w:ascii="Arial" w:cs="Arial" w:eastAsia="Arial" w:hAnsi="Arial"/>
                <w:sz w:val="18"/>
                <w:szCs w:val="18"/>
                <w:color w:val="0000FF"/>
              </w:rPr>
              <w:t>Oxley Act of 2002.</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FF"/>
            </w:tcBorders>
            <w:gridSpan w:val="4"/>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4"/>
          </w:tcPr>
          <w:p>
            <w:pPr>
              <w:spacing w:after="0"/>
              <w:rPr>
                <w:sz w:val="20"/>
                <w:szCs w:val="20"/>
                <w:color w:val="auto"/>
              </w:rPr>
            </w:pPr>
            <w:r>
              <w:rPr>
                <w:rFonts w:ascii="Arial" w:cs="Arial" w:eastAsia="Arial" w:hAnsi="Arial"/>
                <w:sz w:val="18"/>
                <w:szCs w:val="18"/>
                <w:color w:val="auto"/>
              </w:rPr>
              <w:t>32.1†</w:t>
            </w:r>
          </w:p>
        </w:tc>
        <w:tc>
          <w:tcPr>
            <w:tcW w:w="4880" w:type="dxa"/>
            <w:vAlign w:val="bottom"/>
            <w:gridSpan w:val="16"/>
          </w:tcPr>
          <w:p>
            <w:pPr>
              <w:spacing w:after="0"/>
              <w:rPr>
                <w:sz w:val="20"/>
                <w:szCs w:val="20"/>
                <w:color w:val="auto"/>
              </w:rPr>
            </w:pPr>
            <w:r>
              <w:rPr>
                <w:rFonts w:ascii="Arial" w:cs="Arial" w:eastAsia="Arial" w:hAnsi="Arial"/>
                <w:sz w:val="18"/>
                <w:szCs w:val="18"/>
                <w:color w:val="0000FF"/>
              </w:rPr>
              <w:t>Certification of Principal Executive Officer Pursuant to 18</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gridSpan w:val="16"/>
          </w:tcPr>
          <w:p>
            <w:pPr>
              <w:spacing w:after="0" w:line="182" w:lineRule="exact"/>
              <w:rPr>
                <w:sz w:val="20"/>
                <w:szCs w:val="20"/>
                <w:color w:val="auto"/>
              </w:rPr>
            </w:pPr>
            <w:r>
              <w:rPr>
                <w:rFonts w:ascii="Arial" w:cs="Arial" w:eastAsia="Arial" w:hAnsi="Arial"/>
                <w:sz w:val="18"/>
                <w:szCs w:val="18"/>
                <w:color w:val="0000FF"/>
              </w:rPr>
              <w:t>U.S.C. Section 1350, as Adopted Pursuant to Section 906 of</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89"/>
              </w:rPr>
              <w:t>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2040" w:type="dxa"/>
            <w:vAlign w:val="bottom"/>
            <w:tcBorders>
              <w:top w:val="single" w:sz="8" w:color="0000FF"/>
            </w:tcBorders>
            <w:gridSpan w:val="7"/>
          </w:tcPr>
          <w:p>
            <w:pPr>
              <w:spacing w:after="0"/>
              <w:rPr>
                <w:sz w:val="15"/>
                <w:szCs w:val="15"/>
                <w:color w:val="auto"/>
              </w:rPr>
            </w:pPr>
          </w:p>
        </w:tc>
        <w:tc>
          <w:tcPr>
            <w:tcW w:w="48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485" w:right="559" w:bottom="1440" w:gutter="0" w:footer="0" w:header="0"/>
        </w:sectPr>
      </w:pP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Principal Financial Officer Pursuant to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26663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U.S.C. Section 1350, as Adopted Pursuant to Section 906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7768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27768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14992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149923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 embedded within the Inline XBRL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 the Inline XBRL document).</w:t>
      </w:r>
    </w:p>
    <w:p>
      <w:pPr>
        <w:spacing w:after="0" w:line="213" w:lineRule="exact"/>
        <w:rPr>
          <w:sz w:val="20"/>
          <w:szCs w:val="20"/>
          <w:color w:val="auto"/>
        </w:rPr>
      </w:pPr>
    </w:p>
    <w:p>
      <w:pPr>
        <w:sectPr>
          <w:pgSz w:w="11900" w:h="16838" w:orient="portrait"/>
          <w:cols w:equalWidth="0" w:num="2">
            <w:col w:w="700" w:space="300"/>
            <w:col w:w="10020"/>
          </w:cols>
          <w:pgMar w:left="320" w:top="48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85" w:right="55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465455</wp:posOffset>
            </wp:positionV>
            <wp:extent cx="19005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1900555" cy="8255"/>
                    </a:xfrm>
                    <a:prstGeom prst="rect">
                      <a:avLst/>
                    </a:prstGeom>
                    <a:noFill/>
                  </pic:spPr>
                </pic:pic>
              </a:graphicData>
            </a:graphic>
          </wp:anchor>
        </w:drawing>
        <w:t>* Filed herewith</w:t>
      </w:r>
    </w:p>
    <w:p>
      <w:pPr>
        <w:spacing w:after="0" w:line="292" w:lineRule="exact"/>
        <w:rPr>
          <w:sz w:val="20"/>
          <w:szCs w:val="20"/>
          <w:color w:val="auto"/>
        </w:rPr>
      </w:pPr>
    </w:p>
    <w:p>
      <w:pPr>
        <w:ind w:firstLine="8"/>
        <w:spacing w:after="0" w:line="279" w:lineRule="auto"/>
        <w:tabs>
          <w:tab w:leader="none" w:pos="1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8511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59" w:right="5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3200" w:type="dxa"/>
            <w:vAlign w:val="bottom"/>
            <w:gridSpan w:val="2"/>
          </w:tcPr>
          <w:p>
            <w:pPr>
              <w:ind w:left="1920"/>
              <w:spacing w:after="0"/>
              <w:rPr>
                <w:sz w:val="20"/>
                <w:szCs w:val="20"/>
                <w:color w:val="auto"/>
              </w:rPr>
            </w:pPr>
            <w:r>
              <w:rPr>
                <w:rFonts w:ascii="Arial" w:cs="Arial" w:eastAsia="Arial" w:hAnsi="Arial"/>
                <w:sz w:val="18"/>
                <w:szCs w:val="18"/>
                <w:color w:val="auto"/>
              </w:rPr>
              <w:t>RxSight, Inc.</w:t>
            </w: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680" w:type="dxa"/>
            <w:vAlign w:val="bottom"/>
          </w:tcPr>
          <w:p>
            <w:pPr>
              <w:ind w:left="80"/>
              <w:spacing w:after="0"/>
              <w:rPr>
                <w:sz w:val="20"/>
                <w:szCs w:val="20"/>
                <w:color w:val="auto"/>
              </w:rPr>
            </w:pPr>
            <w:r>
              <w:rPr>
                <w:rFonts w:ascii="Arial" w:cs="Arial" w:eastAsia="Arial" w:hAnsi="Arial"/>
                <w:sz w:val="18"/>
                <w:szCs w:val="18"/>
                <w:color w:val="auto"/>
              </w:rPr>
              <w:t>Date: November 7, 2022</w:t>
            </w:r>
          </w:p>
        </w:tc>
        <w:tc>
          <w:tcPr>
            <w:tcW w:w="320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4300" w:type="dxa"/>
            <w:vAlign w:val="bottom"/>
          </w:tcPr>
          <w:p>
            <w:pPr>
              <w:ind w:left="1180"/>
              <w:spacing w:after="0"/>
              <w:rPr>
                <w:sz w:val="20"/>
                <w:szCs w:val="20"/>
                <w:color w:val="auto"/>
              </w:rPr>
            </w:pPr>
            <w:r>
              <w:rPr>
                <w:rFonts w:ascii="Arial" w:cs="Arial" w:eastAsia="Arial" w:hAnsi="Arial"/>
                <w:sz w:val="18"/>
                <w:szCs w:val="18"/>
                <w:color w:val="auto"/>
              </w:rPr>
              <w:t>/s/ Ron Kurtz, M.D.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350"/>
              <w:spacing w:after="0" w:line="195" w:lineRule="exact"/>
              <w:rPr>
                <w:sz w:val="20"/>
                <w:szCs w:val="20"/>
                <w:color w:val="auto"/>
              </w:rPr>
            </w:pPr>
            <w:r>
              <w:rPr>
                <w:rFonts w:ascii="Arial" w:cs="Arial" w:eastAsia="Arial" w:hAnsi="Arial"/>
                <w:sz w:val="18"/>
                <w:szCs w:val="18"/>
                <w:color w:val="auto"/>
                <w:w w:val="95"/>
              </w:rPr>
              <w:t>Ron Kurtz, M.D.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5"/>
              </w:rPr>
              <w:t>Chief Executive Officer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00" w:type="dxa"/>
            <w:vAlign w:val="bottom"/>
          </w:tcPr>
          <w:p>
            <w:pPr>
              <w:jc w:val="center"/>
              <w:ind w:right="310"/>
              <w:spacing w:after="0"/>
              <w:rPr>
                <w:sz w:val="20"/>
                <w:szCs w:val="20"/>
                <w:color w:val="auto"/>
              </w:rPr>
            </w:pPr>
            <w:r>
              <w:rPr>
                <w:rFonts w:ascii="Arial" w:cs="Arial" w:eastAsia="Arial" w:hAnsi="Arial"/>
                <w:sz w:val="18"/>
                <w:szCs w:val="18"/>
                <w:color w:val="auto"/>
                <w:w w:val="94"/>
              </w:rPr>
              <w:t>(Principal Executive 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680" w:type="dxa"/>
            <w:vAlign w:val="bottom"/>
            <w:vMerge w:val="restart"/>
          </w:tcPr>
          <w:p>
            <w:pPr>
              <w:ind w:left="80"/>
              <w:spacing w:after="0"/>
              <w:rPr>
                <w:sz w:val="20"/>
                <w:szCs w:val="20"/>
                <w:color w:val="auto"/>
              </w:rPr>
            </w:pPr>
            <w:r>
              <w:rPr>
                <w:rFonts w:ascii="Arial" w:cs="Arial" w:eastAsia="Arial" w:hAnsi="Arial"/>
                <w:sz w:val="18"/>
                <w:szCs w:val="18"/>
                <w:color w:val="auto"/>
              </w:rPr>
              <w:t>Date: November 7, 2022</w:t>
            </w:r>
          </w:p>
        </w:tc>
        <w:tc>
          <w:tcPr>
            <w:tcW w:w="320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4300" w:type="dxa"/>
            <w:vAlign w:val="bottom"/>
            <w:vMerge w:val="restart"/>
          </w:tcPr>
          <w:p>
            <w:pPr>
              <w:jc w:val="center"/>
              <w:ind w:right="310"/>
              <w:spacing w:after="0"/>
              <w:rPr>
                <w:sz w:val="20"/>
                <w:szCs w:val="20"/>
                <w:color w:val="auto"/>
              </w:rPr>
            </w:pPr>
            <w:r>
              <w:rPr>
                <w:rFonts w:ascii="Arial" w:cs="Arial" w:eastAsia="Arial" w:hAnsi="Arial"/>
                <w:sz w:val="18"/>
                <w:szCs w:val="18"/>
                <w:color w:val="auto"/>
                <w:w w:val="89"/>
              </w:rPr>
              <w:t>/s/ Shelley Thunen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680" w:type="dxa"/>
            <w:vAlign w:val="bottom"/>
            <w:vMerge w:val="continue"/>
          </w:tcPr>
          <w:p>
            <w:pPr>
              <w:spacing w:after="0"/>
              <w:rPr>
                <w:sz w:val="5"/>
                <w:szCs w:val="5"/>
                <w:color w:val="auto"/>
              </w:rPr>
            </w:pPr>
          </w:p>
        </w:tc>
        <w:tc>
          <w:tcPr>
            <w:tcW w:w="28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30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300" w:type="dxa"/>
            <w:vAlign w:val="bottom"/>
          </w:tcPr>
          <w:p>
            <w:pPr>
              <w:jc w:val="center"/>
              <w:ind w:right="350"/>
              <w:spacing w:after="0" w:line="195" w:lineRule="exact"/>
              <w:rPr>
                <w:sz w:val="20"/>
                <w:szCs w:val="20"/>
                <w:color w:val="auto"/>
              </w:rPr>
            </w:pPr>
            <w:r>
              <w:rPr>
                <w:rFonts w:ascii="Arial" w:cs="Arial" w:eastAsia="Arial" w:hAnsi="Arial"/>
                <w:sz w:val="18"/>
                <w:szCs w:val="18"/>
                <w:color w:val="auto"/>
                <w:w w:val="91"/>
              </w:rPr>
              <w:t>Shelley Thunen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3"/>
              </w:rPr>
              <w:t>Chief Financial Officer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00" w:type="dxa"/>
            <w:vAlign w:val="bottom"/>
          </w:tcPr>
          <w:p>
            <w:pPr>
              <w:jc w:val="center"/>
              <w:ind w:right="310"/>
              <w:spacing w:after="0"/>
              <w:rPr>
                <w:sz w:val="20"/>
                <w:szCs w:val="20"/>
                <w:color w:val="auto"/>
              </w:rPr>
            </w:pPr>
            <w:r>
              <w:rPr>
                <w:rFonts w:ascii="Arial" w:cs="Arial" w:eastAsia="Arial" w:hAnsi="Arial"/>
                <w:sz w:val="18"/>
                <w:szCs w:val="18"/>
                <w:color w:val="auto"/>
                <w:w w:val="93"/>
              </w:rPr>
              <w:t>(Principal Financial and Accounting 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3680" w:type="dxa"/>
            <w:vAlign w:val="bottom"/>
          </w:tcPr>
          <w:p>
            <w:pPr>
              <w:spacing w:after="0"/>
              <w:rPr>
                <w:sz w:val="24"/>
                <w:szCs w:val="24"/>
                <w:color w:val="auto"/>
              </w:rPr>
            </w:pPr>
          </w:p>
        </w:tc>
        <w:tc>
          <w:tcPr>
            <w:tcW w:w="2820" w:type="dxa"/>
            <w:vAlign w:val="bottom"/>
          </w:tcPr>
          <w:p>
            <w:pPr>
              <w:jc w:val="right"/>
              <w:ind w:right="65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680" w:type="dxa"/>
            <w:vAlign w:val="bottom"/>
            <w:tcBorders>
              <w:bottom w:val="single" w:sz="8" w:color="9A9A9A"/>
            </w:tcBorders>
          </w:tcPr>
          <w:p>
            <w:pPr>
              <w:spacing w:after="0"/>
              <w:rPr>
                <w:sz w:val="13"/>
                <w:szCs w:val="13"/>
                <w:color w:val="auto"/>
              </w:rPr>
            </w:pPr>
          </w:p>
        </w:tc>
        <w:tc>
          <w:tcPr>
            <w:tcW w:w="28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 Ron Kurtz, M.D., certify that:</w:t>
      </w:r>
    </w:p>
    <w:p>
      <w:pPr>
        <w:spacing w:after="0" w:line="198" w:lineRule="exact"/>
        <w:rPr>
          <w:sz w:val="20"/>
          <w:szCs w:val="20"/>
          <w:color w:val="auto"/>
        </w:rPr>
      </w:pPr>
    </w:p>
    <w:p>
      <w:pPr>
        <w:ind w:left="500" w:hanging="47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RxSight, Inc.;</w:t>
      </w:r>
    </w:p>
    <w:p>
      <w:pPr>
        <w:spacing w:after="0" w:line="197" w:lineRule="exact"/>
        <w:rPr>
          <w:rFonts w:ascii="Arial" w:cs="Arial" w:eastAsia="Arial" w:hAnsi="Arial"/>
          <w:sz w:val="18"/>
          <w:szCs w:val="18"/>
          <w:color w:val="auto"/>
        </w:rPr>
      </w:pPr>
    </w:p>
    <w:p>
      <w:pPr>
        <w:jc w:val="both"/>
        <w:ind w:left="500" w:right="300" w:hanging="479"/>
        <w:spacing w:after="0" w:line="234"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00" w:right="260" w:hanging="479"/>
        <w:spacing w:after="0" w:line="274"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00" w:right="480" w:hanging="479"/>
        <w:spacing w:after="0" w:line="245"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80" w:right="160" w:hanging="587"/>
        <w:spacing w:after="0" w:line="234"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6" w:lineRule="exact"/>
        <w:rPr>
          <w:rFonts w:ascii="Arial" w:cs="Arial" w:eastAsia="Arial" w:hAnsi="Arial"/>
          <w:sz w:val="18"/>
          <w:szCs w:val="18"/>
          <w:color w:val="auto"/>
        </w:rPr>
      </w:pPr>
    </w:p>
    <w:p>
      <w:pPr>
        <w:ind w:left="1080" w:hanging="587"/>
        <w:spacing w:after="0"/>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1" w:lineRule="exact"/>
        <w:rPr>
          <w:rFonts w:ascii="Arial" w:cs="Arial" w:eastAsia="Arial" w:hAnsi="Arial"/>
          <w:sz w:val="18"/>
          <w:szCs w:val="18"/>
          <w:color w:val="auto"/>
        </w:rPr>
      </w:pPr>
    </w:p>
    <w:p>
      <w:pPr>
        <w:jc w:val="both"/>
        <w:ind w:left="1080" w:right="460" w:hanging="587"/>
        <w:spacing w:after="0" w:line="306" w:lineRule="auto"/>
        <w:tabs>
          <w:tab w:leader="none" w:pos="10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80" w:right="160" w:hanging="587"/>
        <w:spacing w:after="0" w:line="234"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00" w:right="180" w:hanging="479"/>
        <w:spacing w:after="0" w:line="274"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1080" w:right="700" w:hanging="587"/>
        <w:spacing w:after="0" w:line="306" w:lineRule="auto"/>
        <w:tabs>
          <w:tab w:leader="none" w:pos="10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80" w:right="380" w:hanging="587"/>
        <w:spacing w:after="0" w:line="245"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2022</w:t>
      </w:r>
    </w:p>
    <w:p>
      <w:pPr>
        <w:spacing w:after="0" w:line="11" w:lineRule="exact"/>
        <w:rPr>
          <w:sz w:val="20"/>
          <w:szCs w:val="20"/>
          <w:color w:val="auto"/>
        </w:rPr>
      </w:pPr>
    </w:p>
    <w:p>
      <w:pPr>
        <w:ind w:left="57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4445</wp:posOffset>
            </wp:positionV>
            <wp:extent cx="32880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jc w:val="center"/>
        <w:ind w:left="6040"/>
        <w:spacing w:after="0"/>
        <w:rPr>
          <w:sz w:val="20"/>
          <w:szCs w:val="20"/>
          <w:color w:val="auto"/>
        </w:rPr>
      </w:pPr>
      <w:r>
        <w:rPr>
          <w:rFonts w:ascii="Arial" w:cs="Arial" w:eastAsia="Arial" w:hAnsi="Arial"/>
          <w:sz w:val="18"/>
          <w:szCs w:val="18"/>
          <w:b w:val="1"/>
          <w:bCs w:val="1"/>
          <w:color w:val="auto"/>
        </w:rPr>
        <w:t>Ron Kurtz, M.D.</w:t>
      </w:r>
    </w:p>
    <w:p>
      <w:pPr>
        <w:jc w:val="center"/>
        <w:ind w:left="6040"/>
        <w:spacing w:after="0" w:line="234" w:lineRule="auto"/>
        <w:rPr>
          <w:sz w:val="20"/>
          <w:szCs w:val="20"/>
          <w:color w:val="auto"/>
        </w:rPr>
      </w:pPr>
      <w:r>
        <w:rPr>
          <w:rFonts w:ascii="Arial" w:cs="Arial" w:eastAsia="Arial" w:hAnsi="Arial"/>
          <w:sz w:val="18"/>
          <w:szCs w:val="18"/>
          <w:b w:val="1"/>
          <w:bCs w:val="1"/>
          <w:color w:val="auto"/>
        </w:rPr>
        <w:t>Chief Executive Officer</w:t>
      </w:r>
    </w:p>
    <w:p>
      <w:pPr>
        <w:jc w:val="center"/>
        <w:ind w:left="60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 Shelley Thunen, certify that:</w:t>
      </w:r>
    </w:p>
    <w:p>
      <w:pPr>
        <w:spacing w:after="0" w:line="198" w:lineRule="exact"/>
        <w:rPr>
          <w:sz w:val="20"/>
          <w:szCs w:val="20"/>
          <w:color w:val="auto"/>
        </w:rPr>
      </w:pPr>
    </w:p>
    <w:p>
      <w:pPr>
        <w:ind w:left="500" w:hanging="479"/>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RxSight, Inc.;</w:t>
      </w:r>
    </w:p>
    <w:p>
      <w:pPr>
        <w:spacing w:after="0" w:line="197" w:lineRule="exact"/>
        <w:rPr>
          <w:rFonts w:ascii="Arial" w:cs="Arial" w:eastAsia="Arial" w:hAnsi="Arial"/>
          <w:sz w:val="18"/>
          <w:szCs w:val="18"/>
          <w:color w:val="auto"/>
        </w:rPr>
      </w:pPr>
    </w:p>
    <w:p>
      <w:pPr>
        <w:jc w:val="both"/>
        <w:ind w:left="500" w:right="300" w:hanging="479"/>
        <w:spacing w:after="0" w:line="234"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8"/>
          <w:szCs w:val="18"/>
          <w:color w:val="auto"/>
        </w:rPr>
      </w:pPr>
    </w:p>
    <w:p>
      <w:pPr>
        <w:ind w:left="500" w:right="260" w:hanging="479"/>
        <w:spacing w:after="0" w:line="274"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79"/>
        <w:spacing w:after="0" w:line="245"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4" w:lineRule="exact"/>
        <w:rPr>
          <w:rFonts w:ascii="Arial" w:cs="Arial" w:eastAsia="Arial" w:hAnsi="Arial"/>
          <w:sz w:val="18"/>
          <w:szCs w:val="18"/>
          <w:color w:val="auto"/>
        </w:rPr>
      </w:pPr>
    </w:p>
    <w:p>
      <w:pPr>
        <w:ind w:left="1080" w:right="160" w:hanging="587"/>
        <w:spacing w:after="0" w:line="234"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6" w:lineRule="exact"/>
        <w:rPr>
          <w:rFonts w:ascii="Arial" w:cs="Arial" w:eastAsia="Arial" w:hAnsi="Arial"/>
          <w:sz w:val="18"/>
          <w:szCs w:val="18"/>
          <w:color w:val="auto"/>
        </w:rPr>
      </w:pPr>
    </w:p>
    <w:p>
      <w:pPr>
        <w:ind w:left="1080" w:hanging="587"/>
        <w:spacing w:after="0"/>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97" w:lineRule="exact"/>
        <w:rPr>
          <w:rFonts w:ascii="Arial" w:cs="Arial" w:eastAsia="Arial" w:hAnsi="Arial"/>
          <w:sz w:val="18"/>
          <w:szCs w:val="18"/>
          <w:color w:val="auto"/>
        </w:rPr>
      </w:pPr>
    </w:p>
    <w:p>
      <w:pPr>
        <w:jc w:val="both"/>
        <w:ind w:left="1080" w:right="460" w:hanging="587"/>
        <w:spacing w:after="0" w:line="306" w:lineRule="auto"/>
        <w:tabs>
          <w:tab w:leader="none" w:pos="10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080" w:right="160" w:hanging="587"/>
        <w:spacing w:after="0" w:line="234"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left="500" w:right="180" w:hanging="479"/>
        <w:spacing w:after="0" w:line="274"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700" w:hanging="587"/>
        <w:spacing w:after="0" w:line="306" w:lineRule="auto"/>
        <w:tabs>
          <w:tab w:leader="none" w:pos="10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080" w:right="380" w:hanging="587"/>
        <w:spacing w:after="0" w:line="245"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2022</w:t>
      </w:r>
    </w:p>
    <w:p>
      <w:pPr>
        <w:spacing w:after="0" w:line="11" w:lineRule="exact"/>
        <w:rPr>
          <w:sz w:val="20"/>
          <w:szCs w:val="20"/>
          <w:color w:val="auto"/>
        </w:rPr>
      </w:pPr>
    </w:p>
    <w:p>
      <w:pPr>
        <w:ind w:left="574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4445</wp:posOffset>
            </wp:positionV>
            <wp:extent cx="328803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jc w:val="center"/>
        <w:ind w:left="6040"/>
        <w:spacing w:after="0"/>
        <w:rPr>
          <w:sz w:val="20"/>
          <w:szCs w:val="20"/>
          <w:color w:val="auto"/>
        </w:rPr>
      </w:pPr>
      <w:r>
        <w:rPr>
          <w:rFonts w:ascii="Arial" w:cs="Arial" w:eastAsia="Arial" w:hAnsi="Arial"/>
          <w:sz w:val="18"/>
          <w:szCs w:val="18"/>
          <w:b w:val="1"/>
          <w:bCs w:val="1"/>
          <w:color w:val="auto"/>
        </w:rPr>
        <w:t>Shelley Thunen</w:t>
      </w:r>
    </w:p>
    <w:p>
      <w:pPr>
        <w:jc w:val="center"/>
        <w:ind w:left="6040"/>
        <w:spacing w:after="0" w:line="234" w:lineRule="auto"/>
        <w:rPr>
          <w:sz w:val="20"/>
          <w:szCs w:val="20"/>
          <w:color w:val="auto"/>
        </w:rPr>
      </w:pPr>
      <w:r>
        <w:rPr>
          <w:rFonts w:ascii="Arial" w:cs="Arial" w:eastAsia="Arial" w:hAnsi="Arial"/>
          <w:sz w:val="18"/>
          <w:szCs w:val="18"/>
          <w:b w:val="1"/>
          <w:bCs w:val="1"/>
          <w:color w:val="auto"/>
        </w:rPr>
        <w:t>Chief Financial Officer</w:t>
      </w:r>
    </w:p>
    <w:p>
      <w:pPr>
        <w:jc w:val="center"/>
        <w:ind w:left="60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connection with the Quarterly Report of RxSight, Inc. (the “Company”) on Form 10-Q for the quarterly period ended September 30, 2022, as filed with the Securities and Exchange Commission (the “Report”), I, Ron Kurtz, M.D., Chief Executive Officer of the Company, certify, pursuant to 18 U.S.C. §1350, as adopted pursuant to §906 of the Sarbanes-Oxley Act of 2002, that, to my knowledge:</w:t>
      </w:r>
    </w:p>
    <w:p>
      <w:pPr>
        <w:spacing w:after="0" w:line="352" w:lineRule="exact"/>
        <w:rPr>
          <w:sz w:val="20"/>
          <w:szCs w:val="20"/>
          <w:color w:val="auto"/>
        </w:rPr>
      </w:pPr>
    </w:p>
    <w:p>
      <w:pPr>
        <w:ind w:left="1080" w:hanging="587"/>
        <w:spacing w:after="0"/>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560" w:hanging="560"/>
        <w:spacing w:after="0" w:line="245"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373"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Ron Kurtz, M.D.</w:t>
      </w:r>
    </w:p>
    <w:p>
      <w:pPr>
        <w:jc w:val="center"/>
        <w:ind w:left="6020"/>
        <w:spacing w:after="0" w:line="234" w:lineRule="auto"/>
        <w:rPr>
          <w:sz w:val="20"/>
          <w:szCs w:val="20"/>
          <w:color w:val="auto"/>
        </w:rPr>
      </w:pPr>
      <w:r>
        <w:rPr>
          <w:rFonts w:ascii="Arial" w:cs="Arial" w:eastAsia="Arial" w:hAnsi="Arial"/>
          <w:sz w:val="18"/>
          <w:szCs w:val="18"/>
          <w:b w:val="1"/>
          <w:bCs w:val="1"/>
          <w:color w:val="auto"/>
        </w:rPr>
        <w:t>Chief Executive Officer</w:t>
      </w:r>
    </w:p>
    <w:p>
      <w:pPr>
        <w:jc w:val="center"/>
        <w:ind w:left="60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 connection with the Quarterly Report of RxSight, Inc. (the “Company”) on Form 10-Q for the quarterly period ended September 30, 2022, as filed with the Securities and Exchange Commission (the “Report”), I, Shelley Thunen, Chief Financial Officer of the Company, certify, pursuant to 18 U.S.C. §1350, as adopted pursuant to §906 of the Sarbanes-Oxley Act of 2002, that, to my knowledge:</w:t>
      </w:r>
    </w:p>
    <w:p>
      <w:pPr>
        <w:spacing w:after="0" w:line="149" w:lineRule="exact"/>
        <w:rPr>
          <w:sz w:val="20"/>
          <w:szCs w:val="20"/>
          <w:color w:val="auto"/>
        </w:rPr>
      </w:pPr>
    </w:p>
    <w:p>
      <w:pPr>
        <w:ind w:left="1080" w:hanging="587"/>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080" w:right="520" w:hanging="587"/>
        <w:spacing w:after="0" w:line="245"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14605</wp:posOffset>
            </wp:positionV>
            <wp:extent cx="330517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Shelley Thunen</w:t>
      </w:r>
    </w:p>
    <w:p>
      <w:pPr>
        <w:jc w:val="center"/>
        <w:ind w:left="6020"/>
        <w:spacing w:after="0" w:line="234" w:lineRule="auto"/>
        <w:rPr>
          <w:sz w:val="20"/>
          <w:szCs w:val="20"/>
          <w:color w:val="auto"/>
        </w:rPr>
      </w:pPr>
      <w:r>
        <w:rPr>
          <w:rFonts w:ascii="Arial" w:cs="Arial" w:eastAsia="Arial" w:hAnsi="Arial"/>
          <w:sz w:val="18"/>
          <w:szCs w:val="18"/>
          <w:b w:val="1"/>
          <w:bCs w:val="1"/>
          <w:color w:val="auto"/>
        </w:rPr>
        <w:t>Chief Financial Officer</w:t>
      </w:r>
    </w:p>
    <w:p>
      <w:pPr>
        <w:jc w:val="center"/>
        <w:ind w:left="60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Roman"/>
      <w:start w:val="4"/>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2"/>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lowerLetter"/>
      <w:start w:val="3"/>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decimal"/>
      <w:start w:val="1"/>
    </w:lvl>
  </w:abstractNum>
  <w:abstractNum w:abstractNumId="48">
    <w:nsid w:val="579478FE"/>
    <w:multiLevelType w:val="hybridMultilevel"/>
    <w:lvl w:ilvl="0">
      <w:lvlJc w:val="left"/>
      <w:lvlText w:val="%1."/>
      <w:numFmt w:val="decimal"/>
      <w:start w:val="2"/>
    </w:lvl>
    <w:lvl w:ilvl="1">
      <w:lvlJc w:val="left"/>
      <w:lvlText w:val="%2"/>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64" Type="http://schemas.openxmlformats.org/officeDocument/2006/relationships/hyperlink" Target="https://www.sec.gov/Archives/edgar/data/1111485/000119312522214924/d383901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2022-11-07T16:04:48Z</dcterms:created>
  <dcterms:modified xsi:type="dcterms:W3CDTF">2022-11-07T16:04:48Z</dcterms:modified>
</cp:coreProperties>
</file>