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963295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1"/>
          <w:szCs w:val="31"/>
          <w:b w:val="1"/>
          <w:bCs w:val="1"/>
          <w:color w:val="auto"/>
        </w:rPr>
        <w:t>FORM SD</w:t>
      </w:r>
    </w:p>
    <w:p>
      <w:pPr>
        <w:spacing w:after="0" w:line="35"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1"/>
          <w:szCs w:val="31"/>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289560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1"/>
          <w:szCs w:val="31"/>
          <w:b w:val="1"/>
          <w:bCs w:val="1"/>
          <w:color w:val="auto"/>
        </w:rPr>
        <w:t>RxSight, Inc.</w:t>
      </w:r>
    </w:p>
    <w:p>
      <w:pPr>
        <w:spacing w:after="0" w:line="3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382270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tbl>
      <w:tblPr>
        <w:tblLayout w:type="fixed"/>
        <w:tblInd w:w="900" w:type="dxa"/>
        <w:tblCellMar>
          <w:top w:w="0" w:type="dxa"/>
          <w:left w:w="0" w:type="dxa"/>
          <w:bottom w:w="0" w:type="dxa"/>
          <w:right w:w="0" w:type="dxa"/>
        </w:tblCellMar>
      </w:tblPr>
      <w:tr>
        <w:trPr>
          <w:trHeight w:val="214"/>
        </w:trPr>
        <w:tc>
          <w:tcPr>
            <w:tcW w:w="3100" w:type="dxa"/>
            <w:vAlign w:val="bottom"/>
          </w:tcPr>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00" w:type="dxa"/>
            <w:vAlign w:val="bottom"/>
          </w:tcPr>
          <w:p>
            <w:pPr>
              <w:jc w:val="right"/>
              <w:ind w:right="1359"/>
              <w:spacing w:after="0"/>
              <w:rPr>
                <w:sz w:val="20"/>
                <w:szCs w:val="20"/>
                <w:color w:val="auto"/>
              </w:rPr>
            </w:pPr>
            <w:r>
              <w:rPr>
                <w:rFonts w:ascii="Times New Roman" w:cs="Times New Roman" w:eastAsia="Times New Roman" w:hAnsi="Times New Roman"/>
                <w:sz w:val="18"/>
                <w:szCs w:val="18"/>
                <w:b w:val="1"/>
                <w:bCs w:val="1"/>
                <w:color w:val="auto"/>
              </w:rPr>
              <w:t>001-40690</w:t>
            </w:r>
          </w:p>
        </w:tc>
        <w:tc>
          <w:tcPr>
            <w:tcW w:w="2420" w:type="dxa"/>
            <w:vAlign w:val="bottom"/>
          </w:tcPr>
          <w:p>
            <w:pPr>
              <w:jc w:val="center"/>
              <w:ind w:left="921"/>
              <w:spacing w:after="0"/>
              <w:rPr>
                <w:sz w:val="20"/>
                <w:szCs w:val="20"/>
                <w:color w:val="auto"/>
              </w:rPr>
            </w:pPr>
            <w:r>
              <w:rPr>
                <w:rFonts w:ascii="Times New Roman" w:cs="Times New Roman" w:eastAsia="Times New Roman" w:hAnsi="Times New Roman"/>
                <w:sz w:val="18"/>
                <w:szCs w:val="18"/>
                <w:b w:val="1"/>
                <w:bCs w:val="1"/>
                <w:color w:val="auto"/>
                <w:w w:val="98"/>
              </w:rPr>
              <w:t>94-3268801</w:t>
            </w:r>
          </w:p>
        </w:tc>
        <w:tc>
          <w:tcPr>
            <w:tcW w:w="0" w:type="dxa"/>
            <w:vAlign w:val="bottom"/>
          </w:tcPr>
          <w:p>
            <w:pPr>
              <w:spacing w:after="0"/>
              <w:rPr>
                <w:sz w:val="1"/>
                <w:szCs w:val="1"/>
                <w:color w:val="auto"/>
              </w:rPr>
            </w:pPr>
          </w:p>
        </w:tc>
      </w:tr>
      <w:tr>
        <w:trPr>
          <w:trHeight w:val="149"/>
        </w:trPr>
        <w:tc>
          <w:tcPr>
            <w:tcW w:w="3100" w:type="dxa"/>
            <w:vAlign w:val="bottom"/>
          </w:tcPr>
          <w:p>
            <w:pPr>
              <w:jc w:val="center"/>
              <w:ind w:right="6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0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420" w:type="dxa"/>
            <w:vAlign w:val="bottom"/>
          </w:tcPr>
          <w:p>
            <w:pPr>
              <w:jc w:val="center"/>
              <w:ind w:left="9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100" w:type="dxa"/>
            <w:vAlign w:val="bottom"/>
          </w:tcPr>
          <w:p>
            <w:pPr>
              <w:jc w:val="center"/>
              <w:ind w:right="6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00" w:type="dxa"/>
            <w:vAlign w:val="bottom"/>
            <w:vMerge w:val="continue"/>
          </w:tcPr>
          <w:p>
            <w:pPr>
              <w:spacing w:after="0"/>
              <w:rPr>
                <w:sz w:val="16"/>
                <w:szCs w:val="16"/>
                <w:color w:val="auto"/>
              </w:rPr>
            </w:pPr>
          </w:p>
        </w:tc>
        <w:tc>
          <w:tcPr>
            <w:tcW w:w="2420" w:type="dxa"/>
            <w:vAlign w:val="bottom"/>
          </w:tcPr>
          <w:p>
            <w:pPr>
              <w:jc w:val="center"/>
              <w:ind w:left="92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393"/>
        </w:trPr>
        <w:tc>
          <w:tcPr>
            <w:tcW w:w="3100" w:type="dxa"/>
            <w:vAlign w:val="bottom"/>
          </w:tcPr>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100 Columbia</w:t>
            </w:r>
          </w:p>
        </w:tc>
        <w:tc>
          <w:tcPr>
            <w:tcW w:w="34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100" w:type="dxa"/>
            <w:vAlign w:val="bottom"/>
          </w:tcPr>
          <w:p>
            <w:pPr>
              <w:jc w:val="center"/>
              <w:ind w:right="659"/>
              <w:spacing w:after="0"/>
              <w:rPr>
                <w:sz w:val="20"/>
                <w:szCs w:val="20"/>
                <w:color w:val="auto"/>
              </w:rPr>
            </w:pPr>
            <w:r>
              <w:rPr>
                <w:rFonts w:ascii="Times New Roman" w:cs="Times New Roman" w:eastAsia="Times New Roman" w:hAnsi="Times New Roman"/>
                <w:sz w:val="18"/>
                <w:szCs w:val="18"/>
                <w:b w:val="1"/>
                <w:bCs w:val="1"/>
                <w:color w:val="auto"/>
                <w:w w:val="99"/>
              </w:rPr>
              <w:t>Aliso Viejo, California</w:t>
            </w:r>
          </w:p>
        </w:tc>
        <w:tc>
          <w:tcPr>
            <w:tcW w:w="3400" w:type="dxa"/>
            <w:vAlign w:val="bottom"/>
          </w:tcPr>
          <w:p>
            <w:pPr>
              <w:spacing w:after="0"/>
              <w:rPr>
                <w:sz w:val="18"/>
                <w:szCs w:val="18"/>
                <w:color w:val="auto"/>
              </w:rPr>
            </w:pPr>
          </w:p>
        </w:tc>
        <w:tc>
          <w:tcPr>
            <w:tcW w:w="2420" w:type="dxa"/>
            <w:vAlign w:val="bottom"/>
          </w:tcPr>
          <w:p>
            <w:pPr>
              <w:jc w:val="center"/>
              <w:ind w:left="861"/>
              <w:spacing w:after="0"/>
              <w:rPr>
                <w:sz w:val="20"/>
                <w:szCs w:val="20"/>
                <w:color w:val="auto"/>
              </w:rPr>
            </w:pPr>
            <w:r>
              <w:rPr>
                <w:rFonts w:ascii="Times New Roman" w:cs="Times New Roman" w:eastAsia="Times New Roman" w:hAnsi="Times New Roman"/>
                <w:sz w:val="18"/>
                <w:szCs w:val="18"/>
                <w:b w:val="1"/>
                <w:bCs w:val="1"/>
                <w:color w:val="auto"/>
                <w:w w:val="97"/>
              </w:rPr>
              <w:t>92656</w:t>
            </w:r>
          </w:p>
        </w:tc>
        <w:tc>
          <w:tcPr>
            <w:tcW w:w="0" w:type="dxa"/>
            <w:vAlign w:val="bottom"/>
          </w:tcPr>
          <w:p>
            <w:pPr>
              <w:spacing w:after="0"/>
              <w:rPr>
                <w:sz w:val="1"/>
                <w:szCs w:val="1"/>
                <w:color w:val="auto"/>
              </w:rPr>
            </w:pPr>
          </w:p>
        </w:tc>
      </w:tr>
      <w:tr>
        <w:trPr>
          <w:trHeight w:val="190"/>
        </w:trPr>
        <w:tc>
          <w:tcPr>
            <w:tcW w:w="3100" w:type="dxa"/>
            <w:vAlign w:val="bottom"/>
          </w:tcPr>
          <w:p>
            <w:pPr>
              <w:jc w:val="center"/>
              <w:ind w:right="6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00" w:type="dxa"/>
            <w:vAlign w:val="bottom"/>
          </w:tcPr>
          <w:p>
            <w:pPr>
              <w:spacing w:after="0"/>
              <w:rPr>
                <w:sz w:val="16"/>
                <w:szCs w:val="16"/>
                <w:color w:val="auto"/>
              </w:rPr>
            </w:pPr>
          </w:p>
        </w:tc>
        <w:tc>
          <w:tcPr>
            <w:tcW w:w="2420" w:type="dxa"/>
            <w:vAlign w:val="bottom"/>
          </w:tcPr>
          <w:p>
            <w:pPr>
              <w:jc w:val="center"/>
              <w:ind w:left="92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244"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Mark Wilterding</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RxSight, Inc.</w:t>
      </w:r>
    </w:p>
    <w:p>
      <w:pPr>
        <w:spacing w:after="0" w:line="9" w:lineRule="exact"/>
        <w:rPr>
          <w:sz w:val="24"/>
          <w:szCs w:val="24"/>
          <w:color w:val="auto"/>
        </w:rPr>
      </w:pPr>
    </w:p>
    <w:p>
      <w:pPr>
        <w:ind w:left="5400" w:hanging="313"/>
        <w:spacing w:after="0"/>
        <w:tabs>
          <w:tab w:leader="none" w:pos="54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Columbia</w:t>
      </w:r>
    </w:p>
    <w:p>
      <w:pPr>
        <w:spacing w:after="0" w:line="9" w:lineRule="exact"/>
        <w:rPr>
          <w:rFonts w:ascii="Times New Roman" w:cs="Times New Roman" w:eastAsia="Times New Roman" w:hAnsi="Times New Roman"/>
          <w:sz w:val="18"/>
          <w:szCs w:val="18"/>
          <w:b w:val="1"/>
          <w:bCs w:val="1"/>
          <w:color w:val="auto"/>
        </w:rPr>
      </w:pPr>
    </w:p>
    <w:p>
      <w:pPr>
        <w:ind w:left="5060" w:right="4520" w:hanging="305"/>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Aliso Viejo, CA 92656 (949) 521-7830</w:t>
      </w:r>
    </w:p>
    <w:p>
      <w:pPr>
        <w:ind w:left="2360"/>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279400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right="640"/>
        <w:spacing w:after="0" w:line="269" w:lineRule="auto"/>
        <w:rPr>
          <w:sz w:val="20"/>
          <w:szCs w:val="20"/>
          <w:color w:val="auto"/>
        </w:rPr>
      </w:pPr>
      <w:r>
        <w:rPr>
          <w:rFonts w:ascii="Times New Roman" w:cs="Times New Roman" w:eastAsia="Times New Roman" w:hAnsi="Times New Roman"/>
          <w:sz w:val="20"/>
          <w:szCs w:val="20"/>
          <w:color w:val="auto"/>
        </w:rPr>
        <w:t>Check the appropriate box to indicate the rule pursuant to which this Form is being submitted, and provide the period to which the information in this Form applies:</w:t>
      </w:r>
    </w:p>
    <w:p>
      <w:pPr>
        <w:spacing w:after="0" w:line="186" w:lineRule="exact"/>
        <w:rPr>
          <w:sz w:val="24"/>
          <w:szCs w:val="24"/>
          <w:color w:val="auto"/>
        </w:rPr>
      </w:pPr>
    </w:p>
    <w:p>
      <w:pPr>
        <w:ind w:left="620" w:hanging="612"/>
        <w:spacing w:after="0"/>
        <w:tabs>
          <w:tab w:leader="none" w:pos="62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Rule 13p-1 under the Securities Exchange Act (17 CFR 240.13p-1) for the reporting period from January 1 to December 31, 2025.</w:t>
      </w:r>
    </w:p>
    <w:p>
      <w:pPr>
        <w:spacing w:after="0" w:line="254" w:lineRule="exact"/>
        <w:rPr>
          <w:sz w:val="24"/>
          <w:szCs w:val="24"/>
          <w:color w:val="auto"/>
        </w:rPr>
      </w:pPr>
    </w:p>
    <w:p>
      <w:pPr>
        <w:ind w:left="620" w:hanging="612"/>
        <w:spacing w:after="0"/>
        <w:tabs>
          <w:tab w:leader="none" w:pos="620" w:val="left"/>
        </w:tabs>
        <w:numPr>
          <w:ilvl w:val="0"/>
          <w:numId w:val="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13q-1 under the Securities Exchange Act (17 CFR 240.13q-1) for the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1621790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982980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440" w:right="6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21" w:lineRule="exact"/>
        <w:rPr>
          <w:sz w:val="20"/>
          <w:szCs w:val="20"/>
          <w:color w:val="auto"/>
        </w:rPr>
      </w:pPr>
    </w:p>
    <w:p>
      <w:pPr>
        <w:ind w:right="180" w:firstLine="749"/>
        <w:spacing w:after="0" w:line="267" w:lineRule="auto"/>
        <w:rPr>
          <w:sz w:val="20"/>
          <w:szCs w:val="20"/>
          <w:color w:val="auto"/>
        </w:rPr>
      </w:pPr>
      <w:r>
        <w:rPr>
          <w:rFonts w:ascii="Times New Roman" w:cs="Times New Roman" w:eastAsia="Times New Roman" w:hAnsi="Times New Roman"/>
          <w:sz w:val="18"/>
          <w:szCs w:val="18"/>
          <w:color w:val="auto"/>
        </w:rPr>
        <w:t>Pursuant to Rule 13p-1 under the Securities Exchange Act of 1934, as amended, and Form SD, a Conflict Minerals Report of RxSight, Inc., for the period from January 1, 2025 to December 31, 2025, is provided as Exhibit 1.01 hereto. It is publicly available at http://investors.rxsight.com</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The contents of that website are for informational purposes only and are not incorporated by reference into, and are not otherwise a part of, this Form SD.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Conflict Minerals Report described in Item 1.01 is filed as Exhibit 1.01 to this Form SD.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9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9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RxSight, Inc. Conflict Minerals Report as required by Items 1.01 of this Form SD.</w:t>
            </w:r>
          </w:p>
        </w:tc>
      </w:tr>
      <w:tr>
        <w:trPr>
          <w:trHeight w:val="1216"/>
        </w:trPr>
        <w:tc>
          <w:tcPr>
            <w:tcW w:w="1920" w:type="dxa"/>
            <w:vAlign w:val="bottom"/>
            <w:tcBorders>
              <w:bottom w:val="single" w:sz="8" w:color="9A9A9A"/>
            </w:tcBorders>
          </w:tcPr>
          <w:p>
            <w:pPr>
              <w:spacing w:after="0"/>
              <w:rPr>
                <w:sz w:val="24"/>
                <w:szCs w:val="24"/>
                <w:color w:val="auto"/>
              </w:rPr>
            </w:pPr>
          </w:p>
        </w:tc>
        <w:tc>
          <w:tcPr>
            <w:tcW w:w="5940" w:type="dxa"/>
            <w:vAlign w:val="bottom"/>
            <w:tcBorders>
              <w:top w:val="single" w:sz="8" w:color="0000FF"/>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2" w:name="page3"/>
    <w:bookmarkEnd w:id="2"/>
    <w:p>
      <w:pPr>
        <w:ind w:left="508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RxSight,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May 29, 2026</w:t>
      </w:r>
      <w:r>
        <w:rPr>
          <w:sz w:val="20"/>
          <w:szCs w:val="20"/>
          <w:color w:val="auto"/>
        </w:rPr>
        <w:tab/>
      </w:r>
      <w:r>
        <w:rPr>
          <w:rFonts w:ascii="Times New Roman" w:cs="Times New Roman" w:eastAsia="Times New Roman" w:hAnsi="Times New Roman"/>
          <w:sz w:val="18"/>
          <w:szCs w:val="18"/>
          <w:color w:val="auto"/>
        </w:rPr>
        <w:t>By:</w:t>
        <w:tab/>
        <w:t>/s/ Mark Wilterding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Mark Wilterding</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995" w:right="9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RxSight,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Conflict Minerals Report</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Reporting Period from January 1, 2025 to December 31, 2025</w:t>
      </w:r>
    </w:p>
    <w:p>
      <w:pPr>
        <w:spacing w:after="0" w:line="203"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i w:val="1"/>
          <w:iCs w:val="1"/>
          <w:color w:val="auto"/>
        </w:rPr>
        <w:t>Cautionary Note Concerning Forward-Looking Statements: This Conflict Minerals Report contains forward-looking statements within the meaning of federal securities laws. These forward-looking statements include statements concerning RxSight’s objectives for its conflict minerals policy and compliance initiatives and actions it intends to take relating to conflict minerals. Forward-looking statements involve substantial risks and uncertainties that could cause actual results to differ materially from currently anticipated results. When considering forward-looking statements, you should consider, among other factors, the risk factors described in the reports and other filings that RxSight, Inc. files with the United States Securities and Exchange Commission, including RxSight’s Annual Report on Form 10-K for the year ended December 31, 2025 and its subsequent Quarterly Reports on Form 10-Q. The risk factors included in these filings are not exhaustive, and risks that are not identified therein could materially affect whether RxSight realizes the results anticipated or implied by any forward-looking statements contained in this Conflict Minerals Report. Except as required by law, RxSight disclaims any obligation to update these forward-looking statements, whether as a result of new information, future events, or otherwise.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23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This Conflict Minerals Report (this “Report”) for RxSight, Inc. (“RxSight” or “we” or “our”) covers the reporting period from January 1, 2025 to December 31, 2025 and is presented in accordance with Rule 13p-1 promulgated under the Securities Exchange Act of 1934, as amended (“Rule 13p-1”). This Report is filed as Exhibit 1.01 to our Specialized Disclosure Report on Form SD (the “Form SD”). A copy of this Report and the Form SD are publicly available on our website at http://investors.rxsight.com/. Information contained on, or that can be accessed through, our website, does not constitute part of this Report and inclusion of our website address in this Report is an inactive textual reference only.</w:t>
      </w:r>
    </w:p>
    <w:p>
      <w:pPr>
        <w:spacing w:after="0" w:line="198" w:lineRule="exact"/>
        <w:rPr>
          <w:sz w:val="20"/>
          <w:szCs w:val="20"/>
          <w:color w:val="auto"/>
        </w:rPr>
      </w:pPr>
    </w:p>
    <w:p>
      <w:pPr>
        <w:jc w:val="both"/>
        <w:ind w:firstLine="849"/>
        <w:spacing w:after="0" w:line="243" w:lineRule="auto"/>
        <w:rPr>
          <w:sz w:val="20"/>
          <w:szCs w:val="20"/>
          <w:color w:val="auto"/>
        </w:rPr>
      </w:pPr>
      <w:r>
        <w:rPr>
          <w:rFonts w:ascii="Times New Roman" w:cs="Times New Roman" w:eastAsia="Times New Roman" w:hAnsi="Times New Roman"/>
          <w:sz w:val="20"/>
          <w:szCs w:val="20"/>
          <w:color w:val="auto"/>
        </w:rPr>
        <w:t>In 2010, the United States enacted the Dodd-Frank Wall Street Reform and Consumer Protection Act (the “Act”). Section 1502 of the Act relates to conflict minerals and requires companies subject to the Act to file a Form SD annually with the United States Securities and Exchange Commission (“SEC”) to disclose whether the minerals specified in Rule 13p-1 and their derivatives, limited to tungsten, tantalum, tin, and gold (referred to as the “3TG”), used in their products benefited, directly or indirectly, armed groups in the Democratic Republic of the Congo and the nine countries with which it shares an internationally recognized border: Angola, Burundi, Central African Republic, Republic of the Congo, Rwanda, South Sudan, Tanzania, Uganda, and Zambia (collectively, the “Covered Countries”). This Report, which is an exhibit to our Form SD, describes the design and implementation of our conflict minerals due diligence measures undertaken, including a description of how these measures were designed to determine, to our knowledge, the source mines, countries of origin, and processing facilities for 3TG contained in components used in our products.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RxSight Background and Covered Products</w:t>
      </w:r>
    </w:p>
    <w:p>
      <w:pPr>
        <w:spacing w:after="0" w:line="233" w:lineRule="exact"/>
        <w:rPr>
          <w:sz w:val="20"/>
          <w:szCs w:val="20"/>
          <w:color w:val="auto"/>
        </w:rPr>
      </w:pPr>
    </w:p>
    <w:p>
      <w:pPr>
        <w:jc w:val="both"/>
        <w:ind w:firstLine="749"/>
        <w:spacing w:after="0" w:line="228" w:lineRule="auto"/>
        <w:rPr>
          <w:sz w:val="20"/>
          <w:szCs w:val="20"/>
          <w:color w:val="auto"/>
        </w:rPr>
      </w:pPr>
      <w:r>
        <w:rPr>
          <w:rFonts w:ascii="Times New Roman" w:cs="Times New Roman" w:eastAsia="Times New Roman" w:hAnsi="Times New Roman"/>
          <w:sz w:val="20"/>
          <w:szCs w:val="20"/>
          <w:color w:val="auto"/>
        </w:rPr>
        <w:t>We are a commercial-stage medical technology company dedicated to providing high-quality customized vision to patients following cataract surgery. Our proprietary RxSight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Light Adjustable Lens system (“RxSight system”) is the first and only commercially available premium cataract technology that enables doctors to customize and optimize visual acuity for patients after surgery. The RxSight system is comprised of our RxSight Light Adjustable Lens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(LAL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/LAL+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collectively the “LAL”), RxSight Light Delivery Device™ (“LDD™”) and related accessories. The LAL is a premium intraocular lens (“IOL”) made from the proprietary silicone-based photosensitive material that undergoes controlled changes in refractive power when exposed to specific ultraviolet (“UV”) light patterns generated by the LDD.</w:t>
      </w:r>
    </w:p>
    <w:p>
      <w:pPr>
        <w:spacing w:after="0" w:line="81"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Our commercial efforts began in 2019, and have been primarily focused in the U.S., where we are building a “razor and razor blade” business model to drive new customer adoption and ongoing LAL volume growth. Our sales efforts are concentrated on the approximately 4,000 U.S. cataract surgeons that perform approximately 60% of all premium IOL procedures. We currently manufacture, assemble, test, and ship our RxSight system in Aliso Viejo, California at our campus of five facilities which consist of an aggregate of approximately 150,000 total square feet. Our manufacturing operations require a wide variety of raw materials that we rely on third-party manufacturers to supply. Our suppliers are evaluated, qualified, and approved as part of our supplier quality program, which includes verification and monitoring procedures to ensure that our suppliers comply with FDA and ISO standards, as well as our own specifications and requirements. We inspect and verify externally sourced components under strict processes supported by internal policies and procedures.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 w:name="page5"/>
    <w:bookmarkEnd w:id="4"/>
    <w:p>
      <w:pPr>
        <w:jc w:val="both"/>
        <w:spacing w:after="0" w:line="269" w:lineRule="auto"/>
        <w:rPr>
          <w:sz w:val="20"/>
          <w:szCs w:val="20"/>
          <w:color w:val="auto"/>
        </w:rPr>
      </w:pPr>
      <w:r>
        <w:rPr>
          <w:rFonts w:ascii="Times New Roman" w:cs="Times New Roman" w:eastAsia="Times New Roman" w:hAnsi="Times New Roman"/>
          <w:sz w:val="20"/>
          <w:szCs w:val="20"/>
          <w:color w:val="auto"/>
        </w:rPr>
        <w:t>maintain a rigorous change control policy to assure that no product or process changes are implemented without our prior review and approval.</w:t>
      </w:r>
    </w:p>
    <w:p>
      <w:pPr>
        <w:spacing w:after="0" w:line="51"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We have determined that one or more of the 3TG may be necessary to the functionality or production of the LDD™ we manufactured during 2025. As a result, our LDD™ are considered “covered products” for purposes of this Report.</w:t>
      </w:r>
    </w:p>
    <w:p>
      <w:pPr>
        <w:spacing w:after="0" w:line="51" w:lineRule="exact"/>
        <w:rPr>
          <w:sz w:val="20"/>
          <w:szCs w:val="20"/>
          <w:color w:val="auto"/>
        </w:rPr>
      </w:pPr>
    </w:p>
    <w:p>
      <w:pPr>
        <w:jc w:val="both"/>
        <w:ind w:firstLine="801"/>
        <w:spacing w:after="0" w:line="249" w:lineRule="auto"/>
        <w:rPr>
          <w:sz w:val="20"/>
          <w:szCs w:val="20"/>
          <w:color w:val="auto"/>
        </w:rPr>
      </w:pPr>
      <w:r>
        <w:rPr>
          <w:rFonts w:ascii="Times New Roman" w:cs="Times New Roman" w:eastAsia="Times New Roman" w:hAnsi="Times New Roman"/>
          <w:sz w:val="20"/>
          <w:szCs w:val="20"/>
          <w:color w:val="auto"/>
        </w:rPr>
        <w:t>Our supply chain with respect to the covered products is complex, and there are many third-parties in the supply chain between the original source of the 3TG and the manufacturer of the covered products. We do not purchase raw ore or unrefined 3TG directly and make no purchases in the Covered Countries. As a result, and as described more fully below, we rely on our suppliers to provide information on the origin of the conflict minerals contained in our LDD™.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RxSight Reasonable Country of Origin Inquiry</w:t>
      </w:r>
    </w:p>
    <w:p>
      <w:pPr>
        <w:spacing w:after="0" w:line="233" w:lineRule="exact"/>
        <w:rPr>
          <w:sz w:val="20"/>
          <w:szCs w:val="20"/>
          <w:color w:val="auto"/>
        </w:rPr>
      </w:pPr>
    </w:p>
    <w:p>
      <w:pPr>
        <w:jc w:val="both"/>
        <w:ind w:firstLine="849"/>
        <w:spacing w:after="0" w:line="249" w:lineRule="auto"/>
        <w:rPr>
          <w:sz w:val="20"/>
          <w:szCs w:val="20"/>
          <w:color w:val="auto"/>
        </w:rPr>
      </w:pPr>
      <w:r>
        <w:rPr>
          <w:rFonts w:ascii="Times New Roman" w:cs="Times New Roman" w:eastAsia="Times New Roman" w:hAnsi="Times New Roman"/>
          <w:sz w:val="20"/>
          <w:szCs w:val="20"/>
          <w:color w:val="auto"/>
        </w:rPr>
        <w:t>In accordance with Rule 13p-1 and Form SD, we determined that one or more of the 3TG may be necessary to the functionality or production of our LDD™ and that such 3TG are incorporated into our LDD™ during the manufacturing process. Accordingly, we undertook a reasonable country of origin inquiry (“RCOI”). This good faith RCOI was reasonably designed to determine whether any of the 3TG incorporated into our LDD™ originated in the Covered Countries.</w:t>
      </w:r>
    </w:p>
    <w:p>
      <w:pPr>
        <w:spacing w:after="0" w:line="193" w:lineRule="exact"/>
        <w:rPr>
          <w:sz w:val="20"/>
          <w:szCs w:val="20"/>
          <w:color w:val="auto"/>
        </w:rPr>
      </w:pPr>
    </w:p>
    <w:p>
      <w:pPr>
        <w:jc w:val="both"/>
        <w:ind w:firstLine="849"/>
        <w:spacing w:after="0" w:line="246" w:lineRule="auto"/>
        <w:rPr>
          <w:sz w:val="20"/>
          <w:szCs w:val="20"/>
          <w:color w:val="auto"/>
        </w:rPr>
      </w:pPr>
      <w:r>
        <w:rPr>
          <w:rFonts w:ascii="Times New Roman" w:cs="Times New Roman" w:eastAsia="Times New Roman" w:hAnsi="Times New Roman"/>
          <w:sz w:val="20"/>
          <w:szCs w:val="20"/>
          <w:color w:val="auto"/>
        </w:rPr>
        <w:t>Our RCOI consisted principally of submitting the conflict minerals reporting template (the “RMI Template”) prepared by the Responsible Minerals Initiative (“RMI”), an initiative of the Responsible Business Alliance, to suppliers of components for our LDD™ that are considered necessary to the functionality or production of our LDD™ and for which any 3TG or their derivatives may be included (“first-tier suppliers”). We reviewed all responses for completeness, reasonableness, and consistency, and we followed up for corrections and clarifications as we determined appropriate.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RxSight’s Due Diligence Process</w:t>
      </w:r>
    </w:p>
    <w:p>
      <w:pPr>
        <w:spacing w:after="0" w:line="233" w:lineRule="exact"/>
        <w:rPr>
          <w:sz w:val="20"/>
          <w:szCs w:val="20"/>
          <w:color w:val="auto"/>
        </w:rPr>
      </w:pPr>
    </w:p>
    <w:p>
      <w:pPr>
        <w:jc w:val="both"/>
        <w:ind w:firstLine="849"/>
        <w:spacing w:after="0" w:line="259" w:lineRule="auto"/>
        <w:rPr>
          <w:sz w:val="20"/>
          <w:szCs w:val="20"/>
          <w:color w:val="auto"/>
        </w:rPr>
      </w:pPr>
      <w:r>
        <w:rPr>
          <w:rFonts w:ascii="Times New Roman" w:cs="Times New Roman" w:eastAsia="Times New Roman" w:hAnsi="Times New Roman"/>
          <w:sz w:val="19"/>
          <w:szCs w:val="19"/>
          <w:color w:val="auto"/>
        </w:rPr>
        <w:t>Our due diligence measures were designed to conform, in all material respects, with the framework in the Organisation for Economic Co-operation and Development (“OECD”) Due Diligence Guidance for Responsible Supply Chains of Minerals from Conflict-Affected and High-Risk Areas (the “OECD Framework”). The objectives of our diligence initiative were to determine, to the best of our ability, whether one or more of the 3TG is incorporated into our LDD™; whether any such 3TG incorporated into our LDD™ was necessary for the functionality and/or production of our LDD™; the source and chain of custody of the 3TG necessary for the functionality and/or production of our LDD™; and whether any such 3TG originated in the Covered Countries. In the event that 3TG from the Covered Countries which benefit armed groups are found in our supply chain, we will take appropriate actions in a timely manner to resolve the situation.</w:t>
      </w:r>
    </w:p>
    <w:p>
      <w:pPr>
        <w:spacing w:after="0" w:line="18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Due diligence measures that we implemented included, but were not limited, to the following:</w:t>
      </w:r>
    </w:p>
    <w:p>
      <w:pPr>
        <w:spacing w:after="0" w:line="229" w:lineRule="exact"/>
        <w:rPr>
          <w:sz w:val="20"/>
          <w:szCs w:val="20"/>
          <w:color w:val="auto"/>
        </w:rPr>
      </w:pPr>
    </w:p>
    <w:p>
      <w:pPr>
        <w:ind w:left="1700" w:hanging="200"/>
        <w:spacing w:after="0"/>
        <w:tabs>
          <w:tab w:leader="none" w:pos="17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Establishment of Internal Management Systems</w:t>
      </w:r>
    </w:p>
    <w:p>
      <w:pPr>
        <w:spacing w:after="0" w:line="333" w:lineRule="exact"/>
        <w:rPr>
          <w:rFonts w:ascii="Times New Roman" w:cs="Times New Roman" w:eastAsia="Times New Roman" w:hAnsi="Times New Roman"/>
          <w:sz w:val="20"/>
          <w:szCs w:val="20"/>
          <w:color w:val="auto"/>
        </w:rPr>
      </w:pPr>
    </w:p>
    <w:p>
      <w:pPr>
        <w:jc w:val="both"/>
        <w:ind w:left="3000" w:hanging="371"/>
        <w:spacing w:after="0" w:line="256" w:lineRule="auto"/>
        <w:tabs>
          <w:tab w:leader="none" w:pos="3000" w:val="left"/>
        </w:tabs>
        <w:numPr>
          <w:ilvl w:val="1"/>
          <w:numId w:val="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Internal Management to Support Supply Chain Due Diligence</w:t>
      </w:r>
      <w:r>
        <w:rPr>
          <w:rFonts w:ascii="Times New Roman" w:cs="Times New Roman" w:eastAsia="Times New Roman" w:hAnsi="Times New Roman"/>
          <w:sz w:val="20"/>
          <w:szCs w:val="20"/>
          <w:color w:val="auto"/>
        </w:rPr>
        <w:t>. The RxSight finance department has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been charged with the management of our conflict minerals program, working in collaboration with members from our legal and operations team.</w:t>
      </w:r>
    </w:p>
    <w:p>
      <w:pPr>
        <w:spacing w:after="0" w:line="276" w:lineRule="exact"/>
        <w:rPr>
          <w:rFonts w:ascii="Times New Roman" w:cs="Times New Roman" w:eastAsia="Times New Roman" w:hAnsi="Times New Roman"/>
          <w:sz w:val="20"/>
          <w:szCs w:val="20"/>
          <w:i w:val="1"/>
          <w:iCs w:val="1"/>
          <w:color w:val="auto"/>
        </w:rPr>
      </w:pPr>
    </w:p>
    <w:p>
      <w:pPr>
        <w:jc w:val="both"/>
        <w:ind w:left="3000" w:hanging="371"/>
        <w:spacing w:after="0" w:line="246" w:lineRule="auto"/>
        <w:tabs>
          <w:tab w:leader="none" w:pos="3000" w:val="left"/>
        </w:tabs>
        <w:numPr>
          <w:ilvl w:val="1"/>
          <w:numId w:val="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Controls and Transparency</w:t>
      </w:r>
      <w:r>
        <w:rPr>
          <w:rFonts w:ascii="Times New Roman" w:cs="Times New Roman" w:eastAsia="Times New Roman" w:hAnsi="Times New Roman"/>
          <w:sz w:val="20"/>
          <w:szCs w:val="20"/>
          <w:color w:val="auto"/>
        </w:rPr>
        <w:t>. As described above, we undertook a RCOI with respect to conflict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minerals in our supply chain by providing the RMI Template to our first-tier suppliers to gather information about their use of 3TG, the smelters and refiners in their supply chain that are included in our LDD™, and the countries of origin for 3TG used in our LDD™. We reviewed all responses for completeness, reasonableness, and consistency. We followed up for corrections and clarifications as we determined appropriate.</w:t>
      </w:r>
    </w:p>
    <w:p>
      <w:pPr>
        <w:spacing w:after="0" w:line="70" w:lineRule="exact"/>
        <w:rPr>
          <w:rFonts w:ascii="Times New Roman" w:cs="Times New Roman" w:eastAsia="Times New Roman" w:hAnsi="Times New Roman"/>
          <w:sz w:val="20"/>
          <w:szCs w:val="20"/>
          <w:i w:val="1"/>
          <w:iCs w:val="1"/>
          <w:color w:val="auto"/>
        </w:rPr>
      </w:pPr>
    </w:p>
    <w:p>
      <w:pPr>
        <w:jc w:val="both"/>
        <w:ind w:left="3000" w:hanging="371"/>
        <w:spacing w:after="0" w:line="247" w:lineRule="auto"/>
        <w:tabs>
          <w:tab w:leader="none" w:pos="3000" w:val="left"/>
        </w:tabs>
        <w:numPr>
          <w:ilvl w:val="1"/>
          <w:numId w:val="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Supplier Engagement. </w:t>
      </w:r>
      <w:r>
        <w:rPr>
          <w:rFonts w:ascii="Times New Roman" w:cs="Times New Roman" w:eastAsia="Times New Roman" w:hAnsi="Times New Roman"/>
          <w:sz w:val="20"/>
          <w:szCs w:val="20"/>
          <w:color w:val="auto"/>
        </w:rPr>
        <w:t>We continue to engage actively with our first-tier suppliers to strengthen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relationship with them. We have communicated to our suppliers our commitment to source conflict minerals in a manner that does not, directly or indirectly, benefit armed groups in the Covered Countries. We will consider alternative arrangements for our supply needs if our suppliers are unable to cooperate in our due diligence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both"/>
        <w:ind w:left="3000" w:hanging="371"/>
        <w:spacing w:after="0" w:line="256" w:lineRule="auto"/>
        <w:tabs>
          <w:tab w:leader="none" w:pos="3000" w:val="left"/>
        </w:tabs>
        <w:numPr>
          <w:ilvl w:val="1"/>
          <w:numId w:val="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Grievance Mechanism</w:t>
      </w:r>
      <w:r>
        <w:rPr>
          <w:rFonts w:ascii="Times New Roman" w:cs="Times New Roman" w:eastAsia="Times New Roman" w:hAnsi="Times New Roman"/>
          <w:sz w:val="20"/>
          <w:szCs w:val="20"/>
          <w:color w:val="auto"/>
        </w:rPr>
        <w:t>. Our Code of Business Conduct and Ethics includes procedures for reporting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violations of our policies, and we provide mechanisms for anonymous reporting of violations or concerns about the conduct of our business.</w:t>
      </w:r>
    </w:p>
    <w:p>
      <w:pPr>
        <w:spacing w:after="0" w:line="186" w:lineRule="exact"/>
        <w:rPr>
          <w:rFonts w:ascii="Times New Roman" w:cs="Times New Roman" w:eastAsia="Times New Roman" w:hAnsi="Times New Roman"/>
          <w:sz w:val="20"/>
          <w:szCs w:val="20"/>
          <w:i w:val="1"/>
          <w:iCs w:val="1"/>
          <w:color w:val="auto"/>
        </w:rPr>
      </w:pPr>
    </w:p>
    <w:p>
      <w:pPr>
        <w:ind w:left="1700" w:hanging="200"/>
        <w:spacing w:after="0"/>
        <w:tabs>
          <w:tab w:leader="none" w:pos="17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Identification and Assessment of Risks in the Supply Chain</w:t>
      </w:r>
    </w:p>
    <w:p>
      <w:pPr>
        <w:spacing w:after="0" w:line="229" w:lineRule="exact"/>
        <w:rPr>
          <w:sz w:val="20"/>
          <w:szCs w:val="20"/>
          <w:color w:val="auto"/>
        </w:rPr>
      </w:pPr>
    </w:p>
    <w:p>
      <w:pPr>
        <w:jc w:val="both"/>
        <w:ind w:left="1960" w:firstLine="849"/>
        <w:spacing w:after="0" w:line="249" w:lineRule="auto"/>
        <w:rPr>
          <w:sz w:val="20"/>
          <w:szCs w:val="20"/>
          <w:color w:val="auto"/>
        </w:rPr>
      </w:pPr>
      <w:r>
        <w:rPr>
          <w:rFonts w:ascii="Times New Roman" w:cs="Times New Roman" w:eastAsia="Times New Roman" w:hAnsi="Times New Roman"/>
          <w:sz w:val="20"/>
          <w:szCs w:val="20"/>
          <w:color w:val="auto"/>
        </w:rPr>
        <w:t>As discussed above, we identified our first-tier suppliers and relied on them to provide the necessary information about the use of 3TG in the products we purchase and incorporate into the manufacturing process of our RxSight system, and the source of such 3TG. Similarly, our first-tier suppliers rely on information provided by their suppliers to provide information regarding the country of origin of 3TG included in our LDD™.</w:t>
      </w:r>
    </w:p>
    <w:p>
      <w:pPr>
        <w:spacing w:after="0" w:line="193" w:lineRule="exact"/>
        <w:rPr>
          <w:sz w:val="20"/>
          <w:szCs w:val="20"/>
          <w:color w:val="auto"/>
        </w:rPr>
      </w:pPr>
    </w:p>
    <w:p>
      <w:pPr>
        <w:ind w:left="1700" w:hanging="200"/>
        <w:spacing w:after="0"/>
        <w:tabs>
          <w:tab w:leader="none" w:pos="17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Designing and Implementing a Strategy to Respond to Identified Risks</w:t>
      </w:r>
    </w:p>
    <w:p>
      <w:pPr>
        <w:spacing w:after="0" w:line="229" w:lineRule="exact"/>
        <w:rPr>
          <w:sz w:val="20"/>
          <w:szCs w:val="20"/>
          <w:color w:val="auto"/>
        </w:rPr>
      </w:pPr>
    </w:p>
    <w:p>
      <w:pPr>
        <w:jc w:val="both"/>
        <w:ind w:left="1960" w:firstLine="849"/>
        <w:spacing w:after="0" w:line="254" w:lineRule="auto"/>
        <w:rPr>
          <w:sz w:val="20"/>
          <w:szCs w:val="20"/>
          <w:color w:val="auto"/>
        </w:rPr>
      </w:pPr>
      <w:r>
        <w:rPr>
          <w:rFonts w:ascii="Times New Roman" w:cs="Times New Roman" w:eastAsia="Times New Roman" w:hAnsi="Times New Roman"/>
          <w:sz w:val="20"/>
          <w:szCs w:val="20"/>
          <w:color w:val="auto"/>
        </w:rPr>
        <w:t>We will review circumstances in which certain suppliers are unable to provide us with complete or reliable responses to the RMI Template including, without limitation, considering whether to continue such contract or relationship or find a replacement supplier.</w:t>
      </w:r>
    </w:p>
    <w:p>
      <w:pPr>
        <w:spacing w:after="0" w:line="188" w:lineRule="exact"/>
        <w:rPr>
          <w:sz w:val="20"/>
          <w:szCs w:val="20"/>
          <w:color w:val="auto"/>
        </w:rPr>
      </w:pPr>
    </w:p>
    <w:p>
      <w:pPr>
        <w:ind w:left="1700" w:hanging="195"/>
        <w:spacing w:after="0"/>
        <w:tabs>
          <w:tab w:leader="none" w:pos="17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Carrying Out Independent Third-Party Audit of Supply Chain Due Diligence at Identified Points in the Supply Chain</w:t>
      </w:r>
    </w:p>
    <w:p>
      <w:pPr>
        <w:spacing w:after="0" w:line="229" w:lineRule="exact"/>
        <w:rPr>
          <w:sz w:val="20"/>
          <w:szCs w:val="20"/>
          <w:color w:val="auto"/>
        </w:rPr>
      </w:pPr>
    </w:p>
    <w:p>
      <w:pPr>
        <w:jc w:val="both"/>
        <w:ind w:left="1960" w:firstLine="849"/>
        <w:spacing w:after="0" w:line="246" w:lineRule="auto"/>
        <w:rPr>
          <w:sz w:val="20"/>
          <w:szCs w:val="20"/>
          <w:color w:val="auto"/>
        </w:rPr>
      </w:pPr>
      <w:r>
        <w:rPr>
          <w:rFonts w:ascii="Times New Roman" w:cs="Times New Roman" w:eastAsia="Times New Roman" w:hAnsi="Times New Roman"/>
          <w:sz w:val="20"/>
          <w:szCs w:val="20"/>
          <w:color w:val="auto"/>
        </w:rPr>
        <w:t>We do not have a direct relationship with any smelters or refiners in our supply chain. As a result, we do not and cannot conduct any audits directly. Instead, we have supported the development and implementation of independent third-party audits of smelters such as the Responsible Minerals Assurance Program (“RMAP”) by encouraging our suppliers to purchase materials from audited, conflict-free smelters and determining whether the smelters that were used to process these minerals were validated as conflict-free by the RMAP.</w:t>
      </w:r>
    </w:p>
    <w:p>
      <w:pPr>
        <w:spacing w:after="0" w:line="198" w:lineRule="exact"/>
        <w:rPr>
          <w:sz w:val="20"/>
          <w:szCs w:val="20"/>
          <w:color w:val="auto"/>
        </w:rPr>
      </w:pPr>
    </w:p>
    <w:p>
      <w:pPr>
        <w:ind w:left="1700" w:hanging="200"/>
        <w:spacing w:after="0"/>
        <w:tabs>
          <w:tab w:leader="none" w:pos="17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Reporting on Supply Chain Due Diligence</w:t>
      </w:r>
    </w:p>
    <w:p>
      <w:pPr>
        <w:spacing w:after="0" w:line="229" w:lineRule="exact"/>
        <w:rPr>
          <w:sz w:val="20"/>
          <w:szCs w:val="20"/>
          <w:color w:val="auto"/>
        </w:rPr>
      </w:pPr>
    </w:p>
    <w:p>
      <w:pPr>
        <w:jc w:val="both"/>
        <w:ind w:left="1960" w:firstLine="849"/>
        <w:spacing w:after="0" w:line="246" w:lineRule="auto"/>
        <w:rPr>
          <w:sz w:val="20"/>
          <w:szCs w:val="20"/>
          <w:color w:val="auto"/>
        </w:rPr>
      </w:pPr>
      <w:r>
        <w:rPr>
          <w:rFonts w:ascii="Times New Roman" w:cs="Times New Roman" w:eastAsia="Times New Roman" w:hAnsi="Times New Roman"/>
          <w:sz w:val="20"/>
          <w:szCs w:val="20"/>
          <w:color w:val="auto"/>
        </w:rPr>
        <w:t>We publicly filed the Form SD and this Report with the SEC. A copy of this Report and the Form SD are publicly available at http://investors.rxsight.com/. This Report includes information about the RCOI methodology utilized by the Company, the design of our due diligence process in conformance with the OECD Framework, the list of known smelters and refiners utilized in our supply chain identified in our due diligence process, and a description of our LDD™ that incorporate 3TG necessary to the functionality or production of such products.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Smelters and Refiners in RxSight’s Supply Chain</w:t>
      </w:r>
    </w:p>
    <w:p>
      <w:pPr>
        <w:spacing w:after="0" w:line="233" w:lineRule="exact"/>
        <w:rPr>
          <w:sz w:val="20"/>
          <w:szCs w:val="20"/>
          <w:color w:val="auto"/>
        </w:rPr>
      </w:pPr>
    </w:p>
    <w:p>
      <w:pPr>
        <w:jc w:val="both"/>
        <w:ind w:firstLine="898"/>
        <w:spacing w:after="0" w:line="243" w:lineRule="auto"/>
        <w:rPr>
          <w:sz w:val="20"/>
          <w:szCs w:val="20"/>
          <w:color w:val="auto"/>
        </w:rPr>
      </w:pPr>
      <w:r>
        <w:rPr>
          <w:rFonts w:ascii="Times New Roman" w:cs="Times New Roman" w:eastAsia="Times New Roman" w:hAnsi="Times New Roman"/>
          <w:sz w:val="20"/>
          <w:szCs w:val="20"/>
          <w:color w:val="auto"/>
        </w:rPr>
        <w:t>Based on the information that was provided by our suppliers and otherwise obtained through the due diligence process, we believe that, to the extent reasonably determinable, the facilities that were used to process the 3TG contained in the covered products included the smelters and refiners listed in Annex A attached hereto. This table includes only facilities that are listed in the RMI Smelter Reference List as of May 29, 2026. An indication of “Conformant” in the far-right column of the table indicates that the smelter or refinery has successfully completed an assessment against the applicable RMAP standard or an equivalent cross-recognized assessment or is presently undergoing a re-audit to maintain its “conflict free” designation. An indication of “Active” in the far-right column of the table indicates that the smelter or refinery has not yet received a “conflict free” designation but is undergoing an audit process that will determine such status. An indication of “Unknown” in the far-right column of the table indicates that the smelter or refinery was not included in the RMI “Conformant” or “Active” lists and thus the facility’s designation is undeterminable.</w:t>
      </w:r>
    </w:p>
    <w:p>
      <w:pPr>
        <w:spacing w:after="0" w:line="199" w:lineRule="exact"/>
        <w:rPr>
          <w:sz w:val="20"/>
          <w:szCs w:val="20"/>
          <w:color w:val="auto"/>
        </w:rPr>
      </w:pPr>
    </w:p>
    <w:p>
      <w:pPr>
        <w:jc w:val="both"/>
        <w:ind w:firstLine="849"/>
        <w:spacing w:after="0" w:line="245" w:lineRule="auto"/>
        <w:rPr>
          <w:sz w:val="20"/>
          <w:szCs w:val="20"/>
          <w:color w:val="auto"/>
        </w:rPr>
      </w:pPr>
      <w:r>
        <w:rPr>
          <w:rFonts w:ascii="Times New Roman" w:cs="Times New Roman" w:eastAsia="Times New Roman" w:hAnsi="Times New Roman"/>
          <w:sz w:val="20"/>
          <w:szCs w:val="20"/>
          <w:color w:val="auto"/>
        </w:rPr>
        <w:t>Because the RMI Smelter Reference List generally did not indicate individual countries of origin of the conflict minerals processed by smelters and refiners, we were not able to determine the countries of origin of the 3TG processed by the listed smelters and refiners with greater specificity. Furthermore, as stated earlier, submission of these smelters by our first-tier suppliers does not guarantee that these smelters or refiners are present in the Company’s supply chain as our first-tier suppliers were generally only able to provide company-level RMI Templates and not able to provide product-level RMI Templates directly linking those smelters or refiners to the covered products. Therefore, based on our due diligence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color w:val="auto"/>
        </w:rPr>
        <w:t>we do not have sufficient information to conclusively determine the countries of origin of the 3TG contained in the covered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Risk Factors</w:t>
      </w:r>
    </w:p>
    <w:p>
      <w:pPr>
        <w:spacing w:after="0" w:line="233" w:lineRule="exact"/>
        <w:rPr>
          <w:sz w:val="20"/>
          <w:szCs w:val="20"/>
          <w:color w:val="auto"/>
        </w:rPr>
      </w:pPr>
    </w:p>
    <w:p>
      <w:pPr>
        <w:jc w:val="both"/>
        <w:ind w:firstLine="849"/>
        <w:spacing w:after="0" w:line="243" w:lineRule="auto"/>
        <w:rPr>
          <w:sz w:val="20"/>
          <w:szCs w:val="20"/>
          <w:color w:val="auto"/>
        </w:rPr>
      </w:pPr>
      <w:r>
        <w:rPr>
          <w:rFonts w:ascii="Times New Roman" w:cs="Times New Roman" w:eastAsia="Times New Roman" w:hAnsi="Times New Roman"/>
          <w:sz w:val="20"/>
          <w:szCs w:val="20"/>
          <w:color w:val="auto"/>
        </w:rPr>
        <w:t>The statements above are based on the RCOI process and due diligence performed in good faith by RxSight. These statements are based on the infrastructure and information available at the time. A number of factors could introduce errors or otherwise affect our 3TG status. These factors include, but are not limited to, gaps in supplier data; gaps in smelter data; errors or omissions by suppliers; errors or omissions by smelters; smelter classifications; all instances of 3TG necessary to the functionality or manufacturing of our LDD™ not yet having been identified; gaps in supplier education and knowledge; timeliness of data; public information not discovered during a reasonable search; errors in public data; language barriers and translation; supplier and smelter unfamiliarity with the protocols for identifying and sourcing potential 3TG; oversight or errors in conflict free smelter audits; Covered Countries sourced materials being declared secondary materials; companies going out of business; certification programs being not equally advanced for all industry segments and metals; and smuggling of 3TG from the Covered Countries to other countries.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Future Steps</w:t>
      </w:r>
    </w:p>
    <w:p>
      <w:pPr>
        <w:spacing w:after="0" w:line="233" w:lineRule="exact"/>
        <w:rPr>
          <w:sz w:val="20"/>
          <w:szCs w:val="20"/>
          <w:color w:val="auto"/>
        </w:rPr>
      </w:pPr>
    </w:p>
    <w:p>
      <w:pPr>
        <w:jc w:val="both"/>
        <w:ind w:firstLine="849"/>
        <w:spacing w:after="0" w:line="246" w:lineRule="auto"/>
        <w:rPr>
          <w:sz w:val="20"/>
          <w:szCs w:val="20"/>
          <w:color w:val="auto"/>
        </w:rPr>
      </w:pPr>
      <w:r>
        <w:rPr>
          <w:rFonts w:ascii="Times New Roman" w:cs="Times New Roman" w:eastAsia="Times New Roman" w:hAnsi="Times New Roman"/>
          <w:sz w:val="20"/>
          <w:szCs w:val="20"/>
          <w:color w:val="auto"/>
        </w:rPr>
        <w:t>We have communicated our expectations to our first-tier suppliers regarding our commitment to sourcing minerals for our LDD™ in a manner that does not, directly, or indirectly, finance or benefit armed groups in the Democratic Republic of the Congo or adjoining countries. We expect to continue our engagement with our relevant suppliers over the next year to build their knowledge and capacity, so they are able to provide us with more complete and accurate information on the source and chain of custody of the 3TG included in components and parts purchased by us and incorporated into our LDD™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RxSight,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Facility and Country List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shd w:val="clear" w:color="auto" w:fill="D1D1D1"/>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4280" w:type="dxa"/>
            <w:vAlign w:val="bottom"/>
            <w:shd w:val="clear" w:color="auto" w:fill="D1D1D1"/>
          </w:tcPr>
          <w:p>
            <w:pPr>
              <w:ind w:left="400"/>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2980" w:type="dxa"/>
            <w:vAlign w:val="bottom"/>
            <w:shd w:val="clear" w:color="auto" w:fill="D1D1D1"/>
          </w:tcPr>
          <w:p>
            <w:pPr>
              <w:ind w:left="30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3200" w:type="dxa"/>
            <w:vAlign w:val="bottom"/>
            <w:shd w:val="clear" w:color="auto" w:fill="D1D1D1"/>
          </w:tcPr>
          <w:p>
            <w:pPr>
              <w:ind w:left="1020"/>
              <w:spacing w:after="0"/>
              <w:rPr>
                <w:sz w:val="20"/>
                <w:szCs w:val="20"/>
                <w:color w:val="auto"/>
              </w:rPr>
            </w:pPr>
            <w:r>
              <w:rPr>
                <w:rFonts w:ascii="Times New Roman" w:cs="Times New Roman" w:eastAsia="Times New Roman" w:hAnsi="Times New Roman"/>
                <w:sz w:val="14"/>
                <w:szCs w:val="14"/>
                <w:b w:val="1"/>
                <w:bCs w:val="1"/>
                <w:color w:val="auto"/>
              </w:rPr>
              <w:t>Compliance Status</w:t>
            </w:r>
          </w:p>
        </w:tc>
      </w:tr>
      <w:tr>
        <w:trPr>
          <w:trHeight w:val="126"/>
        </w:trPr>
        <w:tc>
          <w:tcPr>
            <w:tcW w:w="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26" w:lineRule="exact"/>
              <w:rPr>
                <w:sz w:val="20"/>
                <w:szCs w:val="20"/>
                <w:color w:val="auto"/>
              </w:rPr>
            </w:pPr>
            <w:r>
              <w:rPr>
                <w:rFonts w:ascii="Times New Roman" w:cs="Times New Roman" w:eastAsia="Times New Roman" w:hAnsi="Times New Roman"/>
                <w:sz w:val="14"/>
                <w:szCs w:val="14"/>
                <w:color w:val="auto"/>
              </w:rPr>
              <w:t>8853 S.p.A.</w:t>
            </w:r>
          </w:p>
        </w:tc>
        <w:tc>
          <w:tcPr>
            <w:tcW w:w="2980" w:type="dxa"/>
            <w:vAlign w:val="bottom"/>
          </w:tcPr>
          <w:p>
            <w:pPr>
              <w:ind w:left="300"/>
              <w:spacing w:after="0" w:line="126" w:lineRule="exact"/>
              <w:rPr>
                <w:sz w:val="20"/>
                <w:szCs w:val="20"/>
                <w:color w:val="auto"/>
              </w:rPr>
            </w:pPr>
            <w:r>
              <w:rPr>
                <w:rFonts w:ascii="Times New Roman" w:cs="Times New Roman" w:eastAsia="Times New Roman" w:hAnsi="Times New Roman"/>
                <w:sz w:val="14"/>
                <w:szCs w:val="14"/>
                <w:color w:val="auto"/>
              </w:rPr>
              <w:t>Italy</w:t>
            </w:r>
          </w:p>
        </w:tc>
        <w:tc>
          <w:tcPr>
            <w:tcW w:w="3200" w:type="dxa"/>
            <w:vAlign w:val="bottom"/>
          </w:tcPr>
          <w:p>
            <w:pPr>
              <w:ind w:left="1020"/>
              <w:spacing w:after="0" w:line="126"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ABC Refinery Pty Ltd.</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Australia</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Abington Reldan Metals, LLC</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Advanced Chemical Company</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African Gold Refinery</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Uganda</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Agosi AG</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Aida Chemical Industries Co., Ltd.</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Al Etihad Gold Refinery DMCC</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United Arab Emirates</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Al Ghaith Gold</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United Arab Emirates</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Albino Mountinho Lda.</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Portugal</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Alexy Metals</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Almalyk Mining and Metallurgical Complex (AMMC)</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Uzbekistan</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AngloGold Ashanti Corrego do Sitio Mineracao</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Argor-Heraeus S.A.</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Switzerland</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ARY Aurum Plus</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United Arab Emirates</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Asahi Pretec Corp.</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Asahi Refining Canada Ltd.</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Canada</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Asahi Refining USA Inc.</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Asaka Riken Co., Ltd.</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Atasay Kuyumculuk Sanayi Ve Ticaret A.S.</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Turkey</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AU Traders and Refiners</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South Africa</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Augmont Enterprises Private Limited</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Aurubis AG</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Bangalore Refinery</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Bangko Sentral ng Pilipinas (Central Bank of the Philippines)</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Philippines</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Boliden AB</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Sweden</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Boliden Ronnskar</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Sweden</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C. Hafner GmbH + Co. KG</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C.I Metales Procesados Industriales SAS</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Colombia</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Caridad</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Mexico</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CCR Refinery - Glencore Canada Corporation</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Canada</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Cendres + Metaux S.A.</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Switzerland</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CGR Metalloys Pvt Ltd.</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Chenzhou Yunxiang Mining and Metallurgy Co., Ltd.</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Chimet S.p.A.</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Italy</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Chugai Mining</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Coimpa Industrial LTDA</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Daejin Indus Co., Ltd.</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Republic of Korea</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Daye Non-Ferrous Metals Mining Ltd.</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Degussa Sonne / Mond Goldhandel GmbH</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Dijllah Gold Refinery FZC</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United Arab Emirates</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DODUCO Contacts and Refining GmbH</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Dongwu Gold Group</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Dowa</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DSC (Do Sung Corporation)</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Republic of Korea</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Eco-System Recycling Co., Ltd. East Plant</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Eco-System Recycling Co., Ltd. North Plant</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Eco-System Recycling Co., Ltd. West Plant</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Elemetal Refining, LLC</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Emerald Jewel Industry India Limited (Unit 1)</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Emerald Jewel Industry India Limited (Unit 2)</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Emerald Jewel Industry India Limited (Unit 3)</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Emerald Jewel Industry India Limited (Unit 4)</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Emirates Gold DMCC</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United Arab Emirates</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Fidelity Printers and Refiners Ltd.</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Zimbabwe</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Fujairah Gold FZC</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United Arab Emirates</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Geib Refining Corporation</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GG Refinery Ltd.</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United Republic of Tanzania</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GGC Gujrat Gold Centre Pvt. Ltd.</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Global Tungsten &amp; Powders LLC</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Gold by Gold Colombia</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Colombia</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Gold Coast Refinery</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Ghana</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Gold Refinery of Zijin Mining Group Co., Ltd.</w:t>
            </w:r>
          </w:p>
        </w:tc>
        <w:tc>
          <w:tcPr>
            <w:tcW w:w="29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20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88"/>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Gold</w:t>
            </w:r>
          </w:p>
        </w:tc>
        <w:tc>
          <w:tcPr>
            <w:tcW w:w="4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Great Wall Precious Metals Co., Ltd. of CBPM</w:t>
            </w:r>
          </w:p>
        </w:tc>
        <w:tc>
          <w:tcPr>
            <w:tcW w:w="2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China</w:t>
            </w:r>
          </w:p>
        </w:tc>
        <w:tc>
          <w:tcPr>
            <w:tcW w:w="320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Unknown</w:t>
            </w:r>
          </w:p>
        </w:tc>
      </w:tr>
      <w:tr>
        <w:trPr>
          <w:trHeight w:val="705"/>
        </w:trPr>
        <w:tc>
          <w:tcPr>
            <w:tcW w:w="78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780" w:type="dxa"/>
            <w:vAlign w:val="bottom"/>
            <w:shd w:val="clear" w:color="auto" w:fill="D1D1D1"/>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4400" w:type="dxa"/>
            <w:vAlign w:val="bottom"/>
            <w:shd w:val="clear" w:color="auto" w:fill="D1D1D1"/>
          </w:tcPr>
          <w:p>
            <w:pPr>
              <w:ind w:left="400"/>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2760" w:type="dxa"/>
            <w:vAlign w:val="bottom"/>
            <w:shd w:val="clear" w:color="auto" w:fill="D1D1D1"/>
          </w:tcPr>
          <w:p>
            <w:pPr>
              <w:ind w:left="18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3300" w:type="dxa"/>
            <w:vAlign w:val="bottom"/>
            <w:shd w:val="clear" w:color="auto" w:fill="D1D1D1"/>
          </w:tcPr>
          <w:p>
            <w:pPr>
              <w:ind w:left="1120"/>
              <w:spacing w:after="0"/>
              <w:rPr>
                <w:sz w:val="20"/>
                <w:szCs w:val="20"/>
                <w:color w:val="auto"/>
              </w:rPr>
            </w:pPr>
            <w:r>
              <w:rPr>
                <w:rFonts w:ascii="Times New Roman" w:cs="Times New Roman" w:eastAsia="Times New Roman" w:hAnsi="Times New Roman"/>
                <w:sz w:val="14"/>
                <w:szCs w:val="14"/>
                <w:b w:val="1"/>
                <w:bCs w:val="1"/>
                <w:color w:val="auto"/>
              </w:rPr>
              <w:t>Compliance Status</w:t>
            </w:r>
          </w:p>
        </w:tc>
      </w:tr>
      <w:tr>
        <w:trPr>
          <w:trHeight w:val="126"/>
        </w:trPr>
        <w:tc>
          <w:tcPr>
            <w:tcW w:w="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26" w:lineRule="exact"/>
              <w:rPr>
                <w:sz w:val="20"/>
                <w:szCs w:val="20"/>
                <w:color w:val="auto"/>
              </w:rPr>
            </w:pPr>
            <w:r>
              <w:rPr>
                <w:rFonts w:ascii="Times New Roman" w:cs="Times New Roman" w:eastAsia="Times New Roman" w:hAnsi="Times New Roman"/>
                <w:sz w:val="14"/>
                <w:szCs w:val="14"/>
                <w:color w:val="auto"/>
              </w:rPr>
              <w:t>Guangdong Hua Jian Trade Co., Ltd.</w:t>
            </w:r>
          </w:p>
        </w:tc>
        <w:tc>
          <w:tcPr>
            <w:tcW w:w="276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26"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Guangdong Jinding Gold Limited</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Guoda Safina High-Tech Environmental Refinery Co., Ltd.</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Hang Seng Technology</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Hangzhou Fuchunjiang Smelting Co., Ltd.</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Heimerle + Meule GmbH</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Henan Yuguang Gold &amp; Lead Co., Ltd.</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Heraeus Germany GmbH Co. KG</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Heraeus Metals Hong Kong Ltd.</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Hunan Chenzhou Mining Co., Ltd.</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Hunan Guiyang yinxing Nonferrous Smelting Co., Ltd.</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Hung Cheong Metal Manufacturing Limited</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HwaSeong CJ CO., LTD.</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Republic of Korea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Industrial Refining Company</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Belgium</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Inner Mongolia Qiankun Gold and Silver Refinery Share Co., Ltd.</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International Precious Metal Refiners</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United Arab Emirates</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Ishifuku Metal Industry Co., Ltd.</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Istanbul Gold Refinery</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Turkey</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Italpreziosi</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Italy</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JALAN &amp; Company</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Japan Mint</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Jiangxi Copper Co., Ltd.</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Jinlong Copper Co., Ltd.</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JSC Ekaterinburg Non-Ferrous Metal Processing Plant</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Russian Federation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JSC Novosibirsk Refinery</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Russian Federation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JSC Uralelectromed</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Russian Federation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JX Nippon Mining &amp; Metals Co., Ltd.</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K.A. Rasmussen</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Norway</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Kaloti Precious Metals</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United Arab Emirates</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Kazakhmys Smelting LLC</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Kazakhstan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Kazzinc</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Kazakhstan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Kennecott Utah Copper LLC</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KGHM Polska Miedz Spolka Akcyjna</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Poland</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Kojima Chemicals Co., Ltd.</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Korea Zinc Co., Ltd.</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Republic of Korea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Kundan Care Products Ltd.</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Kyrgyzaltyn JSC</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Kyrgyzstan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Kyshtym Copper-Electrolytic Plant ZAO</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Russian Federation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L'azurde Company For Jewelry</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Saudi Arabia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Lingbao Gold Co., Ltd.</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Lingbao Jinyuan Tonghui Refinery Co., Ltd.</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L'Orfebre S.A.</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Andorra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LS MnM Inc.</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Republic of Korea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LS-NIKKO Copper Inc.</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Republic of Korea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LT Metal Ltd.</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Republic of Korea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Luoyang Zijin Yinhui Gold Refinery Co., Ltd.</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Marsam Metals</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Materion</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Matsuda Sangyo Co., Ltd.</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MD Overseas</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Metal Concentrators SA (Pty) Ltd.</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South Africa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Metallix Refining Inc.</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Metalor Technologies (Hong Kong) Ltd.</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Metalor Technologies (Singapore) Pte., Ltd.</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Singapore</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Metalor Technologies (Suzhou) Ltd.</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Metalor Technologies S.A.</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Switzerland</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Metalor USA Refining Corporation</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Metalurgica Met-Mex Penoles S.A. De C.V.</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Mexico</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Mitsubishi Materials Corporation</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Mitsui Mining and Smelting Co., Ltd.</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MKS PAMP SA</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Switzerland</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MMTC-PAMP India Pvt., Ltd.</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Modeltech Sdn Bhd</w:t>
            </w:r>
          </w:p>
        </w:tc>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Malaysia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88"/>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Gold</w:t>
            </w:r>
          </w:p>
        </w:tc>
        <w:tc>
          <w:tcPr>
            <w:tcW w:w="44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Morris and Watson</w:t>
            </w:r>
          </w:p>
        </w:tc>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New Zealand</w:t>
            </w:r>
          </w:p>
        </w:tc>
        <w:tc>
          <w:tcPr>
            <w:tcW w:w="33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Unknown</w:t>
            </w:r>
          </w:p>
        </w:tc>
      </w:tr>
      <w:tr>
        <w:trPr>
          <w:trHeight w:val="705"/>
        </w:trPr>
        <w:tc>
          <w:tcPr>
            <w:tcW w:w="78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780" w:type="dxa"/>
            <w:vAlign w:val="bottom"/>
            <w:shd w:val="clear" w:color="auto" w:fill="D1D1D1"/>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4500" w:type="dxa"/>
            <w:vAlign w:val="bottom"/>
            <w:shd w:val="clear" w:color="auto" w:fill="D1D1D1"/>
          </w:tcPr>
          <w:p>
            <w:pPr>
              <w:ind w:left="400"/>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2660" w:type="dxa"/>
            <w:vAlign w:val="bottom"/>
            <w:shd w:val="clear" w:color="auto" w:fill="D1D1D1"/>
          </w:tcPr>
          <w:p>
            <w:pPr>
              <w:ind w:left="8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3300" w:type="dxa"/>
            <w:vAlign w:val="bottom"/>
            <w:shd w:val="clear" w:color="auto" w:fill="D1D1D1"/>
          </w:tcPr>
          <w:p>
            <w:pPr>
              <w:ind w:left="1120"/>
              <w:spacing w:after="0"/>
              <w:rPr>
                <w:sz w:val="20"/>
                <w:szCs w:val="20"/>
                <w:color w:val="auto"/>
              </w:rPr>
            </w:pPr>
            <w:r>
              <w:rPr>
                <w:rFonts w:ascii="Times New Roman" w:cs="Times New Roman" w:eastAsia="Times New Roman" w:hAnsi="Times New Roman"/>
                <w:sz w:val="14"/>
                <w:szCs w:val="14"/>
                <w:b w:val="1"/>
                <w:bCs w:val="1"/>
                <w:color w:val="auto"/>
              </w:rPr>
              <w:t>Compliance Status</w:t>
            </w:r>
          </w:p>
        </w:tc>
        <w:tc>
          <w:tcPr>
            <w:tcW w:w="0" w:type="dxa"/>
            <w:vAlign w:val="bottom"/>
          </w:tcPr>
          <w:p>
            <w:pPr>
              <w:spacing w:after="0"/>
              <w:rPr>
                <w:sz w:val="1"/>
                <w:szCs w:val="1"/>
                <w:color w:val="auto"/>
              </w:rPr>
            </w:pPr>
          </w:p>
        </w:tc>
      </w:tr>
      <w:tr>
        <w:trPr>
          <w:trHeight w:val="126"/>
        </w:trPr>
        <w:tc>
          <w:tcPr>
            <w:tcW w:w="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26" w:lineRule="exact"/>
              <w:rPr>
                <w:sz w:val="20"/>
                <w:szCs w:val="20"/>
                <w:color w:val="auto"/>
              </w:rPr>
            </w:pPr>
            <w:r>
              <w:rPr>
                <w:rFonts w:ascii="Times New Roman" w:cs="Times New Roman" w:eastAsia="Times New Roman" w:hAnsi="Times New Roman"/>
                <w:sz w:val="14"/>
                <w:szCs w:val="14"/>
                <w:color w:val="auto"/>
              </w:rPr>
              <w:t>Morris and Watson Gold Coast</w:t>
            </w:r>
          </w:p>
        </w:tc>
        <w:tc>
          <w:tcPr>
            <w:tcW w:w="266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Australia</w:t>
            </w:r>
          </w:p>
        </w:tc>
        <w:tc>
          <w:tcPr>
            <w:tcW w:w="3300" w:type="dxa"/>
            <w:vAlign w:val="bottom"/>
          </w:tcPr>
          <w:p>
            <w:pPr>
              <w:ind w:left="1120"/>
              <w:spacing w:after="0" w:line="126"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Moscow Special Alloys Processing Plant</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Russian Federation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Nadir Metal Rafineri San. Ve Tic. A.S.</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Turkey</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Navoi Mining and Metallurgical Combinat</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Uzbekistan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NH Recytech Company</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Republic of Korea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Nihon Material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Nyrstar Metals</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Ogussa Osterreichische Gold- und Silber-Scheideanstalt GmbH</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Austria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Ohura Precious Metal Industry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OJSC "The Gulidov Krasnoyarsk Non-Ferrous Metals Plant" (OJSC</w:t>
            </w:r>
          </w:p>
        </w:tc>
        <w:tc>
          <w:tcPr>
            <w:tcW w:w="26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Russian Federation</w:t>
            </w:r>
          </w:p>
        </w:tc>
        <w:tc>
          <w:tcPr>
            <w:tcW w:w="330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vMerge w:val="continue"/>
          </w:tcPr>
          <w:p>
            <w:pPr>
              <w:spacing w:after="0"/>
              <w:rPr>
                <w:sz w:val="12"/>
                <w:szCs w:val="12"/>
                <w:color w:val="auto"/>
              </w:rPr>
            </w:pP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Krastsvetmet)</w:t>
            </w:r>
          </w:p>
        </w:tc>
        <w:tc>
          <w:tcPr>
            <w:tcW w:w="2660" w:type="dxa"/>
            <w:vAlign w:val="bottom"/>
            <w:vMerge w:val="continue"/>
          </w:tcPr>
          <w:p>
            <w:pPr>
              <w:spacing w:after="0"/>
              <w:rPr>
                <w:sz w:val="12"/>
                <w:szCs w:val="12"/>
                <w:color w:val="auto"/>
              </w:rPr>
            </w:pPr>
          </w:p>
        </w:tc>
        <w:tc>
          <w:tcPr>
            <w:tcW w:w="3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Pease &amp; Curren</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Penglai Penggang Gold Industry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Planta Recuperadora de Metales SpA</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Chile</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Prioksky Plant of Non-Ferrous Metals</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Russian Federation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Aneka Tambang (Persero) Tbk</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PX Precinox S.A.</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Switzerland</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QG Refining, LLC</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Rand Refinery (Pty)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South Africa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Refinery of Seemine Gold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REMONDIS PMR B.V.</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Netherlands</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Republic Metals Corporation</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Royal Canadian Mint</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Canada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SAAMP</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France</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Sabin Metal Corp.</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Safimet S.p.A</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Italy</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SAFINA A.S.</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Czech Republic</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Sai Refinery</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Sam Precious Metals</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United Arab Emirates</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Samduck Precious Metals</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Republic of Korea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SAMWON METALS Corp.</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Republic of Korea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Sancus ZFS (L’Orfebre, SA)</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Colombia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SAXONIA Edelmetalle GmbH</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Schone Edelmetaal B.V.</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Netherlands</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Sellem Industries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Mauritania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SEMPSA Joyeria Plateria S.A.</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Spain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Shan Tou Shi Yong Yuan Jin Shu Zai Sheng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Shandong Gold Smelting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Shandong Hengbang Smelter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Shandong Humon Smelting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Shandong Tiancheng Biological Gold Industrial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Shandong Yanggu Xiangguang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Shandong Zhaojin Gold &amp; Silver Refinery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Shenzhen CuiLu Gold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Shenzhen Heng Zhong Industry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Shenzhen Zhonghenglong Real Industry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Shirpur Gold Refinery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Sichuan Tianze Precious Metals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Singway Technology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Taiwan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Sino-Platinum Metals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So Accurate Group, Inc.</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SOE Shyolkovsky Factory of Secondary Precious Metals</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Russian Federation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Solar Applied Materials Technology Corp.</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Taiwan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Sovereign Metals</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State Research Institute Center for Physical Sciences and Technology</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Lithuania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Sudan Gold Refinery</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Sudan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Sumitomo Metal Mining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SungEel HiMetal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Republic of Korea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Super Dragon Technology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Taiwan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T.C.A S.p.A</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Italy</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Tanaka Kikinzoku Kogyo K.K.</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Tokuriki Honten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Tongling Nonferrous Metals Group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TOO Tau-Ken-Altyn</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Kazakhstan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88"/>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Torecom</w:t>
            </w:r>
          </w:p>
        </w:tc>
        <w:tc>
          <w:tcPr>
            <w:tcW w:w="2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Republic of Korea</w:t>
            </w:r>
          </w:p>
        </w:tc>
        <w:tc>
          <w:tcPr>
            <w:tcW w:w="33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705"/>
        </w:trPr>
        <w:tc>
          <w:tcPr>
            <w:tcW w:w="78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780" w:type="dxa"/>
            <w:vAlign w:val="bottom"/>
            <w:shd w:val="clear" w:color="auto" w:fill="D1D1D1"/>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4500" w:type="dxa"/>
            <w:vAlign w:val="bottom"/>
            <w:shd w:val="clear" w:color="auto" w:fill="D1D1D1"/>
          </w:tcPr>
          <w:p>
            <w:pPr>
              <w:ind w:left="400"/>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2660" w:type="dxa"/>
            <w:vAlign w:val="bottom"/>
            <w:shd w:val="clear" w:color="auto" w:fill="D1D1D1"/>
          </w:tcPr>
          <w:p>
            <w:pPr>
              <w:ind w:left="8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3300" w:type="dxa"/>
            <w:vAlign w:val="bottom"/>
            <w:shd w:val="clear" w:color="auto" w:fill="D1D1D1"/>
          </w:tcPr>
          <w:p>
            <w:pPr>
              <w:ind w:left="1120"/>
              <w:spacing w:after="0"/>
              <w:rPr>
                <w:sz w:val="20"/>
                <w:szCs w:val="20"/>
                <w:color w:val="auto"/>
              </w:rPr>
            </w:pPr>
            <w:r>
              <w:rPr>
                <w:rFonts w:ascii="Times New Roman" w:cs="Times New Roman" w:eastAsia="Times New Roman" w:hAnsi="Times New Roman"/>
                <w:sz w:val="14"/>
                <w:szCs w:val="14"/>
                <w:b w:val="1"/>
                <w:bCs w:val="1"/>
                <w:color w:val="auto"/>
              </w:rPr>
              <w:t>Compliance Status</w:t>
            </w:r>
          </w:p>
        </w:tc>
        <w:tc>
          <w:tcPr>
            <w:tcW w:w="0" w:type="dxa"/>
            <w:vAlign w:val="bottom"/>
          </w:tcPr>
          <w:p>
            <w:pPr>
              <w:spacing w:after="0"/>
              <w:rPr>
                <w:sz w:val="1"/>
                <w:szCs w:val="1"/>
                <w:color w:val="auto"/>
              </w:rPr>
            </w:pPr>
          </w:p>
        </w:tc>
      </w:tr>
      <w:tr>
        <w:trPr>
          <w:trHeight w:val="126"/>
        </w:trPr>
        <w:tc>
          <w:tcPr>
            <w:tcW w:w="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26" w:lineRule="exact"/>
              <w:rPr>
                <w:sz w:val="20"/>
                <w:szCs w:val="20"/>
                <w:color w:val="auto"/>
              </w:rPr>
            </w:pPr>
            <w:r>
              <w:rPr>
                <w:rFonts w:ascii="Times New Roman" w:cs="Times New Roman" w:eastAsia="Times New Roman" w:hAnsi="Times New Roman"/>
                <w:sz w:val="14"/>
                <w:szCs w:val="14"/>
                <w:color w:val="auto"/>
              </w:rPr>
              <w:t>TSK Pretech</w:t>
            </w:r>
          </w:p>
        </w:tc>
        <w:tc>
          <w:tcPr>
            <w:tcW w:w="266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Republic of Korea</w:t>
            </w:r>
          </w:p>
        </w:tc>
        <w:tc>
          <w:tcPr>
            <w:tcW w:w="3300" w:type="dxa"/>
            <w:vAlign w:val="bottom"/>
          </w:tcPr>
          <w:p>
            <w:pPr>
              <w:ind w:left="1120"/>
              <w:spacing w:after="0" w:line="126"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Umicore Brasil Ltda.</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Umicore Precious Metals Thailand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Thailand</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Umicore S.A. Business Unit Precious Metals Refining</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Belgium</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United Precious Metal Refining, Inc.</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Universal Precious Metals Refining Zambia</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Zambia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Valcambi S.A.</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Switzerland</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Value Trading</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Belgium</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Viagra Di precious metals (Zhaoyuan)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WEEEREFINING</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France</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Western Australian Mint (T/a The Perth Mint)</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Australia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White Solder Metalurgia e Mineracao Ltda.</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WIELAND Edelmetalle GmbH</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Wuzhong Group</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Yamakin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Yokohama Metal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Yunnan Copper Industry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Yunnan Gold Mining Group Co., Ltd. (YGMG)</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Zhe Jiang Guang Yuan Noble Metal Smelting Factory</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Zhongkuang Gold Industry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Zhongshan Hyper-Toxic Substance Monopolized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Zhongshan Poison Material Proprietary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Zhongyuan Gold Smelter of Zhongjin Gold Corporation</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Zhuhai toxic materials Monopoly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Zhuzhou Smelting Group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Tai Perng</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Taiwan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Impala Refineries – Base Metals Refinery (BMR)</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South Africa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Impala Rustenburg</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South Africa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ASAHI METALFINE, Inc.</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SHENZHEN JINJUNWEI RESOURCE COMPREHENSIVE</w:t>
            </w:r>
          </w:p>
        </w:tc>
        <w:tc>
          <w:tcPr>
            <w:tcW w:w="26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China</w:t>
            </w:r>
          </w:p>
        </w:tc>
        <w:tc>
          <w:tcPr>
            <w:tcW w:w="330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vMerge w:val="continue"/>
          </w:tcPr>
          <w:p>
            <w:pPr>
              <w:spacing w:after="0"/>
              <w:rPr>
                <w:sz w:val="12"/>
                <w:szCs w:val="12"/>
                <w:color w:val="auto"/>
              </w:rPr>
            </w:pP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DEVELOPMENT CO., LTD.</w:t>
            </w:r>
          </w:p>
        </w:tc>
        <w:tc>
          <w:tcPr>
            <w:tcW w:w="2660" w:type="dxa"/>
            <w:vAlign w:val="bottom"/>
            <w:vMerge w:val="continue"/>
          </w:tcPr>
          <w:p>
            <w:pPr>
              <w:spacing w:after="0"/>
              <w:rPr>
                <w:sz w:val="12"/>
                <w:szCs w:val="12"/>
                <w:color w:val="auto"/>
              </w:rPr>
            </w:pPr>
          </w:p>
        </w:tc>
        <w:tc>
          <w:tcPr>
            <w:tcW w:w="3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Bauer Walser AG</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SAM Precious Metals FZ-LLC</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United Arab Emirates</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ATAkulche</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Turkey</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Cendres + M?taux SA</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Switzerland</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CHALCO Yunnan Copper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LinBao Gold Mining</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Samdok Metal</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Republic of Korea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Shandong Tarzan Bio-Gold Industry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Great Wall Precious Metals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Anhui Tongling Nonferrous Metal Mining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Guangdong Gaoyao Co</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DEGUSSA</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Impala Refineries – Platinum Metals Refinery (PMR)</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South Africa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Elite Industech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Elite Industech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Taiwan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NOBLE METAL SERVICES</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Inca One (Chala One Plant)</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Peru</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Active</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Attero Recycling Pvt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Inca One (Koricancha Plant)</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Peru</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Active</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Glencore Canada Corporation - CCR Refinery</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Canada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Jin Jinyin Refining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Kazzinc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Kazakhstan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Aurubis AG, Hamburg</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Impala Platinum - Base Metal Refinery (BMR)</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South Africa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Freeport Cobalt Oy</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Finland</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Impala Platinum - Rustenburg Smelter</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South Africa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Zhaojun Maifu</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KP Sanghvi International Airport</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Realized the Enterprise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GUANGDONG JINXIAN GAOXIN CAI LIAO GONG SI</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JX Advanced Metals Corporation</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Minera Titan del Peru SRL (MTP) - Belen Plant</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Peru</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SOLEIL METALS (Chala One Plant)</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Peru</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Active</w:t>
            </w:r>
          </w:p>
        </w:tc>
        <w:tc>
          <w:tcPr>
            <w:tcW w:w="0" w:type="dxa"/>
            <w:vAlign w:val="bottom"/>
          </w:tcPr>
          <w:p>
            <w:pPr>
              <w:spacing w:after="0"/>
              <w:rPr>
                <w:sz w:val="1"/>
                <w:szCs w:val="1"/>
                <w:color w:val="auto"/>
              </w:rPr>
            </w:pPr>
          </w:p>
        </w:tc>
      </w:tr>
      <w:tr>
        <w:trPr>
          <w:trHeight w:val="188"/>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Gold</w:t>
            </w:r>
          </w:p>
        </w:tc>
        <w:tc>
          <w:tcPr>
            <w:tcW w:w="45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Oegussa Oesterreichische Gold- und Silber-Scheideanstalt Gesm.b.H.</w:t>
            </w:r>
          </w:p>
        </w:tc>
        <w:tc>
          <w:tcPr>
            <w:tcW w:w="2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Austria</w:t>
            </w:r>
          </w:p>
        </w:tc>
        <w:tc>
          <w:tcPr>
            <w:tcW w:w="33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705"/>
        </w:trPr>
        <w:tc>
          <w:tcPr>
            <w:tcW w:w="78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880" w:type="dxa"/>
            <w:vAlign w:val="bottom"/>
            <w:shd w:val="clear" w:color="auto" w:fill="D1D1D1"/>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4100" w:type="dxa"/>
            <w:vAlign w:val="bottom"/>
            <w:shd w:val="clear" w:color="auto" w:fill="D1D1D1"/>
          </w:tcPr>
          <w:p>
            <w:pPr>
              <w:ind w:left="300"/>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3800" w:type="dxa"/>
            <w:vAlign w:val="bottom"/>
            <w:shd w:val="clear" w:color="auto" w:fill="D1D1D1"/>
          </w:tcPr>
          <w:p>
            <w:pPr>
              <w:ind w:left="38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460" w:type="dxa"/>
            <w:vAlign w:val="bottom"/>
            <w:shd w:val="clear" w:color="auto" w:fill="D1D1D1"/>
          </w:tcPr>
          <w:p>
            <w:pPr>
              <w:ind w:left="280"/>
              <w:spacing w:after="0"/>
              <w:rPr>
                <w:sz w:val="20"/>
                <w:szCs w:val="20"/>
                <w:color w:val="auto"/>
              </w:rPr>
            </w:pPr>
            <w:r>
              <w:rPr>
                <w:rFonts w:ascii="Times New Roman" w:cs="Times New Roman" w:eastAsia="Times New Roman" w:hAnsi="Times New Roman"/>
                <w:sz w:val="14"/>
                <w:szCs w:val="14"/>
                <w:b w:val="1"/>
                <w:bCs w:val="1"/>
                <w:color w:val="auto"/>
              </w:rPr>
              <w:t>Compliance Status</w:t>
            </w:r>
          </w:p>
        </w:tc>
      </w:tr>
      <w:tr>
        <w:trPr>
          <w:trHeight w:val="126"/>
        </w:trPr>
        <w:tc>
          <w:tcPr>
            <w:tcW w:w="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Gold</w:t>
            </w:r>
          </w:p>
        </w:tc>
        <w:tc>
          <w:tcPr>
            <w:tcW w:w="4100" w:type="dxa"/>
            <w:vAlign w:val="bottom"/>
          </w:tcPr>
          <w:p>
            <w:pPr>
              <w:ind w:left="300"/>
              <w:spacing w:after="0" w:line="126" w:lineRule="exact"/>
              <w:rPr>
                <w:sz w:val="20"/>
                <w:szCs w:val="20"/>
                <w:color w:val="auto"/>
              </w:rPr>
            </w:pPr>
            <w:r>
              <w:rPr>
                <w:rFonts w:ascii="Times New Roman" w:cs="Times New Roman" w:eastAsia="Times New Roman" w:hAnsi="Times New Roman"/>
                <w:sz w:val="14"/>
                <w:szCs w:val="14"/>
                <w:color w:val="auto"/>
              </w:rPr>
              <w:t>Shandong penglai gold smelter</w:t>
            </w:r>
          </w:p>
        </w:tc>
        <w:tc>
          <w:tcPr>
            <w:tcW w:w="3800" w:type="dxa"/>
            <w:vAlign w:val="bottom"/>
          </w:tcPr>
          <w:p>
            <w:pPr>
              <w:ind w:left="380"/>
              <w:spacing w:after="0" w:line="126"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SOLEIL METALS (YAKARI Plant)</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Peru</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Active</w:t>
            </w: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Zijin Mining Group Gold Smelting Co. Ltd.</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Gasabo Gold Refinery Ltd</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Rwanda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Yunnan Copper Southwest Copper Branch</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Tongling Nonferrous Jinguan (Ausmelt) Copper Industry</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Tsai Brother industries</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Taiwan</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House of Currency of Brazil (Casa da Moeda do Brazil)</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Boliden Mineral AB (Ronnskar)</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Sweden</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TITAN COMPANY LIMITED, JEWELLERY DIVISION</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Shandon Jin Jinyin Refining Limited</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SuZhou ShenChuang recycling Ltd.</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Impala Platinum - Platinum Metals Refinery (PMR)</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South Africa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Xiamen JInbo Metal Co., Ltd.</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Hetai Gold Mineral Guangdong Co., Ltd.</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TAIWAN TOTAI CO., LTD.</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Taiwan</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Hop Hing electroplating factory Zhejiang</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Gold Corporation - The Perth Mint</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Australia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Heraeus Precious Metals GmbH &amp; Co. KG</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PAMP S.A.</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Switzerland</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Gold</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AGR Mathey</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Australia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5D Production OU</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Estonia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AMG Brasil</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ANHUI HERRMAN IMPEX CO.</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Asaka Riken Co., Ltd.</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Avon Specialty Metals Ltd.</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United Kingdom of Great Britan and Northern Ireland</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Changsha South Tantalum Niobium Co., Ltd.</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Chongyi Zhangyuan Tungsten Co., Ltd.</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CP Metals Inc.</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 Block Metals, LLC</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Duoluoshan</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Exotech Inc.</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F&amp;X Electro-Materials Ltd.</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FIR Metals &amp; Resource Ltd.</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Global Advanced Metals</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Global Advanced Metals Aizu</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Global Advanced Metals Boyertown</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Guangdong Rising Rare Metals-EO Materials Ltd.</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Hengyang King Xing Lifeng New Materials Co., Ltd.</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Jiangxi Dinghai Tantalum &amp; Niobium Co., Ltd.</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Jiangxi Tuohong New Raw Material</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Jiujiang Janny New Material Co., Ltd.</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JiuJiang JinXin Nonferrous Metals Co., Ltd.</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Jiujiang Tanbre Co., Ltd.</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Jiujiang Zhongao Tantalum &amp; Niobium Co., Ltd.</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KEMET Blue Powder</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KEMET de Mexico</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Mexico</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King-Tan Tantalum Industry Ltd.</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Malaysia Smelting Corporation (MSC)</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Malaysia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Materion</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Materion Newton Inc.</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Metallurgical Products India Pvt., Ltd.</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Mineracao Taboca S.A.</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Mitsui Mining and Smelting Co., Ltd.</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Ningxia Orient Tantalum Industry Co., Ltd.</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NPM Silmet AS</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Estonia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Plansee SE Reutte</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Austria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PowerX Ltd.</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Rwanda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QSIL Metals Hermsdorf GmbH</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QuantumClean</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Resind Industria e Comercio Ltda.</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RFH Recycling Metals Co., Ltd.</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RFH Yancheng Jinye New Material Technology Co., Ltd.</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Rui Da Hung</w:t>
            </w:r>
          </w:p>
        </w:tc>
        <w:tc>
          <w:tcPr>
            <w:tcW w:w="38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Taiwan</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Tantalum</w:t>
            </w:r>
          </w:p>
        </w:tc>
        <w:tc>
          <w:tcPr>
            <w:tcW w:w="4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Solikamsk Magnesium Works OAO</w:t>
            </w:r>
          </w:p>
        </w:tc>
        <w:tc>
          <w:tcPr>
            <w:tcW w:w="38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Russian Federation</w:t>
            </w:r>
          </w:p>
        </w:tc>
        <w:tc>
          <w:tcPr>
            <w:tcW w:w="2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Unknown</w:t>
            </w:r>
          </w:p>
        </w:tc>
      </w:tr>
      <w:tr>
        <w:trPr>
          <w:trHeight w:val="705"/>
        </w:trPr>
        <w:tc>
          <w:tcPr>
            <w:tcW w:w="88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880" w:type="dxa"/>
            <w:vAlign w:val="bottom"/>
            <w:shd w:val="clear" w:color="auto" w:fill="D1D1D1"/>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4400" w:type="dxa"/>
            <w:vAlign w:val="bottom"/>
            <w:shd w:val="clear" w:color="auto" w:fill="D1D1D1"/>
          </w:tcPr>
          <w:p>
            <w:pPr>
              <w:ind w:left="300"/>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2660" w:type="dxa"/>
            <w:vAlign w:val="bottom"/>
            <w:shd w:val="clear" w:color="auto" w:fill="D1D1D1"/>
          </w:tcPr>
          <w:p>
            <w:pPr>
              <w:ind w:left="8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3300" w:type="dxa"/>
            <w:vAlign w:val="bottom"/>
            <w:shd w:val="clear" w:color="auto" w:fill="D1D1D1"/>
          </w:tcPr>
          <w:p>
            <w:pPr>
              <w:ind w:left="1120"/>
              <w:spacing w:after="0"/>
              <w:rPr>
                <w:sz w:val="20"/>
                <w:szCs w:val="20"/>
                <w:color w:val="auto"/>
              </w:rPr>
            </w:pPr>
            <w:r>
              <w:rPr>
                <w:rFonts w:ascii="Times New Roman" w:cs="Times New Roman" w:eastAsia="Times New Roman" w:hAnsi="Times New Roman"/>
                <w:sz w:val="14"/>
                <w:szCs w:val="14"/>
                <w:b w:val="1"/>
                <w:bCs w:val="1"/>
                <w:color w:val="auto"/>
              </w:rPr>
              <w:t>Compliance Status</w:t>
            </w:r>
          </w:p>
        </w:tc>
        <w:tc>
          <w:tcPr>
            <w:tcW w:w="0" w:type="dxa"/>
            <w:vAlign w:val="bottom"/>
          </w:tcPr>
          <w:p>
            <w:pPr>
              <w:spacing w:after="0"/>
              <w:rPr>
                <w:sz w:val="1"/>
                <w:szCs w:val="1"/>
                <w:color w:val="auto"/>
              </w:rPr>
            </w:pPr>
          </w:p>
        </w:tc>
      </w:tr>
      <w:tr>
        <w:trPr>
          <w:trHeight w:val="126"/>
        </w:trPr>
        <w:tc>
          <w:tcPr>
            <w:tcW w:w="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26" w:lineRule="exact"/>
              <w:rPr>
                <w:sz w:val="20"/>
                <w:szCs w:val="20"/>
                <w:color w:val="auto"/>
              </w:rPr>
            </w:pPr>
            <w:r>
              <w:rPr>
                <w:rFonts w:ascii="Times New Roman" w:cs="Times New Roman" w:eastAsia="Times New Roman" w:hAnsi="Times New Roman"/>
                <w:sz w:val="14"/>
                <w:szCs w:val="14"/>
                <w:color w:val="auto"/>
              </w:rPr>
              <w:t>Taki Chemical Co., Ltd.</w:t>
            </w:r>
          </w:p>
        </w:tc>
        <w:tc>
          <w:tcPr>
            <w:tcW w:w="266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Japan</w:t>
            </w:r>
          </w:p>
        </w:tc>
        <w:tc>
          <w:tcPr>
            <w:tcW w:w="3300" w:type="dxa"/>
            <w:vAlign w:val="bottom"/>
          </w:tcPr>
          <w:p>
            <w:pPr>
              <w:ind w:left="1120"/>
              <w:spacing w:after="0" w:line="126"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TANIOBIS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Thailand</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TANIOBIS GmbH</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TANIOBIS Japan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TANIOBIS Smelting GmbH &amp; Co. KG</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Telex Metals</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Ulba Metallurgical Plant JSC</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Kazakhstan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ULVAC Inc.</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V&amp;D New Materials (Jiangsu)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XIMEI RESOURCES (GUANGDONG) LIMITED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XIMEI RESOURCES(GUIZHOU) TECHNOLOGY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XinXing Haorong Electronic Material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Yanling Jincheng Tantalum &amp; Niobium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Yichun Jin Yang Rare Metal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Zhuzhou Cemented Carbide Group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CMT Rare Metal Advanced Materials (Hunan)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Jiangxi Sanshi Nonferrous Metals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Active</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Molycorp Silmet A.S.</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Estonia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H.C. Starck Hermsdorf GmbH</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Zhuzhou Cemented Carbide Group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Jiangxi Suns Nonferrous Materials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Active</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Mitsui Kinzoku Company, Limited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Shanghai Jiangxi Metals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Gannon &amp; Scott</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Power Resources Ltd. or Meta Materials</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North Macedonia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Taike Technology(Suzhou)Co.,Ltd.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H.C. Starck Inc.</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H.C. Starck Goslar</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H.C. Starck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Thailand</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H.C. Starck Tantalum and Niobium GmbH</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Guangdong Zhiyuan New Material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Tantalum</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LSM Brasil S.A.</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Alpha</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An Vinh Joint Stock Mineral Processing Company</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Vietnam</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Aurubis Beerse</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Belgium</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Aurubis Berango</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Spain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Chenzhou Yunxiang Mining and Metallurgy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Chifeng Dajingzi Tin Industry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China Tin Group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Chofu Works</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CNMC (Guangxi) PGMA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CRM Fundicao De Metais E Comercio De Equipamentos Eletronicos</w:t>
            </w:r>
          </w:p>
        </w:tc>
        <w:tc>
          <w:tcPr>
            <w:tcW w:w="26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Brazil</w:t>
            </w:r>
          </w:p>
        </w:tc>
        <w:tc>
          <w:tcPr>
            <w:tcW w:w="330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color w:val="auto"/>
              </w:rPr>
              <w:t>Active</w:t>
            </w:r>
          </w:p>
        </w:tc>
        <w:tc>
          <w:tcPr>
            <w:tcW w:w="0" w:type="dxa"/>
            <w:vAlign w:val="bottom"/>
          </w:tcPr>
          <w:p>
            <w:pPr>
              <w:spacing w:after="0"/>
              <w:rPr>
                <w:sz w:val="1"/>
                <w:szCs w:val="1"/>
                <w:color w:val="auto"/>
              </w:rPr>
            </w:pPr>
          </w:p>
        </w:tc>
      </w:tr>
      <w:tr>
        <w:trPr>
          <w:trHeight w:val="148"/>
        </w:trPr>
        <w:tc>
          <w:tcPr>
            <w:tcW w:w="880" w:type="dxa"/>
            <w:vAlign w:val="bottom"/>
            <w:vMerge w:val="continue"/>
          </w:tcPr>
          <w:p>
            <w:pPr>
              <w:spacing w:after="0"/>
              <w:rPr>
                <w:sz w:val="12"/>
                <w:szCs w:val="12"/>
                <w:color w:val="auto"/>
              </w:rPr>
            </w:pP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Do Brasil Ltda</w:t>
            </w:r>
          </w:p>
        </w:tc>
        <w:tc>
          <w:tcPr>
            <w:tcW w:w="2660" w:type="dxa"/>
            <w:vAlign w:val="bottom"/>
            <w:vMerge w:val="continue"/>
          </w:tcPr>
          <w:p>
            <w:pPr>
              <w:spacing w:after="0"/>
              <w:rPr>
                <w:sz w:val="12"/>
                <w:szCs w:val="12"/>
                <w:color w:val="auto"/>
              </w:rPr>
            </w:pPr>
          </w:p>
        </w:tc>
        <w:tc>
          <w:tcPr>
            <w:tcW w:w="3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CRM Synergies</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Spain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CV Ayi Jaya</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CV Dua Sekawan</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CV Gita Pesona</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CV United Smelting</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CV Venus Inti Perkasa</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Dongguan CiEXPO Environmental Engineering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Dongguan City Xida Soldering Tin Products Co.</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Dowa</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Dragon Silver Holdings Limited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DS Myanmar</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Myanmar</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Electro-Mechanical Facility of the Cao Bang Minerals &amp; Metallurgy</w:t>
            </w:r>
          </w:p>
        </w:tc>
        <w:tc>
          <w:tcPr>
            <w:tcW w:w="26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Vietnam</w:t>
            </w:r>
          </w:p>
        </w:tc>
        <w:tc>
          <w:tcPr>
            <w:tcW w:w="330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80" w:type="dxa"/>
            <w:vAlign w:val="bottom"/>
            <w:vMerge w:val="continue"/>
          </w:tcPr>
          <w:p>
            <w:pPr>
              <w:spacing w:after="0"/>
              <w:rPr>
                <w:sz w:val="12"/>
                <w:szCs w:val="12"/>
                <w:color w:val="auto"/>
              </w:rPr>
            </w:pP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Joint Stock Company</w:t>
            </w:r>
          </w:p>
        </w:tc>
        <w:tc>
          <w:tcPr>
            <w:tcW w:w="2660" w:type="dxa"/>
            <w:vAlign w:val="bottom"/>
            <w:vMerge w:val="continue"/>
          </w:tcPr>
          <w:p>
            <w:pPr>
              <w:spacing w:after="0"/>
              <w:rPr>
                <w:sz w:val="12"/>
                <w:szCs w:val="12"/>
                <w:color w:val="auto"/>
              </w:rPr>
            </w:pPr>
          </w:p>
        </w:tc>
        <w:tc>
          <w:tcPr>
            <w:tcW w:w="3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EM Vinto</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Bolivia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Estanho de Rondonia S.A.</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Fabrica Auricchio Industria e Comercio Ltda.</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Feinhutte Halsbrucke GmbH</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Fenix Metals</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Poland</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Geib Refining Corporation</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Gejiu City Fuxiang Industry and Trade Co., Ltd.</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Gejiu Fengming Metallurgy Chemical Plant</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Gejiu Jinye Mineral Company</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Gejiu Kai Meng Industry and Trade LLC</w:t>
            </w:r>
          </w:p>
        </w:tc>
        <w:tc>
          <w:tcPr>
            <w:tcW w:w="2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Gejiu Non-Ferrous Metal Processing Co., Ltd</w:t>
            </w:r>
          </w:p>
        </w:tc>
        <w:tc>
          <w:tcPr>
            <w:tcW w:w="2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705"/>
        </w:trPr>
        <w:tc>
          <w:tcPr>
            <w:tcW w:w="88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780" w:type="dxa"/>
            <w:vAlign w:val="bottom"/>
            <w:shd w:val="clear" w:color="auto" w:fill="D1D1D1"/>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4040" w:type="dxa"/>
            <w:vAlign w:val="bottom"/>
            <w:shd w:val="clear" w:color="auto" w:fill="D1D1D1"/>
          </w:tcPr>
          <w:p>
            <w:pPr>
              <w:ind w:left="400"/>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3420" w:type="dxa"/>
            <w:vAlign w:val="bottom"/>
            <w:shd w:val="clear" w:color="auto" w:fill="D1D1D1"/>
          </w:tcPr>
          <w:p>
            <w:pPr>
              <w:ind w:left="54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3000" w:type="dxa"/>
            <w:vAlign w:val="bottom"/>
            <w:shd w:val="clear" w:color="auto" w:fill="D1D1D1"/>
          </w:tcPr>
          <w:p>
            <w:pPr>
              <w:ind w:left="820"/>
              <w:spacing w:after="0"/>
              <w:rPr>
                <w:sz w:val="20"/>
                <w:szCs w:val="20"/>
                <w:color w:val="auto"/>
              </w:rPr>
            </w:pPr>
            <w:r>
              <w:rPr>
                <w:rFonts w:ascii="Times New Roman" w:cs="Times New Roman" w:eastAsia="Times New Roman" w:hAnsi="Times New Roman"/>
                <w:sz w:val="14"/>
                <w:szCs w:val="14"/>
                <w:b w:val="1"/>
                <w:bCs w:val="1"/>
                <w:color w:val="auto"/>
              </w:rPr>
              <w:t>Compliance Status</w:t>
            </w:r>
          </w:p>
        </w:tc>
      </w:tr>
      <w:tr>
        <w:trPr>
          <w:trHeight w:val="126"/>
        </w:trPr>
        <w:tc>
          <w:tcPr>
            <w:tcW w:w="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26" w:lineRule="exact"/>
              <w:rPr>
                <w:sz w:val="20"/>
                <w:szCs w:val="20"/>
                <w:color w:val="auto"/>
              </w:rPr>
            </w:pPr>
            <w:r>
              <w:rPr>
                <w:rFonts w:ascii="Times New Roman" w:cs="Times New Roman" w:eastAsia="Times New Roman" w:hAnsi="Times New Roman"/>
                <w:sz w:val="14"/>
                <w:szCs w:val="14"/>
                <w:color w:val="auto"/>
              </w:rPr>
              <w:t>Gejiu Non-Ferrous Metal Processing Co., Ltd.</w:t>
            </w:r>
          </w:p>
        </w:tc>
        <w:tc>
          <w:tcPr>
            <w:tcW w:w="3420" w:type="dxa"/>
            <w:vAlign w:val="bottom"/>
          </w:tcPr>
          <w:p>
            <w:pPr>
              <w:ind w:left="540"/>
              <w:spacing w:after="0" w:line="126" w:lineRule="exact"/>
              <w:rPr>
                <w:sz w:val="20"/>
                <w:szCs w:val="20"/>
                <w:color w:val="auto"/>
              </w:rPr>
            </w:pPr>
            <w:r>
              <w:rPr>
                <w:rFonts w:ascii="Times New Roman" w:cs="Times New Roman" w:eastAsia="Times New Roman" w:hAnsi="Times New Roman"/>
                <w:sz w:val="14"/>
                <w:szCs w:val="14"/>
                <w:color w:val="auto"/>
              </w:rPr>
              <w:t>China</w:t>
            </w:r>
          </w:p>
        </w:tc>
        <w:tc>
          <w:tcPr>
            <w:tcW w:w="3000" w:type="dxa"/>
            <w:vAlign w:val="bottom"/>
          </w:tcPr>
          <w:p>
            <w:pPr>
              <w:ind w:left="820"/>
              <w:spacing w:after="0" w:line="126"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Gejiu Yunxi Group Corp.</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Gejiu Yunxin Nonferrous Electrolysis Co., Ltd.</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Gejiu Zili Mining And Metallurgy Co., Ltd.</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Guangdong Hanhe Non-Ferrous Metal Co., Ltd.</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GUANGXI HUA TIN GOLD MINUTE FEE, LTD.</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Guangxi Nonferrous Metals Group</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Guangxi Zhongshan Jin Yi Smelting Co., Ltd.</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Guanyang Guida Nonferrous Metal Smelting Plant</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Hezhou Jinwei Tin Co., Ltd.</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Hongqiao Metals (Kunshan) Co., Ltd.</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HuiChang Hill Tin Industry Co., Ltd.</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Huichang Jinshunda Tin Co., Ltd.</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Jiangxi Ketai Advanced Material Co., Ltd.</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Jiangxi New Nanshan Technology Ltd.</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Jiangxi Yaosheng Tungsten Co., Ltd.</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LIAN JING</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Luna Smelter, Ltd.</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Rwanda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Ma An Shan Shu Guang Smelter Corp.</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Ma'anshan Weitai Tin Co., Ltd.</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Magnu's Minerais Metais e Ligas Ltda.</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Malaysia Smelting Corporation (MSC)</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Malaysia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Malaysia Smelting Corporation Berhad (Port Klang)</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Malaysia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Materials Eco-Refining Co., Ltd.</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Melt Metais e Ligas S.A.</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Metallic Resources, Inc.</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Minchali Metal Industry Co., Ltd.</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Taiwan</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Mineracao Taboca S.A.</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Ming Li Jia smelt Metal Factory</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Mining Minerals Resources SARL</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Democratic Republic of The Congo</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Minsur</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Peru</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Mitsubishi Materials Corporation</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Modeltech Sdn Bhd</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Malaysia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Ney Metals and Alloys</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Nghe Tinh Non-Ferrous Metals Joint Stock Company</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Vietnam</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Novosibirsk Tin Combine</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Russian Federation</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O.M. Manufacturing (Thailand) Co., Ltd.</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Thailand</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O.M. Manufacturing Philippines, Inc.</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Philippines</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OMODEO A. E S. METALLEGHE SRL</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Italy</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Operaciones Metalurgicas S.A.</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Bolivia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Pongpipat Company Limited</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Myanmar</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Precious Minerals and Smelting Limited</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Aries Kencana Sejahtera</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Artha Cipta Langgeng</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Active</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ATD Makmur Mandiri Jaya</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Babel Inti Perkasa</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Babel Surya Alam Lestari</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Bangka Prima Tin</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Bangka Putra Karya</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Bangka Serumpun</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Bangka Tin Industry</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Belitung Industri Sejahtera</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Bukit Timah</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Cipta Persada Mulia</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DS Jaya Abadi</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Eunindo Usaha Mandiri</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Inti Stania Prima</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Karimun Mining</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Kijang Jaya Mandiri</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Lautan Harmonis Sejahtera</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Masbro Alam Stania</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Active</w:t>
            </w: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Menara Cipta Mulia</w:t>
            </w:r>
          </w:p>
        </w:tc>
        <w:tc>
          <w:tcPr>
            <w:tcW w:w="342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00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88"/>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Tin</w:t>
            </w:r>
          </w:p>
        </w:tc>
        <w:tc>
          <w:tcPr>
            <w:tcW w:w="4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PT Mitra Stania Prima</w:t>
            </w:r>
          </w:p>
        </w:tc>
        <w:tc>
          <w:tcPr>
            <w:tcW w:w="34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Indonesia</w:t>
            </w:r>
          </w:p>
        </w:tc>
        <w:tc>
          <w:tcPr>
            <w:tcW w:w="3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Conformant</w:t>
            </w:r>
          </w:p>
        </w:tc>
      </w:tr>
      <w:tr>
        <w:trPr>
          <w:trHeight w:val="705"/>
        </w:trPr>
        <w:tc>
          <w:tcPr>
            <w:tcW w:w="78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780" w:type="dxa"/>
            <w:vAlign w:val="bottom"/>
            <w:shd w:val="clear" w:color="auto" w:fill="D1D1D1"/>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4480" w:type="dxa"/>
            <w:vAlign w:val="bottom"/>
            <w:shd w:val="clear" w:color="auto" w:fill="D1D1D1"/>
          </w:tcPr>
          <w:p>
            <w:pPr>
              <w:ind w:left="400"/>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2680" w:type="dxa"/>
            <w:vAlign w:val="bottom"/>
            <w:shd w:val="clear" w:color="auto" w:fill="D1D1D1"/>
          </w:tcPr>
          <w:p>
            <w:pPr>
              <w:ind w:left="10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3300" w:type="dxa"/>
            <w:vAlign w:val="bottom"/>
            <w:shd w:val="clear" w:color="auto" w:fill="D1D1D1"/>
          </w:tcPr>
          <w:p>
            <w:pPr>
              <w:ind w:left="1120"/>
              <w:spacing w:after="0"/>
              <w:rPr>
                <w:sz w:val="20"/>
                <w:szCs w:val="20"/>
                <w:color w:val="auto"/>
              </w:rPr>
            </w:pPr>
            <w:r>
              <w:rPr>
                <w:rFonts w:ascii="Times New Roman" w:cs="Times New Roman" w:eastAsia="Times New Roman" w:hAnsi="Times New Roman"/>
                <w:sz w:val="14"/>
                <w:szCs w:val="14"/>
                <w:b w:val="1"/>
                <w:bCs w:val="1"/>
                <w:color w:val="auto"/>
              </w:rPr>
              <w:t>Compliance Status</w:t>
            </w:r>
          </w:p>
        </w:tc>
        <w:tc>
          <w:tcPr>
            <w:tcW w:w="0" w:type="dxa"/>
            <w:vAlign w:val="bottom"/>
          </w:tcPr>
          <w:p>
            <w:pPr>
              <w:spacing w:after="0"/>
              <w:rPr>
                <w:sz w:val="1"/>
                <w:szCs w:val="1"/>
                <w:color w:val="auto"/>
              </w:rPr>
            </w:pPr>
          </w:p>
        </w:tc>
      </w:tr>
      <w:tr>
        <w:trPr>
          <w:trHeight w:val="126"/>
        </w:trPr>
        <w:tc>
          <w:tcPr>
            <w:tcW w:w="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26" w:lineRule="exact"/>
              <w:rPr>
                <w:sz w:val="20"/>
                <w:szCs w:val="20"/>
                <w:color w:val="auto"/>
              </w:rPr>
            </w:pPr>
            <w:r>
              <w:rPr>
                <w:rFonts w:ascii="Times New Roman" w:cs="Times New Roman" w:eastAsia="Times New Roman" w:hAnsi="Times New Roman"/>
                <w:sz w:val="14"/>
                <w:szCs w:val="14"/>
                <w:color w:val="auto"/>
              </w:rPr>
              <w:t>PT Mitra Sukses Globalindo</w:t>
            </w:r>
          </w:p>
        </w:tc>
        <w:tc>
          <w:tcPr>
            <w:tcW w:w="268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Indonesia</w:t>
            </w:r>
          </w:p>
        </w:tc>
        <w:tc>
          <w:tcPr>
            <w:tcW w:w="3300" w:type="dxa"/>
            <w:vAlign w:val="bottom"/>
          </w:tcPr>
          <w:p>
            <w:pPr>
              <w:ind w:left="1120"/>
              <w:spacing w:after="0" w:line="126"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Panca Mega Persada</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Premium Tin Indonesia</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Prima Timah Utama</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Putera Sarana Shakti (PT PSS)</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Rajawali Rimba Perkasa</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Rajehan Ariq</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Refined Bangka Tin</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Sariwiguna Binasentosa</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Stanindo Inti Perkasa</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Sukses Inti Makmur (SIM)</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Sumber Jaya Indah</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Timah Nusantara</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Timah Tbk</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Timah Tbk Kundur</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Timah Tbk Mentok</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Tinindo Inter Nusa</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Tirus Putra Mandiri</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PT Tommy Utama</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Resind Industria e Comercio Ltda.</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Rian Resources SDN. BHD.</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Malaysia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Rui Da Hung</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Taiwan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Shan Tou Shi Yong Yuan Jin Shu Zai Sheng Co., Ltd.</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Shenzhen Hong Chang Metal Manufacturing Factory</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Sichuan Guanghan Jiangnan casting smelters</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Sigma Tin Alloy Co., Ltd.</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Soft Metais Ltda.</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Solder Court Ltd.</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Super Ligas</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Suzhou Nuonengda Chemical Co., Ltd.</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Taiwan Huanliang</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Taiwan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Thai Nguyen Mining and Metallurgy Co., Ltd.</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Vietnam</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Thailand Mine Factory</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Thailand</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Thaisarco</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Thailand</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Three green surface technology limited company</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TIN PLATING GEJIU</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Tin Smelting Branch of Yunnan Tin Co., Ltd.</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Tin Technology &amp; Refining</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TONG LONG</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Top-Team Technology (Shenzhen) Ltd.</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TRATHO Metal Quimica</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Tuyen Quang Non-Ferrous Metals Joint Stock Company</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Vietnam</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Valcambi S.A.</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Switzerland</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VQB Mineral and Trading Group JSC</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Vietnam</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White Solder Metalurgia e Mineracao Ltda.</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WUJIANG CITY LUXE TIN FACTORY</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Xiamen Honglu Tungsten Molybdenum Co., Ltd.</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Xianghualing Tin Industry Co., Ltd.</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Xin Furukawa Metal ( Wuxi ) Co., Ltd.</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XURI</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Yifeng Tin</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Yiquan Manufacturing</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Yuecheng Tin Co., Ltd.</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Yunnan Chengfeng Non-ferrous Metals Co., Ltd.</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Yunnan Chengo Electric Smelting Plant</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Yunnan Copper Zinc Industry Co., Ltd.</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Yunnan Geiju Smelting Corp.</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Yunnan Industrial Co., Ltd.</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Yunnan Malipo Baiyi Kuangye Co.</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Yunnan Yunfan Non-ferrous Metals Co., Ltd.</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Zhongshan Jinye Smelting Co.,Ltd</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Takehara PVD Materials Plant / PVD Materials Division of MITSUI</w:t>
            </w:r>
          </w:p>
        </w:tc>
        <w:tc>
          <w:tcPr>
            <w:tcW w:w="26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Japan</w:t>
            </w:r>
          </w:p>
        </w:tc>
        <w:tc>
          <w:tcPr>
            <w:tcW w:w="330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780" w:type="dxa"/>
            <w:vAlign w:val="bottom"/>
            <w:vMerge w:val="continue"/>
          </w:tcPr>
          <w:p>
            <w:pPr>
              <w:spacing w:after="0"/>
              <w:rPr>
                <w:sz w:val="12"/>
                <w:szCs w:val="12"/>
                <w:color w:val="auto"/>
              </w:rPr>
            </w:pP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MINING &amp; SMELTING CO., LTD.</w:t>
            </w:r>
          </w:p>
        </w:tc>
        <w:tc>
          <w:tcPr>
            <w:tcW w:w="2680" w:type="dxa"/>
            <w:vAlign w:val="bottom"/>
            <w:vMerge w:val="continue"/>
          </w:tcPr>
          <w:p>
            <w:pPr>
              <w:spacing w:after="0"/>
              <w:rPr>
                <w:sz w:val="12"/>
                <w:szCs w:val="12"/>
                <w:color w:val="auto"/>
              </w:rPr>
            </w:pPr>
          </w:p>
        </w:tc>
        <w:tc>
          <w:tcPr>
            <w:tcW w:w="3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Tai Perng</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Taiwan</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Taicang City Nancang Metal Material Co., Ltd.</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Jiang Xi Jia Wang Technology Tin Products Environmental Ltd.</w:t>
            </w:r>
          </w:p>
        </w:tc>
        <w:tc>
          <w:tcPr>
            <w:tcW w:w="2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330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88"/>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Tin</w:t>
            </w:r>
          </w:p>
        </w:tc>
        <w:tc>
          <w:tcPr>
            <w:tcW w:w="44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Alpha Assembly Solutions Inc</w:t>
            </w:r>
          </w:p>
        </w:tc>
        <w:tc>
          <w:tcPr>
            <w:tcW w:w="2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United States of America</w:t>
            </w:r>
          </w:p>
        </w:tc>
        <w:tc>
          <w:tcPr>
            <w:tcW w:w="33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705"/>
        </w:trPr>
        <w:tc>
          <w:tcPr>
            <w:tcW w:w="78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860" w:type="dxa"/>
            <w:vAlign w:val="bottom"/>
            <w:shd w:val="clear" w:color="auto" w:fill="D1D1D1"/>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4400" w:type="dxa"/>
            <w:vAlign w:val="bottom"/>
            <w:shd w:val="clear" w:color="auto" w:fill="D1D1D1"/>
          </w:tcPr>
          <w:p>
            <w:pPr>
              <w:ind w:left="320"/>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3520" w:type="dxa"/>
            <w:vAlign w:val="bottom"/>
            <w:shd w:val="clear" w:color="auto" w:fill="D1D1D1"/>
          </w:tcPr>
          <w:p>
            <w:pPr>
              <w:ind w:left="10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460" w:type="dxa"/>
            <w:vAlign w:val="bottom"/>
            <w:shd w:val="clear" w:color="auto" w:fill="D1D1D1"/>
          </w:tcPr>
          <w:p>
            <w:pPr>
              <w:ind w:left="280"/>
              <w:spacing w:after="0"/>
              <w:rPr>
                <w:sz w:val="20"/>
                <w:szCs w:val="20"/>
                <w:color w:val="auto"/>
              </w:rPr>
            </w:pPr>
            <w:r>
              <w:rPr>
                <w:rFonts w:ascii="Times New Roman" w:cs="Times New Roman" w:eastAsia="Times New Roman" w:hAnsi="Times New Roman"/>
                <w:sz w:val="14"/>
                <w:szCs w:val="14"/>
                <w:b w:val="1"/>
                <w:bCs w:val="1"/>
                <w:color w:val="auto"/>
              </w:rPr>
              <w:t>Compliance Status</w:t>
            </w:r>
          </w:p>
        </w:tc>
        <w:tc>
          <w:tcPr>
            <w:tcW w:w="0" w:type="dxa"/>
            <w:vAlign w:val="bottom"/>
          </w:tcPr>
          <w:p>
            <w:pPr>
              <w:spacing w:after="0"/>
              <w:rPr>
                <w:sz w:val="1"/>
                <w:szCs w:val="1"/>
                <w:color w:val="auto"/>
              </w:rPr>
            </w:pPr>
          </w:p>
        </w:tc>
      </w:tr>
      <w:tr>
        <w:trPr>
          <w:trHeight w:val="126"/>
        </w:trPr>
        <w:tc>
          <w:tcPr>
            <w:tcW w:w="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20"/>
              <w:spacing w:after="0" w:line="126" w:lineRule="exact"/>
              <w:rPr>
                <w:sz w:val="20"/>
                <w:szCs w:val="20"/>
                <w:color w:val="auto"/>
              </w:rPr>
            </w:pPr>
            <w:r>
              <w:rPr>
                <w:rFonts w:ascii="Times New Roman" w:cs="Times New Roman" w:eastAsia="Times New Roman" w:hAnsi="Times New Roman"/>
                <w:sz w:val="14"/>
                <w:szCs w:val="14"/>
                <w:color w:val="auto"/>
              </w:rPr>
              <w:t>IMPAG AG</w:t>
            </w:r>
          </w:p>
        </w:tc>
        <w:tc>
          <w:tcPr>
            <w:tcW w:w="352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Switzerland</w:t>
            </w:r>
          </w:p>
        </w:tc>
        <w:tc>
          <w:tcPr>
            <w:tcW w:w="246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CV Serumpun Sebalai</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Woodcross Smelting Company Limited</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Uganda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PT Mitra Graha Raya</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Longnan Chuangyue Environmental Protection Technology</w:t>
            </w:r>
          </w:p>
        </w:tc>
        <w:tc>
          <w:tcPr>
            <w:tcW w:w="35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24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60" w:type="dxa"/>
            <w:vAlign w:val="bottom"/>
            <w:vMerge w:val="continue"/>
          </w:tcPr>
          <w:p>
            <w:pPr>
              <w:spacing w:after="0"/>
              <w:rPr>
                <w:sz w:val="12"/>
                <w:szCs w:val="12"/>
                <w:color w:val="auto"/>
              </w:rPr>
            </w:pP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Development Co., Ltd</w:t>
            </w:r>
          </w:p>
        </w:tc>
        <w:tc>
          <w:tcPr>
            <w:tcW w:w="3520" w:type="dxa"/>
            <w:vAlign w:val="bottom"/>
            <w:vMerge w:val="continue"/>
          </w:tcPr>
          <w:p>
            <w:pPr>
              <w:spacing w:after="0"/>
              <w:rPr>
                <w:sz w:val="12"/>
                <w:szCs w:val="12"/>
                <w:color w:val="auto"/>
              </w:rPr>
            </w:pPr>
          </w:p>
        </w:tc>
        <w:tc>
          <w:tcPr>
            <w:tcW w:w="2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Global Advanced Metals Greenbushes Pty Ltd.</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Australia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RIKAYAA GREENTECH PRIVATE LIMITED</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India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PT Sukses Inti Makmur</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Feinhütte Halsbrücke GmbH</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Metallum Group Holding NV</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Belgium</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Guangdong Hanhe Non-Ferrous Metal Co.,Ltd.</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Cooperativa Metalurgica de Rondônia Ltda.</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Dongguan Best Alloys Co., Ltd.</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WANG TING</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Jean Goldschmidt International (JGI Hydrometal)</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Belgium</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PT Arsed Indonesia</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Dingnan Jiawang environmental Tin technology Co.</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CRM Synergies EMEA, S.L.U.</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Spain</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P Kay Metal, Inc</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Shangrao Xuri Smelting Factory</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White Solder Metalurgica</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Metallo Spain S.L.U.</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Spain</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ENAF</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Bolivia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Estanho de Rondônia S.A.</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A.L.M.T. Corp.</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ACL Metais Eireli</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Albasteel Industria e Comercio de Ligas Para Fundicao Ltd.</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Artek LLC</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Russian Federation</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Asia Tungsten Products Vietnam Ltd.</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Vietnam</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Avon Specialty Metals Ltd.</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United Kingdom of Great Britan and Northern Ireland</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China Molybdenum Tungsten Co., Ltd.</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Chongyi Zhangyuan Tungsten Co., Ltd.</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CNMC (Guangxi) PGMA Co., Ltd.</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CP Metals Inc.</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Cronimet Brasil Ltda</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DONGKUK INDUSTRIES CO., LTD.</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Republic of Korea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Fujian Ganmin RareMetal Co., Ltd.</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Fujian Jinxin Tungsten Co., Ltd.</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Fujian Xinlu Tungsten Co., Ltd.</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Ganzhou Beseem Ferrotungsten Co., Ltd.</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Ganzhou Haichuang Tungsten Co., Ltd.</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Ganzhou Huaxing Tungsten Products Co., Ltd.</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Ganzhou Jiangwu Ferrotungsten Co., Ltd.</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Active</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Ganzhou Seadragon W &amp; Mo Co., Ltd.</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Ganzhou Sunny Non-Ferrous Metals Co., Ltd.</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Ganzhou Yatai Tungsten Co., Ltd.</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Global Tungsten &amp; Powders LLC</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Guangdong Xianglu Tungsten Co., Ltd.</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H.C. Starck Tungsten GmbH</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HANNAE FOR T Co., Ltd.</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Republic of Korea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Hubei Green Tungsten Co., Ltd.</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Hunan Chenzhou Mining Co., Ltd.</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Hunan Chuangda Vanadium Tungsten Co., Ltd. Wuji</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Hunan Jintai New Material Co., Ltd.</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Hunan Litian Tungsten Industry Co., Ltd.</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8"/>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Hunan Shizhuyuan Nonferrous Metals Co., Ltd. Chenzhou Tungsten</w:t>
            </w:r>
          </w:p>
        </w:tc>
        <w:tc>
          <w:tcPr>
            <w:tcW w:w="35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24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860" w:type="dxa"/>
            <w:vAlign w:val="bottom"/>
            <w:vMerge w:val="continue"/>
          </w:tcPr>
          <w:p>
            <w:pPr>
              <w:spacing w:after="0"/>
              <w:rPr>
                <w:sz w:val="12"/>
                <w:szCs w:val="12"/>
                <w:color w:val="auto"/>
              </w:rPr>
            </w:pP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Products Branch</w:t>
            </w:r>
          </w:p>
        </w:tc>
        <w:tc>
          <w:tcPr>
            <w:tcW w:w="3520" w:type="dxa"/>
            <w:vAlign w:val="bottom"/>
            <w:vMerge w:val="continue"/>
          </w:tcPr>
          <w:p>
            <w:pPr>
              <w:spacing w:after="0"/>
              <w:rPr>
                <w:sz w:val="12"/>
                <w:szCs w:val="12"/>
                <w:color w:val="auto"/>
              </w:rPr>
            </w:pPr>
          </w:p>
        </w:tc>
        <w:tc>
          <w:tcPr>
            <w:tcW w:w="2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Hydrometallurg, JSC</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Russian Federation</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Unknown</w:t>
            </w: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Japan New Metals Co., Ltd.</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Jiangwu H.C. Starck Tungsten Products Co., Ltd.</w:t>
            </w:r>
          </w:p>
        </w:tc>
        <w:tc>
          <w:tcPr>
            <w:tcW w:w="3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88"/>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Tungsten</w:t>
            </w:r>
          </w:p>
        </w:tc>
        <w:tc>
          <w:tcPr>
            <w:tcW w:w="4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Jiangxi Gan Bei Tungsten Co., Ltd.</w:t>
            </w:r>
          </w:p>
        </w:tc>
        <w:tc>
          <w:tcPr>
            <w:tcW w:w="3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China</w:t>
            </w:r>
          </w:p>
        </w:tc>
        <w:tc>
          <w:tcPr>
            <w:tcW w:w="2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Conformant</w:t>
            </w:r>
          </w:p>
        </w:tc>
        <w:tc>
          <w:tcPr>
            <w:tcW w:w="0" w:type="dxa"/>
            <w:vAlign w:val="bottom"/>
          </w:tcPr>
          <w:p>
            <w:pPr>
              <w:spacing w:after="0"/>
              <w:rPr>
                <w:sz w:val="1"/>
                <w:szCs w:val="1"/>
                <w:color w:val="auto"/>
              </w:rPr>
            </w:pPr>
          </w:p>
        </w:tc>
      </w:tr>
      <w:tr>
        <w:trPr>
          <w:trHeight w:val="1137"/>
        </w:trPr>
        <w:tc>
          <w:tcPr>
            <w:tcW w:w="8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860" w:type="dxa"/>
            <w:vAlign w:val="bottom"/>
            <w:shd w:val="clear" w:color="auto" w:fill="D1D1D1"/>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4340" w:type="dxa"/>
            <w:vAlign w:val="bottom"/>
            <w:shd w:val="clear" w:color="auto" w:fill="D1D1D1"/>
          </w:tcPr>
          <w:p>
            <w:pPr>
              <w:ind w:left="320"/>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3080" w:type="dxa"/>
            <w:vAlign w:val="bottom"/>
            <w:shd w:val="clear" w:color="auto" w:fill="D1D1D1"/>
          </w:tcPr>
          <w:p>
            <w:pPr>
              <w:ind w:left="16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960" w:type="dxa"/>
            <w:vAlign w:val="bottom"/>
            <w:shd w:val="clear" w:color="auto" w:fill="D1D1D1"/>
          </w:tcPr>
          <w:p>
            <w:pPr>
              <w:ind w:left="780"/>
              <w:spacing w:after="0"/>
              <w:rPr>
                <w:sz w:val="20"/>
                <w:szCs w:val="20"/>
                <w:color w:val="auto"/>
              </w:rPr>
            </w:pPr>
            <w:r>
              <w:rPr>
                <w:rFonts w:ascii="Times New Roman" w:cs="Times New Roman" w:eastAsia="Times New Roman" w:hAnsi="Times New Roman"/>
                <w:sz w:val="14"/>
                <w:szCs w:val="14"/>
                <w:b w:val="1"/>
                <w:bCs w:val="1"/>
                <w:color w:val="auto"/>
              </w:rPr>
              <w:t>Compliance Status</w:t>
            </w:r>
          </w:p>
        </w:tc>
      </w:tr>
      <w:tr>
        <w:trPr>
          <w:trHeight w:val="126"/>
        </w:trPr>
        <w:tc>
          <w:tcPr>
            <w:tcW w:w="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26" w:lineRule="exact"/>
              <w:rPr>
                <w:sz w:val="20"/>
                <w:szCs w:val="20"/>
                <w:color w:val="auto"/>
              </w:rPr>
            </w:pPr>
            <w:r>
              <w:rPr>
                <w:rFonts w:ascii="Times New Roman" w:cs="Times New Roman" w:eastAsia="Times New Roman" w:hAnsi="Times New Roman"/>
                <w:sz w:val="14"/>
                <w:szCs w:val="14"/>
                <w:color w:val="auto"/>
              </w:rPr>
              <w:t>Jiangxi Minmetals Gao'an Non-ferrous Metals Co., Ltd.</w:t>
            </w:r>
          </w:p>
        </w:tc>
        <w:tc>
          <w:tcPr>
            <w:tcW w:w="308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China</w:t>
            </w:r>
          </w:p>
        </w:tc>
        <w:tc>
          <w:tcPr>
            <w:tcW w:w="2960" w:type="dxa"/>
            <w:vAlign w:val="bottom"/>
          </w:tcPr>
          <w:p>
            <w:pPr>
              <w:ind w:left="780"/>
              <w:spacing w:after="0" w:line="126"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Jiangxi Tonggu Non-ferrous Metallurgical &amp; Chemical Co., Ltd.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Jiangxi Xianglu Tungsten Co., Ltd.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Jiangxi Xinsheng Tungsten Industry Co., Ltd.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Jiangxi Yaosheng Tungsten Co., Ltd.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JSC "Kirovgrad Hard Alloys Plant"</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Russian Federation</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Kenee Mining Corporation Vietnam</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Vietnam</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Kennametal Fallon</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Kennametal Huntsville</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KGETS Co., Ltd.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Republic of Korea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Lianyou Metals Co., Ltd.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Taiwan</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Lianyou Resources Co., Ltd.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Taiwan</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LLC Vostok</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Russian Federation</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Malipo Haiyu Tungsten Co., Ltd.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Masan High-Tech Materials</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Vietnam</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Materion</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Mitsui Mining and Smelting Co., Ltd.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Moliren Ltd.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Russian Federation</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Nam Viet Cromit Joint Stock Company</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Vietnam</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Niagara Refining LLC</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Ningxia Orient Tantalum Industry Co., Ltd.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NPP Tyazhmetprom LLC</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Russian Federation</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OOO “Technolom” 1</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Russian Federation</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OOO “Technolom” 2</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Russian Federation</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Philippine Chuangxin Industrial Co., Inc.</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Philippines</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Plansee Composite Materials GmbH</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Plansee SE Liezen</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Not Known</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PT Stanindo Inti Perkasa</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Sanher Tungsten Vietnam Co., Ltd.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Vietnam</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Shinwon Tungsten (Fujian Shanghang) Co., Ltd.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Solar Applied Materials Technology Corp.</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Taiwan</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South-East Nonferrous Metal Company Limited of Hengyang City</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Sumitomo Metal Mining Co., Ltd.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TANIOBIS Smelting GmbH &amp; Co. KG</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Tejing (Vietnam) Tungsten Co., Ltd.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Vietnam</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Thaisarco</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Thailand</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Tungsten Vietnam Joint Stock Company</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Vietnam</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Unecha Refractory Metals Plant</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Russian Federation</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Vietnam Youngsun Tungsten Industry Co., Ltd.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Vietnam</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Wolfram Bergbau und Hutten AG</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Austria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Xiamen Tungsten (H.C.) Co., Ltd.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Xiamen Tungsten Co., Ltd.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Xinfeng Huarui Tungsten &amp; Molybdenum New Material Co., Ltd.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Xinhai Rendan Shaoguan Tungsten Co., Ltd.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YUDU ANSHENG TUNGSTEN CO., LTD.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Zhangzhou Chuen Bao Apt Smeltery Co., Ltd.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Zhuzhou Cemented Carbide Group Co., Ltd.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MALAMET SMELTING SDN. BHD.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Malaysia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China National Nonferrous Metals Imp. &amp; Exp. Jiangxi Co., Ltd.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Minmetals Ganzhou Tin Co. Ltd.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Philippine Carreytech Metal Corp.</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Philippines</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Philippine Bonway Manufacturing Industrial Corporation</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Philippines</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China Molybdenum Co., Ltd.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A.L.M.T. TUNGSTEN Corp.</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S.P.T. spol.s r.o.</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Czech Republic</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PT Timah (Persero), Tbk</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Indonesia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Tungsten Diversified Industries LLC</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Jiangxi Rare Metals Tungsten Holdings Group Co., Ltd.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Jing Yuan Tungsten Technology Co., Ltd.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Taiwan</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LAOS SOUTHERN MINING SMELTING SOLE CO.,LTD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Peoples Democratic Republic of Lao</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Zhuzhou Cement Carbide</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China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Unknown</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KENEE MINING Vietnam COMPANY LIMITED</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Vietnam</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9"/>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GTP</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48"/>
        </w:trPr>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Global Tungsten &amp; Powders Corp.</w:t>
            </w:r>
          </w:p>
        </w:tc>
        <w:tc>
          <w:tcPr>
            <w:tcW w:w="30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United States of America</w:t>
            </w:r>
          </w:p>
        </w:tc>
        <w:tc>
          <w:tcPr>
            <w:tcW w:w="2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Conformant</w:t>
            </w:r>
          </w:p>
        </w:tc>
      </w:tr>
      <w:tr>
        <w:trPr>
          <w:trHeight w:val="188"/>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Tungsten</w:t>
            </w:r>
          </w:p>
        </w:tc>
        <w:tc>
          <w:tcPr>
            <w:tcW w:w="43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Hunan Chenzhou Mining Group Co., Ltd.</w:t>
            </w:r>
          </w:p>
        </w:tc>
        <w:tc>
          <w:tcPr>
            <w:tcW w:w="3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China</w:t>
            </w:r>
          </w:p>
        </w:tc>
        <w:tc>
          <w:tcPr>
            <w:tcW w:w="29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Unknown</w:t>
            </w:r>
          </w:p>
        </w:tc>
      </w:tr>
      <w:tr>
        <w:trPr>
          <w:trHeight w:val="705"/>
        </w:trPr>
        <w:tc>
          <w:tcPr>
            <w:tcW w:w="86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7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00"/>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lvl w:ilvl="1">
      <w:lvlJc w:val="left"/>
      <w:lvlText w:val="%2."/>
      <w:numFmt w:val="lowerLetter"/>
      <w:start w:val="1"/>
    </w:lvl>
  </w:abstractNum>
  <w:abstractNum w:abstractNumId="4">
    <w:nsid w:val="41B71EFB"/>
    <w:multiLevelType w:val="hybridMultilevel"/>
    <w:lvl w:ilvl="0">
      <w:lvlJc w:val="left"/>
      <w:lvlText w:val="%1"/>
      <w:numFmt w:val="decimal"/>
      <w:start w:val="1"/>
    </w:lvl>
    <w:lvl w:ilvl="1">
      <w:lvlJc w:val="left"/>
      <w:lvlText w:val="%2."/>
      <w:numFmt w:val="lowerLetter"/>
      <w:start w:val="4"/>
    </w:lvl>
  </w:abstractNum>
  <w:abstractNum w:abstractNumId="5">
    <w:nsid w:val="79E2A9E3"/>
    <w:multiLevelType w:val="hybridMultilevel"/>
    <w:lvl w:ilvl="0">
      <w:lvlJc w:val="left"/>
      <w:lvlText w:val="%1."/>
      <w:numFmt w:val="decimal"/>
      <w:start w:val="2"/>
    </w:lvl>
    <w:lvl w:ilvl="1">
      <w:lvlJc w:val="left"/>
      <w:lvlText w:val="%2"/>
      <w:numFmt w:val="lowerLetter"/>
      <w:start w:val="1"/>
    </w:lvl>
  </w:abstractNum>
  <w:abstractNum w:abstractNumId="6">
    <w:nsid w:val="7545E146"/>
    <w:multiLevelType w:val="hybridMultilevel"/>
    <w:lvl w:ilvl="0">
      <w:lvlJc w:val="left"/>
      <w:lvlText w:val="%1."/>
      <w:numFmt w:val="decimal"/>
      <w:start w:val="3"/>
    </w:lvl>
  </w:abstractNum>
  <w:abstractNum w:abstractNumId="7">
    <w:nsid w:val="515F007C"/>
    <w:multiLevelType w:val="hybridMultilevel"/>
    <w:lvl w:ilvl="0">
      <w:lvlJc w:val="left"/>
      <w:lvlText w:val="%1."/>
      <w:numFmt w:val="decimal"/>
      <w:start w:val="4"/>
    </w:lvl>
  </w:abstractNum>
  <w:abstractNum w:abstractNumId="8">
    <w:nsid w:val="5BD062C2"/>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2026-05-29T18:57:12Z</dcterms:created>
  <dcterms:modified xsi:type="dcterms:W3CDTF">2026-05-29T18:57:12Z</dcterms:modified>
</cp:coreProperties>
</file>