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xst-20260805.htm"/>
      <w:bookmarkStart w:id="1" w:name="ksrxst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RxSight,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94-3268801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Columbia</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Aliso Viejo,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(949)</w:t>
            </w:r>
            <w:r>
              <w:rPr>
                <w:rFonts w:ascii="Times New Roman" w:hAnsi="Times New Roman"/>
                <w:color w:val="000000"/>
                <w:sz w:val="20"/>
              </w:rPr>
              <w:t xml:space="preserve"> </w:t>
            </w:r>
            <w:r>
              <w:rPr>
                <w:rFonts w:ascii="Times New Roman" w:hAnsi="Times New Roman"/>
                <w:b/>
                <w:color w:val="000000"/>
                <w:sz w:val="20"/>
              </w:rPr>
              <w:t>521-7830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RXST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5, 2026, RxSight, Inc. (the “Company”) issued a press release announcing its results of operations and financial condition for the three months ended June 30, 2026. A copy of the press release is attached hereto as Exhibit 99.1 and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furnished in this Current Report on Form 8-K under Item 2.02 and the exhibit attached hereto shall not be deemed “filed” for purposes of Section 18 of the Securities Exchange Act of 1934, as amended (the “Exchange Act”), or incorporated by reference in any filing under the Securities Act of 1933, as amended, or in any filing under the Exchange Act, except as shall be expressly set forth by specific reference in such a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The following exhibit is furnished as part of this report:</w:t>
      </w:r>
    </w:p>
    <w:p>
      <w:pPr>
        <w:pStyle w:val="TextBody"/>
        <w:bidi w:val="0"/>
        <w:jc w:val="left"/>
        <w:rPr/>
      </w:pPr>
      <w:r>
        <w:rPr/>
        <w:t> </w:t>
      </w:r>
    </w:p>
    <w:tbl>
      <w:tblPr>
        <w:tblW w:w="8248" w:type="dxa"/>
        <w:jc w:val="left"/>
        <w:tblInd w:w="0" w:type="dxa"/>
        <w:tblLayout w:type="fixed"/>
        <w:tblCellMar>
          <w:top w:w="28" w:type="dxa"/>
          <w:left w:w="28" w:type="dxa"/>
          <w:bottom w:w="28" w:type="dxa"/>
          <w:right w:w="28" w:type="dxa"/>
        </w:tblCellMar>
      </w:tblPr>
      <w:tblGrid>
        <w:gridCol w:w="1456"/>
        <w:gridCol w:w="146"/>
        <w:gridCol w:w="6646"/>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rxst-ex99_1.htm">
              <w:r>
                <w:rPr>
                  <w:rStyle w:val="InternetLink"/>
                  <w:rFonts w:ascii="Times New Roman" w:hAnsi="Times New Roman"/>
                  <w:color w:val="0000FF"/>
                  <w:sz w:val="20"/>
                  <w:u w:val="single"/>
                </w:rPr>
                <w:t>Press Release dated August 5, 2026</w:t>
              </w:r>
            </w:hyperlink>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87"/>
        <w:jc w:val="left"/>
        <w:rPr/>
      </w:pPr>
      <w:r>
        <w:rPr/>
        <w:t> </w:t>
      </w:r>
    </w:p>
    <w:tbl>
      <w:tblPr>
        <w:tblW w:w="4864" w:type="dxa"/>
        <w:jc w:val="left"/>
        <w:tblInd w:w="0" w:type="dxa"/>
        <w:tblLayout w:type="fixed"/>
        <w:tblCellMar>
          <w:top w:w="28" w:type="dxa"/>
          <w:left w:w="28" w:type="dxa"/>
          <w:bottom w:w="28" w:type="dxa"/>
          <w:right w:w="28" w:type="dxa"/>
        </w:tblCellMar>
      </w:tblPr>
      <w:tblGrid>
        <w:gridCol w:w="556"/>
        <w:gridCol w:w="1351"/>
        <w:gridCol w:w="451"/>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RxSight,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Wilterding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Mark Wilterding</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rxst-ex99_1.htm"/>
      <w:bookmarkStart w:id="3" w:name="ksrxstex99_1"/>
      <w:bookmarkEnd w:id="2"/>
      <w:bookmarkEnd w:id="3"/>
      <w:r>
        <w:rPr/>
        <w:t> </w:t>
      </w:r>
      <w:r>
        <w:br w:type="page"/>
      </w:r>
    </w:p>
    <w:p>
      <w:pPr>
        <w:pStyle w:val="TextBody"/>
        <w:bidi w:val="0"/>
        <w:jc w:val="right"/>
        <w:rPr/>
      </w:pPr>
      <w:r>
        <w:rPr/>
        <w:drawing>
          <wp:inline distT="0" distB="0" distL="0" distR="0">
            <wp:extent cx="14573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447675"/>
                    </a:xfrm>
                    <a:prstGeom prst="rect">
                      <a:avLst/>
                    </a:prstGeom>
                  </pic:spPr>
                </pic:pic>
              </a:graphicData>
            </a:graphic>
          </wp:inline>
        </w:drawing>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RXSIGHT, INC. REPORTS SECOND QUARTER 2026 RESULTS AND PROVIDES UPDATE ON 2026 OUTLOOK</w:t>
      </w:r>
    </w:p>
    <w:p>
      <w:pPr>
        <w:pStyle w:val="TextBody"/>
        <w:bidi w:val="0"/>
        <w:spacing w:before="300" w:after="120"/>
        <w:jc w:val="left"/>
        <w:rPr>
          <w:rFonts w:ascii="Times New Roman" w:hAnsi="Times New Roman"/>
          <w:sz w:val="20"/>
        </w:rPr>
      </w:pPr>
      <w:r>
        <w:rPr>
          <w:rFonts w:ascii="Times New Roman" w:hAnsi="Times New Roman"/>
          <w:b/>
          <w:color w:val="000000"/>
          <w:sz w:val="22"/>
        </w:rPr>
        <w:t xml:space="preserve">Aliso Viejo, Calif. </w:t>
      </w:r>
      <w:r>
        <w:rPr>
          <w:rFonts w:ascii="Times New Roman" w:hAnsi="Times New Roman"/>
          <w:color w:val="000000"/>
          <w:sz w:val="20"/>
        </w:rPr>
        <w:t xml:space="preserve">– </w:t>
      </w:r>
      <w:r>
        <w:rPr>
          <w:rFonts w:ascii="Times New Roman" w:hAnsi="Times New Roman"/>
          <w:color w:val="000000"/>
          <w:sz w:val="22"/>
        </w:rPr>
        <w:t>August 5, 2026 – RxSight, Inc. (NASDAQ: RXST) today reported financial results for the quarter ended June 30, 2026, and provided an update on its 2026 financial outlook.</w:t>
      </w:r>
    </w:p>
    <w:p>
      <w:pPr>
        <w:pStyle w:val="TextBody"/>
        <w:bidi w:val="0"/>
        <w:spacing w:before="80" w:after="283"/>
        <w:jc w:val="left"/>
        <w:rPr>
          <w:rFonts w:ascii="Times New Roman" w:hAnsi="Times New Roman"/>
          <w:b/>
          <w:color w:val="000000"/>
          <w:sz w:val="22"/>
        </w:rPr>
      </w:pPr>
      <w:r>
        <w:rPr>
          <w:rFonts w:ascii="Times New Roman" w:hAnsi="Times New Roman"/>
          <w:b/>
          <w:color w:val="000000"/>
          <w:sz w:val="22"/>
        </w:rPr>
        <w:t>Second Quarter 2026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Total company Q2 revenue of $33.7 million, which includes $6.5 million in revenue recognized from the RxSight Alcon strategic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Q2 product sales of $27.2 million including: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24,917 Light Adjustable Lens (LAL) units;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12 Light Delivery Devices (LDD)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Cash, cash equivalents and short-term investments of approximately $209 million as of June 30, 2026</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Strategic Highlights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RxSight highlighted the following recent developments that position the company for long-term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Appointed eye care industry leader Aziz Mottiwala as President and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Entered into a strategic collaboration with Alcon to develop and commercialize light-adjustable presbyopia-correcting intraocular lenses with up to $200 million upfront and milestone payments and significant future royalty potential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Formally announced development of the next-generation RxSight Light Adjustable Technology platform, including new LAL, LAL+ and LAL Toric lenses intended to improve workflow and reduce required postoperative office visits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connection with the leadership transition, withdrew 2026 guidance; will resume formal guidance in early 2027</w:t>
      </w:r>
    </w:p>
    <w:p>
      <w:pPr>
        <w:pStyle w:val="TextBody"/>
        <w:bidi w:val="0"/>
        <w:spacing w:before="200" w:after="283"/>
        <w:jc w:val="left"/>
        <w:rPr>
          <w:color w:val="000000"/>
        </w:rPr>
      </w:pPr>
      <w:r>
        <w:rPr>
          <w:color w:val="000000"/>
        </w:rPr>
        <w:t>“</w:t>
      </w:r>
      <w:r>
        <w:rPr>
          <w:rFonts w:ascii="Times New Roman" w:hAnsi="Times New Roman"/>
          <w:color w:val="000000"/>
          <w:sz w:val="22"/>
        </w:rPr>
        <w:t>It is a privilege to join RxSight and to work alongside the talented team that pioneered an entirely new category in cataract surgery with the only commercially available IOL platform that enables physicians to adjust and personalize vision after surgery,” said Aziz Mottiwala, President and Chief Executive Officer of RxSight. “The opportunity ahead is significant, and our immediate priority is to strengthen commercial execution, deepen adoption across our installed base and translate the value of adjustability into durable growth. To support those priorities, I have commenced a comprehensive review of the business. While underlying trends remain generally consistent with our prior expectations, withdrawing 2026 guidance gives us the flexibility to establish the right operating plan and focus our resources on the core business, our pipeline and the Alcon collaboration.”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57325" cy="447675"/>
                    </a:xfrm>
                    <a:prstGeom prst="rect">
                      <a:avLst/>
                    </a:prstGeom>
                  </pic:spPr>
                </pic:pic>
              </a:graphicData>
            </a:graphic>
          </wp:inline>
        </w:drawing>
      </w:r>
    </w:p>
    <w:p>
      <w:pPr>
        <w:pStyle w:val="TextBody"/>
        <w:bidi w:val="0"/>
        <w:spacing w:before="200" w:after="120"/>
        <w:jc w:val="left"/>
        <w:rPr>
          <w:rFonts w:ascii="Times New Roman" w:hAnsi="Times New Roman"/>
          <w:b/>
          <w:color w:val="000000"/>
          <w:sz w:val="22"/>
        </w:rPr>
      </w:pPr>
      <w:r>
        <w:rPr>
          <w:rFonts w:ascii="Times New Roman" w:hAnsi="Times New Roman"/>
          <w:b/>
          <w:color w:val="000000"/>
          <w:sz w:val="22"/>
        </w:rPr>
        <w:t>Second Quarter Financial Results</w:t>
      </w:r>
    </w:p>
    <w:p>
      <w:pPr>
        <w:pStyle w:val="TextBody"/>
        <w:bidi w:val="0"/>
        <w:jc w:val="left"/>
        <w:rPr>
          <w:rFonts w:ascii="Times New Roman" w:hAnsi="Times New Roman"/>
          <w:color w:val="000000"/>
          <w:sz w:val="22"/>
        </w:rPr>
      </w:pPr>
      <w:r>
        <w:rPr>
          <w:rFonts w:ascii="Times New Roman" w:hAnsi="Times New Roman"/>
          <w:color w:val="000000"/>
          <w:sz w:val="22"/>
        </w:rPr>
        <w:t>In the second quarter of 2026, total revenue was $33.7 million, including $6.5 million recognized under the company’s strategic collaboration with Alcon. Product sales were $27.2 million, down 19% from the prior-year period, reflecting heightened competitive trialing and continued pressure on consumer sentiment.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Excluding the impact from the Alcon collaboration, second quarter gross margin of 71.2% decreased from 74.9% in the prior-year period, primarily reflecting inventory-related costs and the expected flow-through of higher-cost inventory. Including the favorable contribution of collaboration revenue, second-quarter gross margin was 76.7%.</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Total operating expenses for the second quarter of 2026 were $39.7 million versus $39.2 million in the year-ago period. The increase was primarily driven by higher professional services fees, partially offset by lower compensation and other employee-related costs.</w:t>
      </w:r>
    </w:p>
    <w:p>
      <w:pPr>
        <w:pStyle w:val="TextBody"/>
        <w:bidi w:val="0"/>
        <w:spacing w:before="120" w:after="160"/>
        <w:jc w:val="left"/>
        <w:rPr>
          <w:rFonts w:ascii="Times New Roman" w:hAnsi="Times New Roman"/>
          <w:color w:val="000000"/>
          <w:sz w:val="22"/>
        </w:rPr>
      </w:pPr>
      <w:r>
        <w:rPr>
          <w:rFonts w:ascii="Times New Roman" w:hAnsi="Times New Roman"/>
          <w:color w:val="000000"/>
          <w:sz w:val="22"/>
        </w:rPr>
        <w:t>In the second quarter, the company reported a net loss of $(12.1) million, or $(0.29) per basic and diluted share, compared to a net loss of $(11.8) million, or $(0.29) per basic and diluted share in the second quarter of 2025. Adjusted net loss in the second quarter of 2026 was $(4.6) million, or $(0.11) per basic and diluted share, compared to an adjusted net loss of $(3.3) million, or $(0.08) per basic and diluted share in the second quarter of 2025.</w:t>
      </w:r>
    </w:p>
    <w:p>
      <w:pPr>
        <w:pStyle w:val="TextBody"/>
        <w:bidi w:val="0"/>
        <w:spacing w:before="0" w:after="160"/>
        <w:jc w:val="left"/>
        <w:rPr>
          <w:rFonts w:ascii="Times New Roman" w:hAnsi="Times New Roman"/>
          <w:sz w:val="20"/>
        </w:rPr>
      </w:pPr>
      <w:r>
        <w:rPr>
          <w:rFonts w:ascii="Times New Roman" w:hAnsi="Times New Roman"/>
          <w:color w:val="000000"/>
          <w:sz w:val="22"/>
        </w:rPr>
        <w:t>As of June 30, 2026, cash, cash equivalents and short-term investments totaled $208.8 million.</w:t>
      </w:r>
      <w:r>
        <w:rPr>
          <w:rFonts w:ascii="Times New Roman" w:hAnsi="Times New Roman"/>
          <w:color w:val="000000"/>
          <w:sz w:val="20"/>
        </w:rPr>
        <w:t xml:space="preserve"> </w:t>
      </w:r>
    </w:p>
    <w:p>
      <w:pPr>
        <w:pStyle w:val="TextBody"/>
        <w:bidi w:val="0"/>
        <w:spacing w:before="40" w:after="120"/>
        <w:jc w:val="left"/>
        <w:rPr>
          <w:rFonts w:ascii="Times New Roman" w:hAnsi="Times New Roman"/>
          <w:b/>
          <w:color w:val="000000"/>
          <w:sz w:val="22"/>
        </w:rPr>
      </w:pPr>
      <w:r>
        <w:rPr>
          <w:rFonts w:ascii="Times New Roman" w:hAnsi="Times New Roman"/>
          <w:b/>
          <w:color w:val="000000"/>
          <w:sz w:val="22"/>
        </w:rPr>
        <w:t>Conference Call</w:t>
      </w:r>
    </w:p>
    <w:p>
      <w:pPr>
        <w:pStyle w:val="TextBody"/>
        <w:bidi w:val="0"/>
        <w:jc w:val="left"/>
        <w:rPr>
          <w:rFonts w:ascii="Times New Roman" w:hAnsi="Times New Roman"/>
          <w:sz w:val="20"/>
        </w:rPr>
      </w:pPr>
      <w:r>
        <w:rPr>
          <w:rFonts w:ascii="Times New Roman" w:hAnsi="Times New Roman"/>
          <w:color w:val="000000"/>
          <w:sz w:val="22"/>
        </w:rPr>
        <w:t xml:space="preserve">On Wednesday, August 5, 2026, at 1:30 p.m. Pacific Time, the company will host a conference call to discuss its second quarter 2026 financial results. To participate in the conference call, please dial (800) 715-9871 or (646) 307-1963 and enter the conference code: 1245159. The call will also be broadcast live in listen-only mode via a link on the company’s investor relations website at </w:t>
      </w:r>
      <w:r>
        <w:rPr>
          <w:rFonts w:ascii="Times New Roman" w:hAnsi="Times New Roman"/>
          <w:color w:val="0000FF"/>
          <w:sz w:val="22"/>
        </w:rPr>
        <w:t>https://investors.rxsight.com/</w:t>
      </w:r>
      <w:r>
        <w:rPr>
          <w:rFonts w:ascii="Times New Roman" w:hAnsi="Times New Roman"/>
          <w:color w:val="000000"/>
          <w:sz w:val="22"/>
        </w:rPr>
        <w:t>. An archived recording of the call will be available through the same link shortly after its completion.</w:t>
      </w:r>
    </w:p>
    <w:p>
      <w:pPr>
        <w:pStyle w:val="TextBody"/>
        <w:bidi w:val="0"/>
        <w:spacing w:before="200" w:after="120"/>
        <w:jc w:val="left"/>
        <w:rPr>
          <w:rFonts w:ascii="Times New Roman" w:hAnsi="Times New Roman"/>
          <w:b/>
          <w:color w:val="000000"/>
          <w:sz w:val="22"/>
        </w:rPr>
      </w:pPr>
      <w:r>
        <w:rPr>
          <w:rFonts w:ascii="Times New Roman" w:hAnsi="Times New Roman"/>
          <w:b/>
          <w:color w:val="000000"/>
          <w:sz w:val="22"/>
        </w:rPr>
        <w:t>About RxSight, Inc.</w:t>
      </w:r>
    </w:p>
    <w:p>
      <w:pPr>
        <w:pStyle w:val="TextBody"/>
        <w:bidi w:val="0"/>
        <w:jc w:val="left"/>
        <w:rPr>
          <w:rFonts w:ascii="Times New Roman" w:hAnsi="Times New Roman"/>
          <w:sz w:val="20"/>
        </w:rPr>
      </w:pPr>
      <w:r>
        <w:rPr>
          <w:rFonts w:ascii="Times New Roman" w:hAnsi="Times New Roman"/>
          <w:color w:val="000000"/>
          <w:sz w:val="22"/>
        </w:rPr>
        <w:t xml:space="preserve">RxSight, Inc. is an ophthalmic medical device company dedicated to providing high-quality customized vision to patients following cataract surgery. The RxSight Light Adjustable Lens system, comprised of the RxSight Light Adjustable Lens (LAL/LAL+, collectively the “LAL”), RxSight Light Delivery Device (LDD) and accessories, is the first and only commercially available intraocular lens (IOL) technology that can be adjusted after surgery, enabling doctors to customize and deliver high-quality vision to patients after cataract surgery. Additional information about RxSight can be found at </w:t>
      </w:r>
      <w:r>
        <w:rPr>
          <w:rFonts w:ascii="Times New Roman" w:hAnsi="Times New Roman"/>
          <w:color w:val="0000FF"/>
          <w:sz w:val="22"/>
          <w:u w:val="single"/>
        </w:rPr>
        <w:t>www.rxsight.com</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57325" cy="447675"/>
                    </a:xfrm>
                    <a:prstGeom prst="rect">
                      <a:avLst/>
                    </a:prstGeom>
                  </pic:spPr>
                </pic:pic>
              </a:graphicData>
            </a:graphic>
          </wp:inline>
        </w:drawing>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This press release contains forward-looking statements, including, without limitations, statements regarding the company’s expectations related to underlying business trends; the company’s comprehensive review of the business; the company’s ability to strengthen commercial execution, deepen adoption across its installed base and translate the value of adjustability into durable growth; the development and implementation of the company’s appropriate operating plan; the allocation of resources to the company’s core business, pipeline and collaboration with Alcon; the anticipated benefits of withdrawing the company’s 2026 financial guidance; and the company’s ability to realize the full potential of its technology for patients and practices. Such statements relate to future events or our future financial performance and involve known and unknown risks, uncertainties and other factors that may cause our or our industry's actual results, levels of activity, performance or achievements to be materially different from any future results, levels of activity, performance or achievements expressed, implied or inferred by these forward-looking statements. In some cases, you can identify forward-looking statements by terminology such as "may," "will," "should," "could," "would," "expects," "plans," "intends," "anticipates," "believes," "estimates," "predicts," "projects," "potential," or "continue" or the negative of such terms and other similar terminology. These statements are only predictions based on our current expectations and projections about future events. You should not place undue reliance on these statements. Actual events or results may differ materially. In evaluating these statements, you should specifically consider various factors, including the risk factors that may be found in the section entitled Part II, Item 1A (Risk Factors) in the company’s Quarterly Report on Form 10-Q for the three months ended June 30, 2026, filed with the Securities and Exchange Commission (SEC) on or about the date hereof, and the other documents that RxSight may file from time to time with the SEC. These and other factors may cause our actual results to differ materially from any forward-looking statement. RxSight undertakes no obligation to update any of the forward-looking statements after the date of this press release to conform those statements to reflect the occurrence of unanticipated events, except as required by applicable law.</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RxSight, Inc., the RxSight Light Adjustable Lens Technology, LAL, LAL+, and LDD are trademarks of RxSight, Inc.</w:t>
      </w:r>
    </w:p>
    <w:p>
      <w:pPr>
        <w:pStyle w:val="TextBody"/>
        <w:bidi w:val="0"/>
        <w:spacing w:before="200" w:after="120"/>
        <w:jc w:val="left"/>
        <w:rPr>
          <w:rFonts w:ascii="Times New Roman" w:hAnsi="Times New Roman"/>
          <w:b/>
          <w:color w:val="000000"/>
          <w:sz w:val="22"/>
        </w:rPr>
      </w:pPr>
      <w:r>
        <w:rPr>
          <w:rFonts w:ascii="Times New Roman" w:hAnsi="Times New Roman"/>
          <w:b/>
          <w:color w:val="000000"/>
          <w:sz w:val="22"/>
        </w:rPr>
        <w:t>Investor Relations Contact: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Oliver Moravcevic</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VP, Investor Relations</w:t>
      </w:r>
    </w:p>
    <w:p>
      <w:pPr>
        <w:pStyle w:val="TextBody"/>
        <w:bidi w:val="0"/>
        <w:spacing w:before="0" w:after="120"/>
        <w:jc w:val="left"/>
        <w:rPr>
          <w:rFonts w:ascii="Times New Roman" w:hAnsi="Times New Roman"/>
          <w:color w:val="0000FF"/>
          <w:sz w:val="22"/>
          <w:u w:val="single"/>
        </w:rPr>
      </w:pPr>
      <w:r>
        <w:rPr>
          <w:rFonts w:ascii="Times New Roman" w:hAnsi="Times New Roman"/>
          <w:color w:val="0000FF"/>
          <w:sz w:val="22"/>
          <w:u w:val="single"/>
        </w:rPr>
        <w:t>omoravcevic@rxsight.com</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57325" cy="4476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AND COMPREHENSIVE LOSS (UNAUDITED)</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44"/>
        <w:gridCol w:w="746"/>
        <w:gridCol w:w="211"/>
        <w:gridCol w:w="1036"/>
        <w:gridCol w:w="166"/>
        <w:gridCol w:w="146"/>
        <w:gridCol w:w="211"/>
        <w:gridCol w:w="1036"/>
        <w:gridCol w:w="166"/>
        <w:gridCol w:w="146"/>
        <w:gridCol w:w="211"/>
        <w:gridCol w:w="1036"/>
        <w:gridCol w:w="166"/>
        <w:gridCol w:w="146"/>
        <w:gridCol w:w="211"/>
        <w:gridCol w:w="1036"/>
        <w:gridCol w:w="591"/>
      </w:tblGrid>
      <w:tr>
        <w:trPr/>
        <w:tc>
          <w:tcPr>
            <w:tcW w:w="29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general and administrative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costs and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and other income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loss on short-term investments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gain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gain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&amp;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net loss per share: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Attributable to common stock, basic &amp;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41,490,889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40,743,786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41,399,010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40,627,363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57325" cy="4476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 (UNAUDITED)</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947"/>
        <w:gridCol w:w="146"/>
        <w:gridCol w:w="212"/>
        <w:gridCol w:w="849"/>
        <w:gridCol w:w="166"/>
        <w:gridCol w:w="146"/>
        <w:gridCol w:w="225"/>
        <w:gridCol w:w="901"/>
        <w:gridCol w:w="613"/>
      </w:tblGrid>
      <w:tr>
        <w:trPr/>
        <w:tc>
          <w:tcPr>
            <w:tcW w:w="6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208,179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 from collaboration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287,459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311,814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Refund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900,000,000 shares authorized, 41,585,381 shares issued and outstanding as of June 30, 2026 and 41,242,005 shares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100,000,000 shares authorized,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936,628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(661,039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275,683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311,814</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57325" cy="4476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Supplemental Information on Gross Margin</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Reconciliation of gross margin and gross margin percentage to revenues and cost of sales for the three months ended June 30, 2026 and 2025 are as follows:</w:t>
      </w:r>
    </w:p>
    <w:tbl>
      <w:tblPr>
        <w:tblW w:w="9923" w:type="dxa"/>
        <w:jc w:val="left"/>
        <w:tblInd w:w="0" w:type="dxa"/>
        <w:tblLayout w:type="fixed"/>
        <w:tblCellMar>
          <w:top w:w="28" w:type="dxa"/>
          <w:left w:w="28" w:type="dxa"/>
          <w:bottom w:w="28" w:type="dxa"/>
          <w:right w:w="28" w:type="dxa"/>
        </w:tblCellMar>
      </w:tblPr>
      <w:tblGrid>
        <w:gridCol w:w="1596"/>
        <w:gridCol w:w="211"/>
        <w:gridCol w:w="676"/>
        <w:gridCol w:w="271"/>
        <w:gridCol w:w="352"/>
        <w:gridCol w:w="954"/>
        <w:gridCol w:w="271"/>
        <w:gridCol w:w="211"/>
        <w:gridCol w:w="676"/>
        <w:gridCol w:w="346"/>
        <w:gridCol w:w="346"/>
        <w:gridCol w:w="211"/>
        <w:gridCol w:w="676"/>
        <w:gridCol w:w="271"/>
        <w:gridCol w:w="481"/>
        <w:gridCol w:w="825"/>
        <w:gridCol w:w="271"/>
        <w:gridCol w:w="211"/>
        <w:gridCol w:w="676"/>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Collaboration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Collaboration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margin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1"/>
        </w:rPr>
      </w:pPr>
      <w:r>
        <w:rPr>
          <w:rFonts w:ascii="Times New Roman" w:hAnsi="Times New Roman"/>
          <w:color w:val="000000"/>
          <w:sz w:val="21"/>
        </w:rPr>
        <w:t>Reconciliation of gross margin and gross margin percentage to revenues and cost of sales for the six months ended June 30, 2026 and 2025 are as follows:</w:t>
      </w:r>
    </w:p>
    <w:tbl>
      <w:tblPr>
        <w:tblW w:w="9923" w:type="dxa"/>
        <w:jc w:val="left"/>
        <w:tblInd w:w="0" w:type="dxa"/>
        <w:tblLayout w:type="fixed"/>
        <w:tblCellMar>
          <w:top w:w="28" w:type="dxa"/>
          <w:left w:w="28" w:type="dxa"/>
          <w:bottom w:w="28" w:type="dxa"/>
          <w:right w:w="28" w:type="dxa"/>
        </w:tblCellMar>
      </w:tblPr>
      <w:tblGrid>
        <w:gridCol w:w="1596"/>
        <w:gridCol w:w="211"/>
        <w:gridCol w:w="676"/>
        <w:gridCol w:w="271"/>
        <w:gridCol w:w="352"/>
        <w:gridCol w:w="954"/>
        <w:gridCol w:w="271"/>
        <w:gridCol w:w="211"/>
        <w:gridCol w:w="676"/>
        <w:gridCol w:w="346"/>
        <w:gridCol w:w="346"/>
        <w:gridCol w:w="211"/>
        <w:gridCol w:w="676"/>
        <w:gridCol w:w="271"/>
        <w:gridCol w:w="481"/>
        <w:gridCol w:w="825"/>
        <w:gridCol w:w="271"/>
        <w:gridCol w:w="211"/>
        <w:gridCol w:w="676"/>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Collaboration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Collaboration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margin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left"/>
        <w:rPr>
          <w:rFonts w:ascii="Times New Roman" w:hAnsi="Times New Roman"/>
          <w:b/>
          <w:color w:val="000000"/>
          <w:sz w:val="22"/>
        </w:rPr>
      </w:pPr>
      <w:r>
        <w:rPr>
          <w:rFonts w:ascii="Times New Roman" w:hAnsi="Times New Roman"/>
          <w:b/>
          <w:color w:val="000000"/>
          <w:sz w:val="22"/>
        </w:rPr>
        <w:t>Non-GAAP Financial Measures</w:t>
      </w:r>
    </w:p>
    <w:p>
      <w:pPr>
        <w:pStyle w:val="TextBody"/>
        <w:bidi w:val="0"/>
        <w:jc w:val="left"/>
        <w:rPr>
          <w:rFonts w:ascii="Times New Roman" w:hAnsi="Times New Roman"/>
          <w:sz w:val="20"/>
        </w:rPr>
      </w:pPr>
      <w:r>
        <w:rPr>
          <w:rFonts w:ascii="Times New Roman" w:hAnsi="Times New Roman"/>
          <w:color w:val="000000"/>
          <w:sz w:val="22"/>
        </w:rPr>
        <w:t>To supplement our unaudited condensed consolidated financial statements presented under generally accepted accounting principles in the United States (“GAAP”), we believe certain non-GAAP measures, including adjusted net earnings (loss), and adjusted net earnings (loss) per share, basic and diluted, provide useful information to investors and are useful in evaluating our operating performance. For example, we exclude stock-based compensation expense because this expense is non-cash in nature and we believe excluding this item provides meaningful supplemental information regarding our operational performance and allows investors the ability to make more meaningful comparisons between our operating results and those of other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57325" cy="447675"/>
                    </a:xfrm>
                    <a:prstGeom prst="rect">
                      <a:avLst/>
                    </a:prstGeom>
                  </pic:spPr>
                </pic:pic>
              </a:graphicData>
            </a:graphic>
          </wp:inline>
        </w:drawing>
      </w:r>
    </w:p>
    <w:p>
      <w:pPr>
        <w:pStyle w:val="TextBody"/>
        <w:bidi w:val="0"/>
        <w:spacing w:before="200" w:after="120"/>
        <w:jc w:val="left"/>
        <w:rPr>
          <w:rFonts w:ascii="Times New Roman" w:hAnsi="Times New Roman"/>
          <w:b/>
          <w:color w:val="000000"/>
          <w:sz w:val="22"/>
        </w:rPr>
      </w:pPr>
      <w:r>
        <w:rPr>
          <w:rFonts w:ascii="Times New Roman" w:hAnsi="Times New Roman"/>
          <w:b/>
          <w:color w:val="000000"/>
          <w:sz w:val="22"/>
        </w:rPr>
        <w:t>Adjusted Net Earnings (Loss) and Adjusted Net Earnings (Loss) Per Share</w:t>
      </w:r>
    </w:p>
    <w:p>
      <w:pPr>
        <w:pStyle w:val="TextBody"/>
        <w:bidi w:val="0"/>
        <w:jc w:val="left"/>
        <w:rPr>
          <w:rFonts w:ascii="Times New Roman" w:hAnsi="Times New Roman"/>
          <w:sz w:val="20"/>
        </w:rPr>
      </w:pPr>
      <w:r>
        <w:rPr>
          <w:rFonts w:ascii="Times New Roman" w:hAnsi="Times New Roman"/>
          <w:color w:val="000000"/>
          <w:sz w:val="22"/>
        </w:rPr>
        <w:t>Adjusted net earnings (loss) is a non-GAAP financial measure that we define as net earnings (loss) adjusted for stock-based compensation. We believe adjusted net earnings (loss) provides investors with useful information on period-to-period performance as evaluated by management and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Reconciliations of net earnings (loss) to adjusted net earnings (loss) and the presentation of adjusted net earnings (loss) per share, basic and diluted, are as follows:</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0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0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available to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earnings (loss) income available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41,490,889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40,743,786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41,399,010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40,627,363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41,490,889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42,258,193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41,399,010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40,627,363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earnings (loss)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earnings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2775</Words>
  <Characters>15722</Characters>
  <CharactersWithSpaces>18777</CharactersWithSpaces>
  <Paragraphs>1381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