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rxst-20230331.htm"/>
      <w:bookmarkStart w:id="1" w:name="ksrxst20230331"/>
      <w:bookmarkEnd w:id="0"/>
      <w:bookmarkEnd w:id="1"/>
      <w:r>
        <w:rPr/>
        <w:t> </w:t>
      </w:r>
    </w:p>
    <w:p>
      <w:pPr>
        <w:pStyle w:val="TextBody"/>
        <w:pBdr>
          <w:top w:val="double" w:sz="6" w:space="1" w:color="000000"/>
        </w:pBdr>
        <w:spacing w:before="0" w:after="0"/>
        <w:jc w:val="both"/>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60" w:after="120"/>
        <w:jc w:val="center"/>
        <w:rPr/>
      </w:pPr>
      <w:r>
        <w:rPr/>
        <w:t> </w:t>
      </w:r>
    </w:p>
    <w:p>
      <w:pPr>
        <w:pStyle w:val="TextBody"/>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60" w:after="120"/>
        <w:jc w:val="center"/>
        <w:rPr/>
      </w:pPr>
      <w:r>
        <w:rPr/>
        <w:t> </w:t>
      </w:r>
    </w:p>
    <w:p>
      <w:pPr>
        <w:pStyle w:val="TextBody"/>
        <w:spacing w:before="90" w:after="0"/>
        <w:jc w:val="left"/>
        <w:rPr>
          <w:rFonts w:ascii="Times New Roman;serif" w:hAnsi="Times New Roman;serif"/>
          <w:b/>
          <w:sz w:val="16"/>
        </w:rPr>
      </w:pPr>
      <w:r>
        <w:rPr>
          <w:rFonts w:ascii="Times New Roman;serif" w:hAnsi="Times New Roman;serif"/>
          <w:b/>
          <w:sz w:val="16"/>
        </w:rPr>
        <w:t>(Mark One)</w:t>
      </w:r>
    </w:p>
    <w:tbl>
      <w:tblPr>
        <w:tblW w:w="9017" w:type="dxa"/>
        <w:jc w:val="left"/>
        <w:tblInd w:w="0" w:type="dxa"/>
        <w:tblCellMar>
          <w:top w:w="28" w:type="dxa"/>
          <w:left w:w="28" w:type="dxa"/>
          <w:bottom w:w="28" w:type="dxa"/>
          <w:right w:w="28" w:type="dxa"/>
        </w:tblCellMar>
      </w:tblPr>
      <w:tblGrid>
        <w:gridCol w:w="331"/>
        <w:gridCol w:w="8686"/>
      </w:tblGrid>
      <w:tr>
        <w:trPr/>
        <w:tc>
          <w:tcPr>
            <w:tcW w:w="331" w:type="dxa"/>
            <w:tcBorders/>
            <w:shd w:fill="auto" w:val="clear"/>
            <w:vAlign w:val="center"/>
          </w:tcPr>
          <w:p>
            <w:pPr>
              <w:pStyle w:val="TableContents"/>
              <w:spacing w:before="0" w:after="283"/>
              <w:rPr>
                <w:sz w:val="4"/>
                <w:szCs w:val="4"/>
              </w:rPr>
            </w:pPr>
            <w:r>
              <w:rPr>
                <w:sz w:val="4"/>
                <w:szCs w:val="4"/>
              </w:rPr>
            </w:r>
          </w:p>
        </w:tc>
        <w:tc>
          <w:tcPr>
            <w:tcW w:w="868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86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QUARTERLY REPORT PURSUANT TO SECTION 13 OR 15(d) OF THE SECURITIES EXCHANGE ACT OF 1934</w:t>
            </w:r>
          </w:p>
        </w:tc>
      </w:tr>
    </w:tbl>
    <w:p>
      <w:pPr>
        <w:pStyle w:val="TextBody"/>
        <w:spacing w:before="12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120" w:after="0"/>
        <w:jc w:val="center"/>
        <w:rPr>
          <w:rFonts w:ascii="Times New Roman;serif" w:hAnsi="Times New Roman;serif"/>
          <w:b/>
          <w:sz w:val="20"/>
        </w:rPr>
      </w:pPr>
      <w:r>
        <w:rPr>
          <w:rFonts w:ascii="Times New Roman;serif" w:hAnsi="Times New Roman;serif"/>
          <w:b/>
          <w:sz w:val="20"/>
        </w:rPr>
        <w:t>OR</w:t>
      </w:r>
    </w:p>
    <w:tbl>
      <w:tblPr>
        <w:tblW w:w="9002" w:type="dxa"/>
        <w:jc w:val="left"/>
        <w:tblInd w:w="0" w:type="dxa"/>
        <w:tblCellMar>
          <w:top w:w="28" w:type="dxa"/>
          <w:left w:w="28" w:type="dxa"/>
          <w:bottom w:w="28" w:type="dxa"/>
          <w:right w:w="28" w:type="dxa"/>
        </w:tblCellMar>
      </w:tblPr>
      <w:tblGrid>
        <w:gridCol w:w="331"/>
        <w:gridCol w:w="8671"/>
      </w:tblGrid>
      <w:tr>
        <w:trPr/>
        <w:tc>
          <w:tcPr>
            <w:tcW w:w="331" w:type="dxa"/>
            <w:tcBorders/>
            <w:shd w:fill="auto" w:val="clear"/>
            <w:vAlign w:val="center"/>
          </w:tcPr>
          <w:p>
            <w:pPr>
              <w:pStyle w:val="TableContents"/>
              <w:spacing w:before="0" w:after="283"/>
              <w:rPr>
                <w:sz w:val="4"/>
                <w:szCs w:val="4"/>
              </w:rPr>
            </w:pPr>
            <w:r>
              <w:rPr>
                <w:sz w:val="4"/>
                <w:szCs w:val="4"/>
              </w:rPr>
            </w:r>
          </w:p>
        </w:tc>
        <w:tc>
          <w:tcPr>
            <w:tcW w:w="867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120" w:after="0"/>
              <w:ind w:left="0" w:right="0" w:hanging="0"/>
              <w:jc w:val="left"/>
              <w:rPr/>
            </w:pPr>
            <w:r>
              <w:rPr/>
              <w:t>☐</w:t>
            </w:r>
          </w:p>
        </w:tc>
        <w:tc>
          <w:tcPr>
            <w:tcW w:w="8671"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Times New Roman;serif" w:hAnsi="Times New Roman;serif"/>
                <w:b/>
                <w:sz w:val="16"/>
              </w:rPr>
            </w:pPr>
            <w:r>
              <w:rPr>
                <w:rFonts w:ascii="Times New Roman;serif" w:hAnsi="Times New Roman;serif"/>
                <w:b/>
                <w:sz w:val="16"/>
              </w:rPr>
              <w:t>TRANSITION REPORT PURSUANT TO SECTION 13 OR 15(d) OF THE SECURITIES EXCHANGE ACT OF 1934</w:t>
            </w:r>
          </w:p>
        </w:tc>
      </w:tr>
    </w:tbl>
    <w:p>
      <w:pPr>
        <w:pStyle w:val="TextBody"/>
        <w:spacing w:before="12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spacing w:before="120" w:after="0"/>
        <w:jc w:val="center"/>
        <w:rPr>
          <w:rFonts w:ascii="Times New Roman;serif" w:hAnsi="Times New Roman;serif"/>
          <w:b/>
          <w:sz w:val="20"/>
        </w:rPr>
      </w:pPr>
      <w:r>
        <w:rPr>
          <w:rFonts w:ascii="Times New Roman;serif" w:hAnsi="Times New Roman;serif"/>
          <w:b/>
          <w:sz w:val="20"/>
        </w:rPr>
        <w:t>Commission File Number: 001-40690</w:t>
      </w:r>
    </w:p>
    <w:p>
      <w:pPr>
        <w:pStyle w:val="TextBody"/>
        <w:pBdr>
          <w:bottom w:val="single" w:sz="4" w:space="1" w:color="000000"/>
        </w:pBdr>
        <w:spacing w:before="60" w:after="120"/>
        <w:jc w:val="center"/>
        <w:rPr/>
      </w:pPr>
      <w:r>
        <w:rPr/>
        <w:t> </w:t>
      </w:r>
    </w:p>
    <w:p>
      <w:pPr>
        <w:pStyle w:val="TextBody"/>
        <w:spacing w:before="0" w:after="0"/>
        <w:jc w:val="center"/>
        <w:rPr>
          <w:rFonts w:ascii="Times New Roman;serif" w:hAnsi="Times New Roman;serif"/>
          <w:b/>
          <w:sz w:val="44"/>
        </w:rPr>
      </w:pPr>
      <w:r>
        <w:rPr>
          <w:rFonts w:ascii="Times New Roman;serif" w:hAnsi="Times New Roman;serif"/>
          <w:b/>
          <w:sz w:val="44"/>
        </w:rPr>
        <w:t>RxSIGHT, INC.</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spacing w:before="0" w:after="0"/>
        <w:jc w:val="center"/>
        <w:rPr/>
      </w:pPr>
      <w:r>
        <w:rPr/>
        <w:t> </w:t>
      </w:r>
    </w:p>
    <w:p>
      <w:pPr>
        <w:pStyle w:val="TextBody"/>
        <w:spacing w:before="0" w:after="0"/>
        <w:jc w:val="left"/>
        <w:rPr/>
      </w:pPr>
      <w:r>
        <w:rPr/>
        <w:t> </w:t>
      </w:r>
    </w:p>
    <w:tbl>
      <w:tblPr>
        <w:tblW w:w="4412" w:type="dxa"/>
        <w:jc w:val="left"/>
        <w:tblInd w:w="0" w:type="dxa"/>
        <w:tblCellMar>
          <w:top w:w="28" w:type="dxa"/>
          <w:left w:w="28" w:type="dxa"/>
          <w:bottom w:w="28" w:type="dxa"/>
          <w:right w:w="28" w:type="dxa"/>
        </w:tblCellMar>
      </w:tblPr>
      <w:tblGrid>
        <w:gridCol w:w="2926"/>
        <w:gridCol w:w="1486"/>
      </w:tblGrid>
      <w:tr>
        <w:trPr/>
        <w:tc>
          <w:tcPr>
            <w:tcW w:w="292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Delaware</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94-3268801</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spacing w:before="0" w:after="15"/>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(I.R.S. Employer</w:t>
              <w:br/>
              <w:t>Identification No.)</w:t>
            </w:r>
          </w:p>
        </w:tc>
      </w:tr>
      <w:tr>
        <w:trPr/>
        <w:tc>
          <w:tcPr>
            <w:tcW w:w="2926" w:type="dxa"/>
            <w:tcBorders/>
            <w:shd w:fill="auto" w:val="clear"/>
            <w:vAlign w:val="center"/>
          </w:tcPr>
          <w:p>
            <w:pPr>
              <w:pStyle w:val="TableContents"/>
              <w:spacing w:before="120" w:after="15"/>
              <w:ind w:left="0" w:right="0" w:hanging="0"/>
              <w:jc w:val="center"/>
              <w:rPr>
                <w:rFonts w:ascii="Times New Roman;serif" w:hAnsi="Times New Roman;serif"/>
                <w:b/>
                <w:sz w:val="16"/>
              </w:rPr>
            </w:pPr>
            <w:r>
              <w:rPr>
                <w:rFonts w:ascii="Times New Roman;serif" w:hAnsi="Times New Roman;serif"/>
                <w:b/>
                <w:sz w:val="16"/>
              </w:rPr>
              <w:t>100 Columbia</w:t>
            </w:r>
          </w:p>
          <w:p>
            <w:pPr>
              <w:pStyle w:val="TableContents"/>
              <w:spacing w:before="0" w:after="0"/>
              <w:ind w:left="0" w:right="0" w:hanging="0"/>
              <w:jc w:val="center"/>
              <w:rPr>
                <w:rFonts w:ascii="Times New Roman" w:hAnsi="Times New Roman"/>
                <w:sz w:val="16"/>
              </w:rPr>
            </w:pPr>
            <w:r>
              <w:rPr>
                <w:rFonts w:ascii="Times New Roman;serif" w:hAnsi="Times New Roman;serif"/>
                <w:b/>
                <w:sz w:val="16"/>
              </w:rPr>
              <w:t>Aliso Viejo, CA</w:t>
            </w:r>
            <w:r>
              <w:rPr>
                <w:rFonts w:ascii="Times New Roman" w:hAnsi="Times New Roman"/>
                <w:sz w:val="16"/>
              </w:rPr>
              <w:t xml:space="preserve"> </w:t>
            </w:r>
          </w:p>
        </w:tc>
        <w:tc>
          <w:tcPr>
            <w:tcW w:w="1486" w:type="dxa"/>
            <w:tcBorders/>
            <w:shd w:fill="auto" w:val="clear"/>
            <w:vAlign w:val="center"/>
          </w:tcPr>
          <w:p>
            <w:pPr>
              <w:pStyle w:val="TableContents"/>
              <w:spacing w:before="120" w:after="0"/>
              <w:ind w:left="0" w:right="0" w:hanging="0"/>
              <w:jc w:val="center"/>
              <w:rPr>
                <w:rFonts w:ascii="Times New Roman;serif" w:hAnsi="Times New Roman;serif"/>
                <w:b/>
                <w:sz w:val="16"/>
              </w:rPr>
            </w:pPr>
            <w:r>
              <w:rPr>
                <w:rFonts w:ascii="Times New Roman;serif" w:hAnsi="Times New Roman;serif"/>
                <w:b/>
                <w:sz w:val="16"/>
              </w:rPr>
              <w:t>92656</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spacing w:before="120" w:after="0"/>
        <w:jc w:val="center"/>
        <w:rPr>
          <w:rFonts w:ascii="Times New Roman;serif" w:hAnsi="Times New Roman;serif"/>
          <w:b/>
          <w:sz w:val="20"/>
        </w:rPr>
      </w:pPr>
      <w:r>
        <w:rPr>
          <w:rFonts w:ascii="Times New Roman;serif" w:hAnsi="Times New Roman;serif"/>
          <w:b/>
          <w:sz w:val="20"/>
        </w:rPr>
        <w:t>Registrant’s telephone number, including area code: (949) 521-7830</w:t>
      </w:r>
    </w:p>
    <w:p>
      <w:pPr>
        <w:pStyle w:val="TextBody"/>
        <w:pBdr>
          <w:bottom w:val="single" w:sz="4" w:space="1" w:color="000000"/>
        </w:pBdr>
        <w:spacing w:before="0" w:after="0"/>
        <w:jc w:val="center"/>
        <w:rPr/>
      </w:pPr>
      <w:r>
        <w:rPr/>
        <w:t> </w:t>
      </w:r>
    </w:p>
    <w:p>
      <w:pPr>
        <w:pStyle w:val="TextBody"/>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7630" w:type="dxa"/>
        <w:jc w:val="left"/>
        <w:tblInd w:w="0" w:type="dxa"/>
        <w:tblCellMar>
          <w:top w:w="28" w:type="dxa"/>
          <w:left w:w="28" w:type="dxa"/>
          <w:bottom w:w="28" w:type="dxa"/>
          <w:right w:w="28" w:type="dxa"/>
        </w:tblCellMar>
      </w:tblPr>
      <w:tblGrid>
        <w:gridCol w:w="3196"/>
        <w:gridCol w:w="146"/>
        <w:gridCol w:w="826"/>
        <w:gridCol w:w="146"/>
        <w:gridCol w:w="3316"/>
      </w:tblGrid>
      <w:tr>
        <w:trPr/>
        <w:tc>
          <w:tcPr>
            <w:tcW w:w="3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19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16"/>
              </w:rPr>
              <w:t>Common Stock, par value $0.001 per share</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RXST</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The Nasdaq Stock Market LLC</w:t>
            </w:r>
          </w:p>
        </w:tc>
      </w:tr>
    </w:tbl>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4822" w:type="dxa"/>
        <w:jc w:val="left"/>
        <w:tblInd w:w="0" w:type="dxa"/>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0"/>
              <w:ind w:left="0" w:right="0" w:hanging="0"/>
              <w:jc w:val="left"/>
              <w:rPr/>
            </w:pPr>
            <w:r>
              <w:rPr/>
              <w:t> </w:t>
            </w:r>
          </w:p>
        </w:tc>
        <w:tc>
          <w:tcPr>
            <w:tcW w:w="462" w:type="dxa"/>
            <w:gridSpan w:val="2"/>
            <w:tcBorders/>
            <w:shd w:fill="auto" w:val="clear"/>
            <w:vAlign w:val="center"/>
          </w:tcPr>
          <w:p>
            <w:pPr>
              <w:pStyle w:val="TableContents"/>
              <w:spacing w:before="0" w:after="0"/>
              <w:ind w:left="0" w:right="0" w:hanging="0"/>
              <w:jc w:val="left"/>
              <w:rPr/>
            </w:pPr>
            <w:r>
              <w:rPr/>
              <w:t> </w:t>
            </w:r>
          </w:p>
        </w:tc>
        <w:tc>
          <w:tcPr>
            <w:tcW w:w="2187" w:type="dxa"/>
            <w:gridSpan w:val="2"/>
            <w:tcBorders/>
            <w:shd w:fill="auto" w:val="clear"/>
            <w:vAlign w:val="center"/>
          </w:tcPr>
          <w:p>
            <w:pPr>
              <w:pStyle w:val="TableContents"/>
              <w:spacing w:before="0" w:after="0"/>
              <w:ind w:left="0" w:right="0" w:hanging="0"/>
              <w:jc w:val="left"/>
              <w:rPr/>
            </w:pPr>
            <w:r>
              <w:rPr/>
              <w:t> </w:t>
            </w:r>
          </w:p>
        </w:tc>
        <w:tc>
          <w:tcPr>
            <w:tcW w:w="507" w:type="dxa"/>
            <w:gridSpan w:val="2"/>
            <w:tcBorders/>
            <w:shd w:fill="auto" w:val="clear"/>
            <w:vAlign w:val="center"/>
          </w:tcPr>
          <w:p>
            <w:pPr>
              <w:pStyle w:val="TableContents"/>
              <w:spacing w:before="0" w:after="0"/>
              <w:ind w:left="0" w:right="0" w:hanging="0"/>
              <w:jc w:val="left"/>
              <w:rPr/>
            </w:pPr>
            <w:r>
              <w:rPr/>
              <w:t> </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1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12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spacing w:before="120" w:after="0"/>
        <w:jc w:val="left"/>
        <w:rPr>
          <w:rFonts w:ascii="Times New Roman" w:hAnsi="Times New Roman"/>
          <w:sz w:val="20"/>
        </w:rPr>
      </w:pPr>
      <w:r>
        <w:rPr>
          <w:rFonts w:ascii="Times New Roman;serif" w:hAnsi="Times New Roman;serif"/>
          <w:b w:val="false"/>
          <w:sz w:val="18"/>
        </w:rPr>
        <w:t>As of April 28, 2023, the registrant had 33,981,877</w:t>
      </w:r>
      <w:r>
        <w:rPr>
          <w:rFonts w:ascii="Times New Roman" w:hAnsi="Times New Roman"/>
          <w:sz w:val="20"/>
        </w:rPr>
        <w:t xml:space="preserve"> </w:t>
      </w:r>
      <w:r>
        <w:rPr>
          <w:rFonts w:ascii="Times New Roman;serif" w:hAnsi="Times New Roman;serif"/>
          <w:b w:val="false"/>
          <w:sz w:val="18"/>
        </w:rPr>
        <w:t>shares of common stock, $0.001 par value per share, outstanding.</w:t>
      </w:r>
    </w:p>
    <w:p>
      <w:pPr>
        <w:pStyle w:val="TextBody"/>
        <w:pBdr>
          <w:bottom w:val="double" w:sz="6" w:space="1" w:color="000000"/>
        </w:pBdr>
        <w:spacing w:before="0" w:after="0"/>
        <w:jc w:val="left"/>
        <w:rPr/>
      </w:pPr>
      <w:r>
        <w:rPr/>
        <w:t> </w:t>
      </w:r>
    </w:p>
    <w:p>
      <w:pPr>
        <w:pStyle w:val="TextBody"/>
        <w:spacing w:before="0" w:after="0"/>
        <w:jc w:val="center"/>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pPr>
      <w:r>
        <w:rPr/>
        <w:t> </w:t>
      </w:r>
    </w:p>
    <w:tbl>
      <w:tblPr>
        <w:tblW w:w="8823" w:type="dxa"/>
        <w:jc w:val="left"/>
        <w:tblInd w:w="0" w:type="dxa"/>
        <w:tblCellMar>
          <w:top w:w="28" w:type="dxa"/>
          <w:left w:w="28" w:type="dxa"/>
          <w:bottom w:w="28" w:type="dxa"/>
          <w:right w:w="28" w:type="dxa"/>
        </w:tblCellMar>
      </w:tblPr>
      <w:tblGrid>
        <w:gridCol w:w="886"/>
        <w:gridCol w:w="7366"/>
        <w:gridCol w:w="571"/>
      </w:tblGrid>
      <w:tr>
        <w:trPr/>
        <w:tc>
          <w:tcPr>
            <w:tcW w:w="88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both"/>
              <w:rPr/>
            </w:pPr>
            <w:r>
              <w:rPr/>
              <w:t> </w:t>
            </w:r>
          </w:p>
        </w:tc>
        <w:tc>
          <w:tcPr>
            <w:tcW w:w="736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571" w:type="dxa"/>
            <w:tcBorders>
              <w:bottom w:val="single" w:sz="2" w:space="0" w:color="000000"/>
            </w:tcBorders>
            <w:shd w:fill="auto" w:val="clear"/>
            <w:tcMar>
              <w:top w:w="0" w:type="dxa"/>
              <w:left w:w="0" w:type="dxa"/>
              <w:right w:w="0" w:type="dxa"/>
            </w:tcMar>
            <w:vAlign w:val="center"/>
          </w:tcPr>
          <w:p>
            <w:pPr>
              <w:pStyle w:val="TableContents"/>
              <w:spacing w:before="0" w:after="0"/>
              <w:ind w:left="137" w:right="0" w:hanging="0"/>
              <w:jc w:val="both"/>
              <w:rPr>
                <w:rFonts w:ascii="Times New Roman;serif" w:hAnsi="Times New Roman;serif"/>
                <w:b/>
                <w:sz w:val="20"/>
              </w:rPr>
            </w:pPr>
            <w:r>
              <w:rPr>
                <w:rFonts w:ascii="Times New Roman;serif" w:hAnsi="Times New Roman;serif"/>
                <w:b/>
                <w:sz w:val="20"/>
              </w:rPr>
              <w:t>Page</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INFORMATION</w:t>
            </w:r>
          </w:p>
        </w:tc>
        <w:tc>
          <w:tcPr>
            <w:tcW w:w="57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s">
              <w:r>
                <w:rPr>
                  <w:rStyle w:val="InternetLink"/>
                  <w:rFonts w:ascii="Times New Roman;serif" w:hAnsi="Times New Roman;serif"/>
                  <w:b w:val="false"/>
                  <w:sz w:val="20"/>
                  <w:u w:val="single"/>
                </w:rPr>
                <w:t>Financial Statements (Unaudited)</w:t>
              </w:r>
            </w:hyperlink>
          </w:p>
        </w:tc>
        <w:tc>
          <w:tcPr>
            <w:tcW w:w="57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balance_sheets">
              <w:r>
                <w:rPr>
                  <w:rStyle w:val="InternetLink"/>
                  <w:rFonts w:ascii="Times New Roman;serif" w:hAnsi="Times New Roman;serif"/>
                  <w:b w:val="false"/>
                  <w:sz w:val="20"/>
                  <w:u w:val="single"/>
                </w:rPr>
                <w:t>Condensed Consolidated Balance Sheets</w:t>
              </w:r>
            </w:hyperlink>
          </w:p>
        </w:tc>
        <w:tc>
          <w:tcPr>
            <w:tcW w:w="57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statements_operations">
              <w:r>
                <w:rPr>
                  <w:rStyle w:val="InternetLink"/>
                  <w:rFonts w:ascii="Times New Roman;serif" w:hAnsi="Times New Roman;serif"/>
                  <w:b w:val="false"/>
                  <w:sz w:val="20"/>
                  <w:u w:val="single"/>
                </w:rPr>
                <w:t>Condensed Consolidated Statements of Operations and Comprehensive Loss</w:t>
              </w:r>
            </w:hyperlink>
          </w:p>
        </w:tc>
        <w:tc>
          <w:tcPr>
            <w:tcW w:w="57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equity">
              <w:r>
                <w:rPr>
                  <w:rStyle w:val="InternetLink"/>
                  <w:rFonts w:ascii="Times New Roman;serif" w:hAnsi="Times New Roman;serif"/>
                  <w:b w:val="false"/>
                  <w:sz w:val="20"/>
                  <w:u w:val="single"/>
                </w:rPr>
                <w:t>Condensed Consolidated Statements of Stockholders' Equity</w:t>
              </w:r>
            </w:hyperlink>
          </w:p>
        </w:tc>
        <w:tc>
          <w:tcPr>
            <w:tcW w:w="57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8</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statements_cash_flows">
              <w:r>
                <w:rPr>
                  <w:rStyle w:val="InternetLink"/>
                  <w:rFonts w:ascii="Times New Roman;serif" w:hAnsi="Times New Roman;serif"/>
                  <w:b w:val="false"/>
                  <w:sz w:val="20"/>
                  <w:u w:val="single"/>
                </w:rPr>
                <w:t>Condensed Consolidated Statements of Cash Flows</w:t>
              </w:r>
            </w:hyperlink>
          </w:p>
        </w:tc>
        <w:tc>
          <w:tcPr>
            <w:tcW w:w="57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10</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condensed_financial_statements">
              <w:r>
                <w:rPr>
                  <w:rStyle w:val="InternetLink"/>
                  <w:rFonts w:ascii="Times New Roman;serif" w:hAnsi="Times New Roman;serif"/>
                  <w:b w:val="false"/>
                  <w:sz w:val="20"/>
                  <w:u w:val="single"/>
                </w:rPr>
                <w:t>Notes to Unaudited Condensed Consolidated Financial Statements</w:t>
              </w:r>
            </w:hyperlink>
          </w:p>
        </w:tc>
        <w:tc>
          <w:tcPr>
            <w:tcW w:w="57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da">
              <w:r>
                <w:rPr>
                  <w:rStyle w:val="InternetLink"/>
                  <w:rFonts w:ascii="Times New Roman;serif" w:hAnsi="Times New Roman;serif"/>
                  <w:b w:val="false"/>
                  <w:sz w:val="20"/>
                  <w:u w:val="single"/>
                </w:rPr>
                <w:t>Management’s Discussion and Analysis of Financial Condition and Results of Operations</w:t>
              </w:r>
            </w:hyperlink>
          </w:p>
        </w:tc>
        <w:tc>
          <w:tcPr>
            <w:tcW w:w="57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7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7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INFORMATION</w:t>
            </w:r>
          </w:p>
        </w:tc>
        <w:tc>
          <w:tcPr>
            <w:tcW w:w="57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7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risk_factors">
              <w:bookmarkStart w:id="2" w:name="toc_page"/>
              <w:bookmarkEnd w:id="2"/>
              <w:r>
                <w:rPr>
                  <w:rStyle w:val="InternetLink"/>
                  <w:rFonts w:ascii="Times New Roman;serif" w:hAnsi="Times New Roman;serif"/>
                  <w:b w:val="false"/>
                  <w:sz w:val="20"/>
                  <w:u w:val="single"/>
                </w:rPr>
                <w:t>Risk Factors</w:t>
              </w:r>
            </w:hyperlink>
          </w:p>
        </w:tc>
        <w:tc>
          <w:tcPr>
            <w:tcW w:w="57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7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3_defaults">
              <w:r>
                <w:rPr>
                  <w:rStyle w:val="InternetLink"/>
                  <w:rFonts w:ascii="Times New Roman;serif" w:hAnsi="Times New Roman;serif"/>
                  <w:b w:val="false"/>
                  <w:sz w:val="20"/>
                  <w:u w:val="single"/>
                </w:rPr>
                <w:t>Defaults Upon Senior Securities</w:t>
              </w:r>
            </w:hyperlink>
          </w:p>
        </w:tc>
        <w:tc>
          <w:tcPr>
            <w:tcW w:w="57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7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5otherinformation">
              <w:r>
                <w:rPr>
                  <w:rStyle w:val="InternetLink"/>
                  <w:rFonts w:ascii="Times New Roman;serif" w:hAnsi="Times New Roman;serif"/>
                  <w:b w:val="false"/>
                  <w:sz w:val="20"/>
                  <w:u w:val="single"/>
                </w:rPr>
                <w:t>Other Information</w:t>
              </w:r>
            </w:hyperlink>
          </w:p>
        </w:tc>
        <w:tc>
          <w:tcPr>
            <w:tcW w:w="57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7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r>
      <w:tr>
        <w:trPr/>
        <w:tc>
          <w:tcPr>
            <w:tcW w:w="825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7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SPECIAL NOTE REGARDING FORWARD-LOOKING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discussion and analysis should be read together with our condensed consolidated financial statements and the condensed notes to those statements included elsewhere in this report. This report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report, “we,” “us” and “our” refer to RxSight, Inc., a Delaware corporation, and its consolidated subsidiaries.</w:t>
      </w:r>
    </w:p>
    <w:p>
      <w:pPr>
        <w:pStyle w:val="TextBody"/>
        <w:spacing w:before="240" w:after="0"/>
        <w:jc w:val="left"/>
        <w:rPr>
          <w:rFonts w:ascii="Times New Roman" w:hAnsi="Times New Roman"/>
          <w:sz w:val="20"/>
        </w:rPr>
      </w:pPr>
      <w:r>
        <w:rPr>
          <w:rFonts w:ascii="Times New Roman;serif" w:hAnsi="Times New Roman;serif"/>
          <w:b w:val="false"/>
          <w:sz w:val="20"/>
        </w:rPr>
        <w:t>Forward-looking statements include, but are not limited to, statements concerning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sufficiency of our existing capital resources to fund our future operating expenses and capital expenditure requirements, including our expectation that we do not anticipate the need to raise additional capital or incur additional debt in order to reach profit from operations, as disclosed in the Company’s future Annual Reports on Form 10-K or Quarterly Reports on Form 10-Q as filed with the Securities and Exchange Commission (“SEC”), provided that we may opportunistically access our at-the-market (“ATM”) facility under advantageous circumstances;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plans to conduct further clinical trials and any expectations related to the timing or outcomes of such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plans and expected timelines related to our products, or developing new products, to address additional indications or otherwise;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expected acceptance and use of our products by doctors;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obtain, maintain and expand regulatory clearances for our products and any new products we create;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expected growth of our business and our organization;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intentions regarding investment in our business as we pursue growth;</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expected uses of our existing resources;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expectations regarding government and third-party payer coverage and reimbursement;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recruit and retain key personnel, including the continued development of a sales and marketing infrastructure;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obtain an adequate supply of materials and components for our products from our third-party suppliers, including single- and sole-source suppliers;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manufacture sufficient quantities of our products with appropriate quality;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obtain, maintain and enforce intellectual property protection for our products and protect our intellectual property rights;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expand our business into new geographic markets;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comply with applicable SEC rules and Nasdaq continued listing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comply with existing and future government laws, rules and regulations both in the United States and internationally;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allocation of resources toward expenses associated with being a public company;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estimates of our expenses, ongoing losses, future revenue, capital requirements and our need for, or ability to obtain, additional financing;</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expectations regarding the time during which we will be an emerging growth company under the Jumpstart Our Business Startups Act of 2012 (the “JOBS Act”) and a smaller reporting company under the Exchange Act;</w:t>
      </w:r>
    </w:p>
    <w:p>
      <w:pPr>
        <w:pStyle w:val="TextBody"/>
        <w:spacing w:before="0" w:after="0"/>
        <w:jc w:val="left"/>
        <w:rPr/>
      </w:pPr>
      <w:r>
        <w:rPr/>
        <w:t> </w:t>
      </w:r>
    </w:p>
    <w:tbl>
      <w:tblPr>
        <w:tblW w:w="608" w:type="dxa"/>
        <w:jc w:val="left"/>
        <w:tblInd w:w="0" w:type="dxa"/>
        <w:tblCellMar>
          <w:top w:w="28" w:type="dxa"/>
          <w:left w:w="28" w:type="dxa"/>
          <w:bottom w:w="28" w:type="dxa"/>
          <w:right w:w="28" w:type="dxa"/>
        </w:tblCellMar>
      </w:tblPr>
      <w:tblGrid>
        <w:gridCol w:w="271"/>
        <w:gridCol w:w="146"/>
        <w:gridCol w:w="191"/>
      </w:tblGrid>
      <w:tr>
        <w:trPr/>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3</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volatility of the trading price of our common stock;</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identify and develop new and planned products and/or acquire new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development and projections relating to our competitors or our industry, including anticipated growth rates for the conventional and premium intraocular lens (“IOL”) markets;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impact of local, regional, national or political conditions and events;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of the COVID-19 pandemic, including currently known and unknown coronavirus variants, on our business or personnel;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impact of worldwide political and economic conditions and unknown future events on our business, financial condition and results of operations.</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report.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The forward-looking statements made in this report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spacing w:before="160" w:after="0"/>
        <w:jc w:val="center"/>
        <w:rPr>
          <w:rFonts w:ascii="Times New Roman" w:hAnsi="Times New Roman"/>
          <w:sz w:val="20"/>
        </w:rPr>
      </w:pPr>
      <w:r>
        <w:rPr>
          <w:rFonts w:ascii="Times New Roman;serif" w:hAnsi="Times New Roman;serif"/>
          <w:b/>
          <w:sz w:val="20"/>
        </w:rPr>
        <w:t>DISCUSSION AND ANALYSIS OF OUR FINANCIAL CONDITION</w:t>
      </w:r>
      <w:r>
        <w:rPr>
          <w:rFonts w:ascii="Times New Roman" w:hAnsi="Times New Roman"/>
          <w:sz w:val="20"/>
        </w:rPr>
        <w:t xml:space="preserve"> </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Our discussion and analysis of our financial condition and results of operations is based upon our unaudited condensed consolidated financial statements, which have been prepared in accordance with generally accepted accounting principles in the United States (“GAAP”). The preparation of these financial statements requires us to make estimates and judgments that affect the reported amounts of assets, liabilities, revenues and expenses. On an ongoing basis, we evaluate our estimates including those related to revenue recognition, the realization of income tax assets and estimates of tax liabilities, and obsolete, excess and slow-moving inventory. We base our estimates on historical experience and on various other assumptions we believe to be reasonable under the circumstances, the results of which form the basis for making judgments about the carrying values of assets and liabilities not readily apparent from other sources. Actual results may differ materially from these estimates. Our critical accounting policies and estimates are discussed in the Company’s Annual Report on Form 10-K filed with the SEC on March 6, 2023.</w:t>
      </w:r>
    </w:p>
    <w:p>
      <w:pPr>
        <w:pStyle w:val="TextBody"/>
        <w:spacing w:before="160" w:after="0"/>
        <w:jc w:val="center"/>
        <w:rPr>
          <w:rFonts w:ascii="Times New Roman;serif" w:hAnsi="Times New Roman;serif"/>
          <w:b/>
          <w:sz w:val="20"/>
        </w:rPr>
      </w:pPr>
      <w:r>
        <w:rPr>
          <w:rFonts w:ascii="Times New Roman;serif" w:hAnsi="Times New Roman;serif"/>
          <w:b/>
          <w:sz w:val="20"/>
        </w:rPr>
        <w:t>INDUSTRY, BUSINESS AND MARKET DATA</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This report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spacing w:before="0" w:after="0"/>
        <w:jc w:val="left"/>
        <w:rPr/>
      </w:pPr>
      <w:r>
        <w:rPr/>
        <w:t> </w:t>
      </w:r>
    </w:p>
    <w:tbl>
      <w:tblPr>
        <w:tblW w:w="608" w:type="dxa"/>
        <w:jc w:val="left"/>
        <w:tblInd w:w="0" w:type="dxa"/>
        <w:tblCellMar>
          <w:top w:w="28" w:type="dxa"/>
          <w:left w:w="28" w:type="dxa"/>
          <w:bottom w:w="28" w:type="dxa"/>
          <w:right w:w="28" w:type="dxa"/>
        </w:tblCellMar>
      </w:tblPr>
      <w:tblGrid>
        <w:gridCol w:w="271"/>
        <w:gridCol w:w="146"/>
        <w:gridCol w:w="191"/>
      </w:tblGrid>
      <w:tr>
        <w:trPr/>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4</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60" w:after="0"/>
        <w:jc w:val="center"/>
        <w:rPr>
          <w:rFonts w:ascii="Times New Roman;serif" w:hAnsi="Times New Roman;serif"/>
          <w:b/>
          <w:sz w:val="20"/>
        </w:rPr>
      </w:pPr>
      <w:r>
        <w:rPr>
          <w:rFonts w:ascii="Times New Roman;serif" w:hAnsi="Times New Roman;serif"/>
          <w:b/>
          <w:sz w:val="20"/>
        </w:rPr>
        <w:t>TRADEMARKS, SERVICE MARKS AND TRADE NAMES</w:t>
      </w:r>
    </w:p>
    <w:p>
      <w:pPr>
        <w:pStyle w:val="TextBody"/>
        <w:spacing w:before="160" w:after="0"/>
        <w:jc w:val="left"/>
        <w:rPr>
          <w:rFonts w:ascii="Times New Roman" w:hAnsi="Times New Roman"/>
          <w:sz w:val="20"/>
        </w:rPr>
      </w:pPr>
      <w:r>
        <w:rPr>
          <w:rFonts w:ascii="Times New Roman;serif" w:hAnsi="Times New Roman;serif"/>
          <w:b w:val="false"/>
          <w:sz w:val="20"/>
        </w:rPr>
        <w:t>This report contains references to trademarks and service marks belonging to other entities. Solely for convenience, trademarks and trade names referred to in this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r>
        <w:rPr>
          <w:rFonts w:ascii="Times New Roman" w:hAnsi="Times New Roman"/>
          <w:sz w:val="20"/>
        </w:rPr>
        <w:t xml:space="preserve"> </w:t>
      </w:r>
    </w:p>
    <w:p>
      <w:pPr>
        <w:pStyle w:val="TextBody"/>
        <w:spacing w:before="0" w:after="0"/>
        <w:jc w:val="left"/>
        <w:rPr/>
      </w:pPr>
      <w:r>
        <w:rPr/>
        <w:t> </w:t>
      </w:r>
    </w:p>
    <w:tbl>
      <w:tblPr>
        <w:tblW w:w="608" w:type="dxa"/>
        <w:jc w:val="left"/>
        <w:tblInd w:w="0" w:type="dxa"/>
        <w:tblCellMar>
          <w:top w:w="28" w:type="dxa"/>
          <w:left w:w="28" w:type="dxa"/>
          <w:bottom w:w="28" w:type="dxa"/>
          <w:right w:w="28" w:type="dxa"/>
        </w:tblCellMar>
      </w:tblPr>
      <w:tblGrid>
        <w:gridCol w:w="271"/>
        <w:gridCol w:w="146"/>
        <w:gridCol w:w="191"/>
      </w:tblGrid>
      <w:tr>
        <w:trPr/>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5</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240" w:after="240"/>
        <w:jc w:val="left"/>
        <w:rPr>
          <w:rFonts w:ascii="Times New Roman;serif" w:hAnsi="Times New Roman;serif"/>
          <w:b/>
          <w:sz w:val="22"/>
        </w:rPr>
      </w:pPr>
      <w:bookmarkStart w:id="3" w:name="item_1_fs"/>
      <w:bookmarkEnd w:id="3"/>
      <w:r>
        <w:rPr>
          <w:rFonts w:ascii="Times New Roman;serif" w:hAnsi="Times New Roman;serif"/>
          <w:b/>
          <w:sz w:val="22"/>
        </w:rPr>
        <w:t>Item 1: Financial Statements (Unaudited)</w:t>
      </w:r>
    </w:p>
    <w:p>
      <w:pPr>
        <w:pStyle w:val="TextBody"/>
        <w:spacing w:before="0" w:after="0"/>
        <w:jc w:val="center"/>
        <w:rPr>
          <w:rFonts w:ascii="Times New Roman" w:hAnsi="Times New Roman"/>
          <w:sz w:val="20"/>
        </w:rPr>
      </w:pPr>
      <w:r>
        <w:rPr>
          <w:rFonts w:ascii="Times New Roman;serif" w:hAnsi="Times New Roman;serif"/>
          <w:b/>
          <w:sz w:val="20"/>
        </w:rPr>
        <w:t>RxSIGHT, INC.</w:t>
      </w:r>
      <w:r>
        <w:rPr>
          <w:rFonts w:ascii="Times New Roman" w:hAnsi="Times New Roman"/>
          <w:sz w:val="20"/>
        </w:rPr>
        <w:t xml:space="preserve"> </w:t>
      </w:r>
    </w:p>
    <w:p>
      <w:pPr>
        <w:pStyle w:val="TextBody"/>
        <w:spacing w:before="0" w:after="0"/>
        <w:jc w:val="center"/>
        <w:rPr>
          <w:rFonts w:ascii="Times New Roman;serif" w:hAnsi="Times New Roman;serif"/>
          <w:b/>
          <w:sz w:val="20"/>
        </w:rPr>
      </w:pPr>
      <w:bookmarkStart w:id="4" w:name="condensed_balance_sheets"/>
      <w:bookmarkEnd w:id="4"/>
      <w:r>
        <w:rPr>
          <w:rFonts w:ascii="Times New Roman;serif" w:hAnsi="Times New Roman;serif"/>
          <w:b/>
          <w:sz w:val="20"/>
        </w:rPr>
        <w:t>CONDENSED CONSOLIDATED BALANCE SHEETS</w:t>
      </w:r>
    </w:p>
    <w:p>
      <w:pPr>
        <w:pStyle w:val="TextBody"/>
        <w:pBdr>
          <w:bottom w:val="single" w:sz="12" w:space="1" w:color="000000"/>
        </w:pBdr>
        <w:spacing w:before="0" w:after="0"/>
        <w:jc w:val="center"/>
        <w:rPr>
          <w:rFonts w:ascii="Times New Roman;serif" w:hAnsi="Times New Roman;serif"/>
          <w:b w:val="false"/>
          <w:sz w:val="22"/>
        </w:rPr>
      </w:pPr>
      <w:r>
        <w:rPr>
          <w:rFonts w:ascii="Times New Roman;serif" w:hAnsi="Times New Roman;serif"/>
          <w:b w:val="false"/>
          <w:sz w:val="22"/>
        </w:rPr>
        <w:t>(In thousands, except share and per share amounts)</w:t>
      </w:r>
    </w:p>
    <w:p>
      <w:pPr>
        <w:pStyle w:val="TextBody"/>
        <w:spacing w:before="0" w:after="0"/>
        <w:jc w:val="left"/>
        <w:rPr/>
      </w:pPr>
      <w:r>
        <w:rPr/>
        <w:t> </w:t>
      </w:r>
    </w:p>
    <w:tbl>
      <w:tblPr>
        <w:tblW w:w="9922" w:type="dxa"/>
        <w:jc w:val="left"/>
        <w:tblInd w:w="0" w:type="dxa"/>
        <w:tblCellMar>
          <w:top w:w="28" w:type="dxa"/>
          <w:left w:w="28" w:type="dxa"/>
          <w:bottom w:w="28" w:type="dxa"/>
          <w:right w:w="28" w:type="dxa"/>
        </w:tblCellMar>
      </w:tblPr>
      <w:tblGrid>
        <w:gridCol w:w="6811"/>
        <w:gridCol w:w="146"/>
        <w:gridCol w:w="196"/>
        <w:gridCol w:w="751"/>
        <w:gridCol w:w="166"/>
        <w:gridCol w:w="146"/>
        <w:gridCol w:w="226"/>
        <w:gridCol w:w="869"/>
        <w:gridCol w:w="611"/>
      </w:tblGrid>
      <w:tr>
        <w:trPr/>
        <w:tc>
          <w:tcPr>
            <w:tcW w:w="68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68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611" w:type="dxa"/>
            <w:tcBorders/>
            <w:shd w:fill="auto" w:val="clear"/>
            <w:vAlign w:val="center"/>
          </w:tcPr>
          <w:p>
            <w:pPr>
              <w:pStyle w:val="TableContents"/>
              <w:spacing w:before="0" w:after="0"/>
              <w:ind w:left="0" w:right="0" w:hanging="0"/>
              <w:jc w:val="center"/>
              <w:rPr/>
            </w:pPr>
            <w:r>
              <w:rPr/>
              <w:t> </w:t>
            </w:r>
          </w:p>
        </w:tc>
      </w:tr>
      <w:tr>
        <w:trPr/>
        <w:tc>
          <w:tcPr>
            <w:tcW w:w="6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(Unaudited)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pPr>
            <w:r>
              <w:rPr/>
              <w:t> </w:t>
            </w:r>
          </w:p>
        </w:tc>
        <w:tc>
          <w:tcPr>
            <w:tcW w:w="611" w:type="dxa"/>
            <w:tcBorders/>
            <w:shd w:fill="auto" w:val="clear"/>
            <w:vAlign w:val="center"/>
          </w:tcPr>
          <w:p>
            <w:pPr>
              <w:pStyle w:val="TableContents"/>
              <w:spacing w:before="0" w:after="0"/>
              <w:ind w:left="0" w:right="0" w:hanging="0"/>
              <w:jc w:val="center"/>
              <w:rPr/>
            </w:pPr>
            <w:r>
              <w:rPr/>
              <w:t> </w:t>
            </w:r>
          </w:p>
        </w:tc>
      </w:tr>
      <w:tr>
        <w:trPr/>
        <w:tc>
          <w:tcPr>
            <w:tcW w:w="681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Assets</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68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Current assets:</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68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11,012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11,834</w:t>
            </w:r>
          </w:p>
        </w:tc>
        <w:tc>
          <w:tcPr>
            <w:tcW w:w="611" w:type="dxa"/>
            <w:tcBorders/>
            <w:shd w:fill="auto" w:val="clear"/>
            <w:vAlign w:val="center"/>
          </w:tcPr>
          <w:p>
            <w:pPr>
              <w:pStyle w:val="TableContents"/>
              <w:spacing w:before="0" w:after="0"/>
              <w:ind w:left="0" w:right="0" w:firstLine="200"/>
              <w:jc w:val="left"/>
              <w:rPr/>
            </w:pPr>
            <w:r>
              <w:rPr/>
              <w:t> </w:t>
            </w:r>
          </w:p>
        </w:tc>
      </w:tr>
      <w:tr>
        <w:trPr/>
        <w:tc>
          <w:tcPr>
            <w:tcW w:w="68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Short-term investments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142,927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93,968</w:t>
            </w:r>
          </w:p>
        </w:tc>
        <w:tc>
          <w:tcPr>
            <w:tcW w:w="611" w:type="dxa"/>
            <w:tcBorders/>
            <w:shd w:fill="auto" w:val="clear"/>
            <w:vAlign w:val="center"/>
          </w:tcPr>
          <w:p>
            <w:pPr>
              <w:pStyle w:val="TableContents"/>
              <w:spacing w:before="0" w:after="0"/>
              <w:ind w:left="0" w:right="0" w:firstLine="200"/>
              <w:jc w:val="left"/>
              <w:rPr/>
            </w:pPr>
            <w:r>
              <w:rPr/>
              <w:t> </w:t>
            </w:r>
          </w:p>
        </w:tc>
      </w:tr>
      <w:tr>
        <w:trPr/>
        <w:tc>
          <w:tcPr>
            <w:tcW w:w="68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Accounts receivable</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10,956</w:t>
            </w:r>
          </w:p>
        </w:tc>
        <w:tc>
          <w:tcPr>
            <w:tcW w:w="611" w:type="dxa"/>
            <w:tcBorders/>
            <w:shd w:fill="auto" w:val="clear"/>
            <w:vAlign w:val="center"/>
          </w:tcPr>
          <w:p>
            <w:pPr>
              <w:pStyle w:val="TableContents"/>
              <w:spacing w:before="0" w:after="0"/>
              <w:ind w:left="0" w:right="0" w:firstLine="200"/>
              <w:jc w:val="left"/>
              <w:rPr/>
            </w:pPr>
            <w:r>
              <w:rPr/>
              <w:t> </w:t>
            </w:r>
          </w:p>
        </w:tc>
      </w:tr>
      <w:tr>
        <w:trPr/>
        <w:tc>
          <w:tcPr>
            <w:tcW w:w="68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Inventories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18,067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14,835</w:t>
            </w:r>
          </w:p>
        </w:tc>
        <w:tc>
          <w:tcPr>
            <w:tcW w:w="611" w:type="dxa"/>
            <w:tcBorders/>
            <w:shd w:fill="auto" w:val="clear"/>
            <w:vAlign w:val="center"/>
          </w:tcPr>
          <w:p>
            <w:pPr>
              <w:pStyle w:val="TableContents"/>
              <w:spacing w:before="0" w:after="0"/>
              <w:ind w:left="0" w:right="0" w:firstLine="200"/>
              <w:jc w:val="left"/>
              <w:rPr/>
            </w:pPr>
            <w:r>
              <w:rPr/>
              <w:t> </w:t>
            </w:r>
          </w:p>
        </w:tc>
      </w:tr>
      <w:tr>
        <w:trPr/>
        <w:tc>
          <w:tcPr>
            <w:tcW w:w="68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Prepaid and other current assets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2,962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81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current assets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187,666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134,555</w:t>
            </w:r>
          </w:p>
        </w:tc>
        <w:tc>
          <w:tcPr>
            <w:tcW w:w="611" w:type="dxa"/>
            <w:tcBorders/>
            <w:shd w:fill="auto" w:val="clear"/>
            <w:vAlign w:val="center"/>
          </w:tcPr>
          <w:p>
            <w:pPr>
              <w:pStyle w:val="TableContents"/>
              <w:spacing w:before="0" w:after="0"/>
              <w:ind w:left="0" w:right="0" w:hanging="0"/>
              <w:jc w:val="left"/>
              <w:rPr/>
            </w:pPr>
            <w:r>
              <w:rPr/>
              <w:t> </w:t>
            </w:r>
          </w:p>
        </w:tc>
      </w:tr>
      <w:tr>
        <w:trPr/>
        <w:tc>
          <w:tcPr>
            <w:tcW w:w="68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Property and equipment, net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10,138</w:t>
            </w:r>
          </w:p>
        </w:tc>
        <w:tc>
          <w:tcPr>
            <w:tcW w:w="611" w:type="dxa"/>
            <w:tcBorders/>
            <w:shd w:fill="auto" w:val="clear"/>
            <w:vAlign w:val="center"/>
          </w:tcPr>
          <w:p>
            <w:pPr>
              <w:pStyle w:val="TableContents"/>
              <w:spacing w:before="0" w:after="0"/>
              <w:ind w:left="0" w:right="0" w:hanging="0"/>
              <w:jc w:val="left"/>
              <w:rPr/>
            </w:pPr>
            <w:r>
              <w:rPr/>
              <w:t> </w:t>
            </w:r>
          </w:p>
        </w:tc>
      </w:tr>
      <w:tr>
        <w:trPr/>
        <w:tc>
          <w:tcPr>
            <w:tcW w:w="68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Operating leases right-of-use assets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3,943</w:t>
            </w:r>
          </w:p>
        </w:tc>
        <w:tc>
          <w:tcPr>
            <w:tcW w:w="611" w:type="dxa"/>
            <w:tcBorders/>
            <w:shd w:fill="auto" w:val="clear"/>
            <w:vAlign w:val="center"/>
          </w:tcPr>
          <w:p>
            <w:pPr>
              <w:pStyle w:val="TableContents"/>
              <w:spacing w:before="0" w:after="0"/>
              <w:ind w:left="0" w:right="0" w:hanging="0"/>
              <w:jc w:val="left"/>
              <w:rPr/>
            </w:pPr>
            <w:r>
              <w:rPr/>
              <w:t> </w:t>
            </w:r>
          </w:p>
        </w:tc>
      </w:tr>
      <w:tr>
        <w:trPr/>
        <w:tc>
          <w:tcPr>
            <w:tcW w:w="68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Restricted cash</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761</w:t>
            </w:r>
          </w:p>
        </w:tc>
        <w:tc>
          <w:tcPr>
            <w:tcW w:w="611" w:type="dxa"/>
            <w:tcBorders/>
            <w:shd w:fill="auto" w:val="clear"/>
            <w:vAlign w:val="center"/>
          </w:tcPr>
          <w:p>
            <w:pPr>
              <w:pStyle w:val="TableContents"/>
              <w:spacing w:before="0" w:after="0"/>
              <w:ind w:left="0" w:right="0" w:hanging="0"/>
              <w:jc w:val="left"/>
              <w:rPr/>
            </w:pPr>
            <w:r>
              <w:rPr/>
              <w:t> </w:t>
            </w:r>
          </w:p>
        </w:tc>
      </w:tr>
      <w:tr>
        <w:trPr/>
        <w:tc>
          <w:tcPr>
            <w:tcW w:w="68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assets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767</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811" w:type="dxa"/>
            <w:tcBorders/>
            <w:shd w:fill="auto" w:val="clear"/>
            <w:vAlign w:val="center"/>
          </w:tcPr>
          <w:p>
            <w:pPr>
              <w:pStyle w:val="TableContents"/>
              <w:spacing w:before="0" w:after="0"/>
              <w:ind w:left="400" w:right="0" w:hanging="0"/>
              <w:jc w:val="left"/>
              <w:rPr>
                <w:rFonts w:ascii="Times New Roman;serif" w:hAnsi="Times New Roman;serif"/>
                <w:b/>
                <w:sz w:val="16"/>
              </w:rPr>
            </w:pPr>
            <w:r>
              <w:rPr>
                <w:rFonts w:ascii="Times New Roman;serif" w:hAnsi="Times New Roman;serif"/>
                <w:b/>
                <w:sz w:val="16"/>
              </w:rPr>
              <w:t>Total assets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202,532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150,164</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1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Liabilities and stockholders' equity</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68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Current liabilities:</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68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Accounts payable</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2,595</w:t>
            </w:r>
          </w:p>
        </w:tc>
        <w:tc>
          <w:tcPr>
            <w:tcW w:w="611" w:type="dxa"/>
            <w:tcBorders/>
            <w:shd w:fill="auto" w:val="clear"/>
            <w:vAlign w:val="center"/>
          </w:tcPr>
          <w:p>
            <w:pPr>
              <w:pStyle w:val="TableContents"/>
              <w:spacing w:before="0" w:after="0"/>
              <w:ind w:left="0" w:right="0" w:firstLine="200"/>
              <w:jc w:val="left"/>
              <w:rPr/>
            </w:pPr>
            <w:r>
              <w:rPr/>
              <w:t> </w:t>
            </w:r>
          </w:p>
        </w:tc>
      </w:tr>
      <w:tr>
        <w:trPr/>
        <w:tc>
          <w:tcPr>
            <w:tcW w:w="68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Accrued expenses and other current liabilities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9,181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12,672</w:t>
            </w:r>
          </w:p>
        </w:tc>
        <w:tc>
          <w:tcPr>
            <w:tcW w:w="611" w:type="dxa"/>
            <w:tcBorders/>
            <w:shd w:fill="auto" w:val="clear"/>
            <w:vAlign w:val="center"/>
          </w:tcPr>
          <w:p>
            <w:pPr>
              <w:pStyle w:val="TableContents"/>
              <w:spacing w:before="0" w:after="0"/>
              <w:ind w:left="0" w:right="0" w:firstLine="200"/>
              <w:jc w:val="left"/>
              <w:rPr/>
            </w:pPr>
            <w:r>
              <w:rPr/>
              <w:t> </w:t>
            </w:r>
          </w:p>
        </w:tc>
      </w:tr>
      <w:tr>
        <w:trPr/>
        <w:tc>
          <w:tcPr>
            <w:tcW w:w="68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Lease liabilities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1,970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81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current liabilities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14,876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17,237</w:t>
            </w:r>
          </w:p>
        </w:tc>
        <w:tc>
          <w:tcPr>
            <w:tcW w:w="611" w:type="dxa"/>
            <w:tcBorders/>
            <w:shd w:fill="auto" w:val="clear"/>
            <w:vAlign w:val="center"/>
          </w:tcPr>
          <w:p>
            <w:pPr>
              <w:pStyle w:val="TableContents"/>
              <w:spacing w:before="0" w:after="0"/>
              <w:ind w:left="0" w:right="0" w:hanging="0"/>
              <w:jc w:val="left"/>
              <w:rPr/>
            </w:pPr>
            <w:r>
              <w:rPr/>
              <w:t> </w:t>
            </w:r>
          </w:p>
        </w:tc>
      </w:tr>
      <w:tr>
        <w:trPr/>
        <w:tc>
          <w:tcPr>
            <w:tcW w:w="68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Long-term lease liabilities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2,856</w:t>
            </w:r>
          </w:p>
        </w:tc>
        <w:tc>
          <w:tcPr>
            <w:tcW w:w="611" w:type="dxa"/>
            <w:tcBorders/>
            <w:shd w:fill="auto" w:val="clear"/>
            <w:vAlign w:val="center"/>
          </w:tcPr>
          <w:p>
            <w:pPr>
              <w:pStyle w:val="TableContents"/>
              <w:spacing w:before="0" w:after="0"/>
              <w:ind w:left="0" w:right="0" w:hanging="0"/>
              <w:jc w:val="left"/>
              <w:rPr/>
            </w:pPr>
            <w:r>
              <w:rPr/>
              <w:t> </w:t>
            </w:r>
          </w:p>
        </w:tc>
      </w:tr>
      <w:tr>
        <w:trPr/>
        <w:tc>
          <w:tcPr>
            <w:tcW w:w="68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Term loan, net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40,309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40,169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811" w:type="dxa"/>
            <w:tcBorders/>
            <w:shd w:fill="auto" w:val="clear"/>
            <w:vAlign w:val="center"/>
          </w:tcPr>
          <w:p>
            <w:pPr>
              <w:pStyle w:val="TableContents"/>
              <w:spacing w:before="0" w:after="0"/>
              <w:ind w:left="400" w:right="0" w:hanging="0"/>
              <w:jc w:val="left"/>
              <w:rPr>
                <w:rFonts w:ascii="Times New Roman;serif" w:hAnsi="Times New Roman;serif"/>
                <w:b/>
                <w:sz w:val="16"/>
              </w:rPr>
            </w:pPr>
            <w:r>
              <w:rPr>
                <w:rFonts w:ascii="Times New Roman;serif" w:hAnsi="Times New Roman;serif"/>
                <w:b/>
                <w:sz w:val="16"/>
              </w:rPr>
              <w:t>Total liabilities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57,523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60,262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6"/>
              </w:rPr>
              <w:t>Commitments and contingencies (</w:t>
            </w:r>
            <w:r>
              <w:rPr>
                <w:rFonts w:ascii="Times New Roman;serif" w:hAnsi="Times New Roman;serif"/>
                <w:b w:val="false"/>
                <w:i/>
                <w:sz w:val="16"/>
              </w:rPr>
              <w:t>Note 9)</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68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Stockholders' equity:</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681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6"/>
              </w:rPr>
              <w:t>Common stock, $0.001</w:t>
            </w:r>
            <w:r>
              <w:rPr>
                <w:rFonts w:ascii="Times New Roman" w:hAnsi="Times New Roman"/>
                <w:sz w:val="20"/>
              </w:rPr>
              <w:t> </w:t>
            </w:r>
            <w:r>
              <w:rPr>
                <w:rFonts w:ascii="Times New Roman;serif" w:hAnsi="Times New Roman;serif"/>
                <w:b w:val="false"/>
                <w:sz w:val="16"/>
              </w:rPr>
              <w:t>par value, 900,000,000</w:t>
            </w:r>
            <w:r>
              <w:rPr>
                <w:rFonts w:ascii="Times New Roman" w:hAnsi="Times New Roman"/>
                <w:sz w:val="20"/>
              </w:rPr>
              <w:t> </w:t>
            </w:r>
            <w:r>
              <w:rPr>
                <w:rFonts w:ascii="Times New Roman;serif" w:hAnsi="Times New Roman;serif"/>
                <w:b w:val="false"/>
                <w:sz w:val="16"/>
              </w:rPr>
              <w:t>shares authorized, 33,966,697</w:t>
            </w:r>
            <w:r>
              <w:rPr>
                <w:rFonts w:ascii="Times New Roman" w:hAnsi="Times New Roman"/>
                <w:sz w:val="20"/>
              </w:rPr>
              <w:t> </w:t>
            </w:r>
            <w:r>
              <w:rPr>
                <w:rFonts w:ascii="Times New Roman;serif" w:hAnsi="Times New Roman;serif"/>
                <w:b w:val="false"/>
                <w:sz w:val="16"/>
              </w:rPr>
              <w:t>shares issued and</w:t>
              <w:br/>
              <w:t>  outstanding as of March 31, 2023 and 28,268,389</w:t>
            </w:r>
            <w:r>
              <w:rPr>
                <w:rFonts w:ascii="Times New Roman" w:hAnsi="Times New Roman"/>
                <w:sz w:val="20"/>
              </w:rPr>
              <w:t> </w:t>
            </w:r>
            <w:r>
              <w:rPr>
                <w:rFonts w:ascii="Times New Roman;serif" w:hAnsi="Times New Roman;serif"/>
                <w:b w:val="false"/>
                <w:sz w:val="16"/>
              </w:rPr>
              <w:t>shares issued and</w:t>
              <w:br/>
              <w:t>  outstanding as of December 31, 2022</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611" w:type="dxa"/>
            <w:tcBorders/>
            <w:shd w:fill="auto" w:val="clear"/>
            <w:vAlign w:val="center"/>
          </w:tcPr>
          <w:p>
            <w:pPr>
              <w:pStyle w:val="TableContents"/>
              <w:spacing w:before="0" w:after="0"/>
              <w:ind w:left="0" w:right="0" w:firstLine="200"/>
              <w:jc w:val="left"/>
              <w:rPr/>
            </w:pPr>
            <w:r>
              <w:rPr/>
              <w:t> </w:t>
            </w:r>
          </w:p>
        </w:tc>
      </w:tr>
      <w:tr>
        <w:trPr/>
        <w:tc>
          <w:tcPr>
            <w:tcW w:w="681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6"/>
              </w:rPr>
              <w:t>Preferred stock, $0.001</w:t>
            </w:r>
            <w:r>
              <w:rPr>
                <w:rFonts w:ascii="Times New Roman" w:hAnsi="Times New Roman"/>
                <w:sz w:val="20"/>
              </w:rPr>
              <w:t> </w:t>
            </w:r>
            <w:r>
              <w:rPr>
                <w:rFonts w:ascii="Times New Roman;serif" w:hAnsi="Times New Roman;serif"/>
                <w:b w:val="false"/>
                <w:sz w:val="16"/>
              </w:rPr>
              <w:t>par value, 100,000,000</w:t>
            </w:r>
            <w:r>
              <w:rPr>
                <w:rFonts w:ascii="Times New Roman" w:hAnsi="Times New Roman"/>
                <w:sz w:val="20"/>
              </w:rPr>
              <w:t> </w:t>
            </w:r>
            <w:r>
              <w:rPr>
                <w:rFonts w:ascii="Times New Roman;serif" w:hAnsi="Times New Roman;serif"/>
                <w:b w:val="false"/>
                <w:sz w:val="16"/>
              </w:rPr>
              <w:t>shares authorized, no</w:t>
            </w:r>
            <w:r>
              <w:rPr>
                <w:rFonts w:ascii="Times New Roman" w:hAnsi="Times New Roman"/>
                <w:sz w:val="20"/>
              </w:rPr>
              <w:t> </w:t>
            </w:r>
            <w:r>
              <w:rPr>
                <w:rFonts w:ascii="Times New Roman;serif" w:hAnsi="Times New Roman;serif"/>
                <w:b w:val="false"/>
                <w:sz w:val="16"/>
              </w:rPr>
              <w:t>shares issued</w:t>
              <w:br/>
              <w:t>  and outstanding</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200"/>
              <w:jc w:val="left"/>
              <w:rPr/>
            </w:pPr>
            <w:r>
              <w:rPr/>
              <w:t> </w:t>
            </w:r>
          </w:p>
        </w:tc>
      </w:tr>
      <w:tr>
        <w:trPr/>
        <w:tc>
          <w:tcPr>
            <w:tcW w:w="68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Additional paid-in capital</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704,228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636,001</w:t>
            </w:r>
          </w:p>
        </w:tc>
        <w:tc>
          <w:tcPr>
            <w:tcW w:w="611" w:type="dxa"/>
            <w:tcBorders/>
            <w:shd w:fill="auto" w:val="clear"/>
            <w:vAlign w:val="center"/>
          </w:tcPr>
          <w:p>
            <w:pPr>
              <w:pStyle w:val="TableContents"/>
              <w:spacing w:before="0" w:after="0"/>
              <w:ind w:left="0" w:right="0" w:firstLine="200"/>
              <w:jc w:val="left"/>
              <w:rPr/>
            </w:pPr>
            <w:r>
              <w:rPr/>
              <w:t> </w:t>
            </w:r>
          </w:p>
        </w:tc>
      </w:tr>
      <w:tr>
        <w:trPr/>
        <w:tc>
          <w:tcPr>
            <w:tcW w:w="68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Accumulated other comprehensive loss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(95</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8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Accumulated deficit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(559,244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(546,032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81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stockholders' equity</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145,009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89,903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811" w:type="dxa"/>
            <w:tcBorders/>
            <w:shd w:fill="auto" w:val="clear"/>
            <w:vAlign w:val="center"/>
          </w:tcPr>
          <w:p>
            <w:pPr>
              <w:pStyle w:val="TableContents"/>
              <w:spacing w:before="0" w:after="0"/>
              <w:ind w:left="400" w:right="0" w:hanging="0"/>
              <w:jc w:val="left"/>
              <w:rPr>
                <w:rFonts w:ascii="Times New Roman;serif" w:hAnsi="Times New Roman;serif"/>
                <w:b/>
                <w:sz w:val="16"/>
              </w:rPr>
            </w:pPr>
            <w:r>
              <w:rPr>
                <w:rFonts w:ascii="Times New Roman;serif" w:hAnsi="Times New Roman;serif"/>
                <w:b/>
                <w:sz w:val="16"/>
              </w:rPr>
              <w:t>Total liabilities and stockholders' equity</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202,532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150,164</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9311" w:type="dxa"/>
            <w:gridSpan w:val="8"/>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9311" w:type="dxa"/>
            <w:gridSpan w:val="8"/>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unaudited condensed consolidated financial statements.</w:t>
      </w:r>
    </w:p>
    <w:p>
      <w:pPr>
        <w:pStyle w:val="TextBody"/>
        <w:spacing w:before="0" w:after="0"/>
        <w:jc w:val="left"/>
        <w:rPr/>
      </w:pPr>
      <w:r>
        <w:rPr/>
        <w:t> </w:t>
      </w:r>
    </w:p>
    <w:tbl>
      <w:tblPr>
        <w:tblW w:w="608" w:type="dxa"/>
        <w:jc w:val="left"/>
        <w:tblInd w:w="0" w:type="dxa"/>
        <w:tblCellMar>
          <w:top w:w="28" w:type="dxa"/>
          <w:left w:w="28" w:type="dxa"/>
          <w:bottom w:w="28" w:type="dxa"/>
          <w:right w:w="28" w:type="dxa"/>
        </w:tblCellMar>
      </w:tblPr>
      <w:tblGrid>
        <w:gridCol w:w="271"/>
        <w:gridCol w:w="146"/>
        <w:gridCol w:w="191"/>
      </w:tblGrid>
      <w:tr>
        <w:trPr/>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6</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RxSIGHT, INC.</w:t>
      </w:r>
    </w:p>
    <w:p>
      <w:pPr>
        <w:pStyle w:val="TextBody"/>
        <w:spacing w:before="0" w:after="0"/>
        <w:jc w:val="center"/>
        <w:rPr>
          <w:rFonts w:ascii="Times New Roman;serif" w:hAnsi="Times New Roman;serif"/>
          <w:b/>
          <w:sz w:val="20"/>
        </w:rPr>
      </w:pPr>
      <w:bookmarkStart w:id="5" w:name="condensed_statements_operations"/>
      <w:bookmarkEnd w:id="5"/>
      <w:r>
        <w:rPr>
          <w:rFonts w:ascii="Times New Roman;serif" w:hAnsi="Times New Roman;serif"/>
          <w:b/>
          <w:sz w:val="20"/>
        </w:rPr>
        <w:t>CONDENSED CONSOLIDATED STATEMENTS OF OPERATIONS</w:t>
      </w:r>
    </w:p>
    <w:p>
      <w:pPr>
        <w:pStyle w:val="TextBody"/>
        <w:spacing w:before="0" w:after="0"/>
        <w:jc w:val="center"/>
        <w:rPr>
          <w:rFonts w:ascii="Times New Roman;serif" w:hAnsi="Times New Roman;serif"/>
          <w:b/>
          <w:sz w:val="20"/>
        </w:rPr>
      </w:pPr>
      <w:r>
        <w:rPr>
          <w:rFonts w:ascii="Times New Roman;serif" w:hAnsi="Times New Roman;serif"/>
          <w:b/>
          <w:sz w:val="20"/>
        </w:rPr>
        <w:t>AND COMPREHENSIVE LOSS (UNAUDITED)</w:t>
      </w:r>
    </w:p>
    <w:p>
      <w:pPr>
        <w:pStyle w:val="TextBody"/>
        <w:pBdr>
          <w:bottom w:val="single" w:sz="12" w:space="1" w:color="000000"/>
        </w:pBdr>
        <w:spacing w:before="0" w:after="0"/>
        <w:jc w:val="center"/>
        <w:rPr>
          <w:rFonts w:ascii="Times New Roman;serif" w:hAnsi="Times New Roman;serif"/>
          <w:b w:val="false"/>
          <w:sz w:val="22"/>
        </w:rPr>
      </w:pPr>
      <w:r>
        <w:rPr>
          <w:rFonts w:ascii="Times New Roman;serif" w:hAnsi="Times New Roman;serif"/>
          <w:b w:val="false"/>
          <w:sz w:val="22"/>
        </w:rPr>
        <w:t>(In thousands, except share and per share amounts)</w:t>
      </w:r>
    </w:p>
    <w:p>
      <w:pPr>
        <w:pStyle w:val="TextBody"/>
        <w:spacing w:before="0" w:after="0"/>
        <w:jc w:val="left"/>
        <w:rPr/>
      </w:pPr>
      <w:r>
        <w:rPr/>
        <w:t> </w:t>
      </w:r>
    </w:p>
    <w:tbl>
      <w:tblPr>
        <w:tblW w:w="7929" w:type="dxa"/>
        <w:jc w:val="left"/>
        <w:tblInd w:w="0" w:type="dxa"/>
        <w:tblCellMar>
          <w:top w:w="28" w:type="dxa"/>
          <w:left w:w="28" w:type="dxa"/>
          <w:bottom w:w="28" w:type="dxa"/>
          <w:right w:w="28" w:type="dxa"/>
        </w:tblCellMar>
      </w:tblPr>
      <w:tblGrid>
        <w:gridCol w:w="4456"/>
        <w:gridCol w:w="146"/>
        <w:gridCol w:w="196"/>
        <w:gridCol w:w="916"/>
        <w:gridCol w:w="166"/>
        <w:gridCol w:w="146"/>
        <w:gridCol w:w="196"/>
        <w:gridCol w:w="916"/>
        <w:gridCol w:w="791"/>
      </w:tblGrid>
      <w:tr>
        <w:trPr/>
        <w:tc>
          <w:tcPr>
            <w:tcW w:w="4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center"/>
              <w:rPr/>
            </w:pPr>
            <w:r>
              <w:rPr/>
              <w:t> </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Sales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17,489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8,942</w:t>
            </w:r>
          </w:p>
        </w:tc>
        <w:tc>
          <w:tcPr>
            <w:tcW w:w="791" w:type="dxa"/>
            <w:tcBorders/>
            <w:shd w:fill="auto" w:val="clear"/>
            <w:vAlign w:val="center"/>
          </w:tcPr>
          <w:p>
            <w:pPr>
              <w:pStyle w:val="TableContents"/>
              <w:spacing w:before="0" w:after="0"/>
              <w:ind w:left="0" w:right="0" w:firstLine="200"/>
              <w:jc w:val="left"/>
              <w:rPr/>
            </w:pPr>
            <w:r>
              <w:rPr/>
              <w:t> </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Cost of sales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5,181</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Gross profit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3,761</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400"/>
              <w:jc w:val="left"/>
              <w:rPr/>
            </w:pPr>
            <w:r>
              <w:rPr/>
              <w:t> </w:t>
            </w:r>
          </w:p>
        </w:tc>
      </w:tr>
      <w:tr>
        <w:trPr/>
        <w:tc>
          <w:tcPr>
            <w:tcW w:w="445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16,255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13,620</w:t>
            </w:r>
          </w:p>
        </w:tc>
        <w:tc>
          <w:tcPr>
            <w:tcW w:w="791" w:type="dxa"/>
            <w:tcBorders/>
            <w:shd w:fill="auto" w:val="clear"/>
            <w:vAlign w:val="center"/>
          </w:tcPr>
          <w:p>
            <w:pPr>
              <w:pStyle w:val="TableContents"/>
              <w:spacing w:before="0" w:after="0"/>
              <w:ind w:left="0" w:right="0" w:firstLine="400"/>
              <w:jc w:val="left"/>
              <w:rPr/>
            </w:pPr>
            <w:r>
              <w:rPr/>
              <w:t> </w:t>
            </w:r>
          </w:p>
        </w:tc>
      </w:tr>
      <w:tr>
        <w:trPr/>
        <w:tc>
          <w:tcPr>
            <w:tcW w:w="445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7,208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6,719</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4456"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23,463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20,339</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4456"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(13,097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(16,578</w:t>
            </w:r>
          </w:p>
        </w:tc>
        <w:tc>
          <w:tcPr>
            <w:tcW w:w="79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400"/>
              <w:jc w:val="left"/>
              <w:rPr/>
            </w:pPr>
            <w:r>
              <w:rPr/>
              <w:t> </w:t>
            </w:r>
          </w:p>
        </w:tc>
      </w:tr>
      <w:tr>
        <w:trPr/>
        <w:tc>
          <w:tcPr>
            <w:tcW w:w="445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(1,060</w:t>
            </w:r>
          </w:p>
        </w:tc>
        <w:tc>
          <w:tcPr>
            <w:tcW w:w="79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445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Interest and other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(13,212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(17,592</w:t>
            </w:r>
          </w:p>
        </w:tc>
        <w:tc>
          <w:tcPr>
            <w:tcW w:w="79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4456"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(13,212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(17,596</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4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200"/>
              <w:jc w:val="left"/>
              <w:rPr/>
            </w:pPr>
            <w:r>
              <w:rPr/>
              <w:t> </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400"/>
              <w:jc w:val="left"/>
              <w:rPr/>
            </w:pPr>
            <w:r>
              <w:rPr/>
              <w:t> </w:t>
            </w:r>
          </w:p>
        </w:tc>
      </w:tr>
      <w:tr>
        <w:trPr/>
        <w:tc>
          <w:tcPr>
            <w:tcW w:w="445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Unrealized gain (loss) on short-term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w:t>
            </w:r>
          </w:p>
        </w:tc>
        <w:tc>
          <w:tcPr>
            <w:tcW w:w="79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445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Foreign currency translation gain (loss)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(13,126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(17,674</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 per share:</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400"/>
              <w:jc w:val="left"/>
              <w:rPr/>
            </w:pPr>
            <w:r>
              <w:rPr/>
              <w:t> </w:t>
            </w:r>
          </w:p>
        </w:tc>
      </w:tr>
      <w:tr>
        <w:trPr/>
        <w:tc>
          <w:tcPr>
            <w:tcW w:w="445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Basic &amp; diluted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(0.64</w:t>
            </w:r>
          </w:p>
        </w:tc>
        <w:tc>
          <w:tcPr>
            <w:tcW w:w="79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Weighted-average shares used in computing net loss per share:</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200"/>
              <w:jc w:val="left"/>
              <w:rPr/>
            </w:pPr>
            <w:r>
              <w:rPr/>
              <w:t> </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Attributable to common stock, basic &amp; diluted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31,637,097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27,425,610</w:t>
            </w:r>
          </w:p>
        </w:tc>
        <w:tc>
          <w:tcPr>
            <w:tcW w:w="7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unaudited condensed consolidated financial statements.</w:t>
      </w:r>
    </w:p>
    <w:p>
      <w:pPr>
        <w:pStyle w:val="TextBody"/>
        <w:spacing w:before="0" w:after="0"/>
        <w:jc w:val="left"/>
        <w:rPr/>
      </w:pPr>
      <w:r>
        <w:rPr/>
        <w:t> </w:t>
      </w:r>
    </w:p>
    <w:tbl>
      <w:tblPr>
        <w:tblW w:w="608" w:type="dxa"/>
        <w:jc w:val="left"/>
        <w:tblInd w:w="0" w:type="dxa"/>
        <w:tblCellMar>
          <w:top w:w="28" w:type="dxa"/>
          <w:left w:w="28" w:type="dxa"/>
          <w:bottom w:w="28" w:type="dxa"/>
          <w:right w:w="28" w:type="dxa"/>
        </w:tblCellMar>
      </w:tblPr>
      <w:tblGrid>
        <w:gridCol w:w="271"/>
        <w:gridCol w:w="146"/>
        <w:gridCol w:w="191"/>
      </w:tblGrid>
      <w:tr>
        <w:trPr/>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7</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RxSIGHT, INC.</w:t>
      </w:r>
    </w:p>
    <w:p>
      <w:pPr>
        <w:pStyle w:val="TextBody"/>
        <w:spacing w:before="0" w:after="0"/>
        <w:jc w:val="center"/>
        <w:rPr>
          <w:rFonts w:ascii="Times New Roman;serif" w:hAnsi="Times New Roman;serif"/>
          <w:b/>
          <w:sz w:val="16"/>
        </w:rPr>
      </w:pPr>
      <w:bookmarkStart w:id="6" w:name="equity"/>
      <w:bookmarkEnd w:id="6"/>
      <w:r>
        <w:rPr>
          <w:rFonts w:ascii="Times New Roman;serif" w:hAnsi="Times New Roman;serif"/>
          <w:b/>
          <w:sz w:val="16"/>
        </w:rPr>
        <w:t>CONDENSED CONSOLIDATED STATEMENTS OF STOCKHOLDERS’ EQUITY</w:t>
      </w:r>
    </w:p>
    <w:p>
      <w:pPr>
        <w:pStyle w:val="TextBody"/>
        <w:spacing w:before="0" w:after="0"/>
        <w:jc w:val="center"/>
        <w:rPr>
          <w:rFonts w:ascii="Times New Roman" w:hAnsi="Times New Roman"/>
          <w:sz w:val="20"/>
        </w:rPr>
      </w:pPr>
      <w:r>
        <w:rPr>
          <w:rFonts w:ascii="Times New Roman;serif" w:hAnsi="Times New Roman;serif"/>
          <w:b/>
          <w:sz w:val="16"/>
        </w:rPr>
        <w:t>(UNAUDITED)</w:t>
      </w:r>
      <w:r>
        <w:rPr>
          <w:rFonts w:ascii="Times New Roman" w:hAnsi="Times New Roman"/>
          <w:sz w:val="20"/>
        </w:rPr>
        <w:t xml:space="preserve"> </w:t>
      </w:r>
    </w:p>
    <w:p>
      <w:pPr>
        <w:pStyle w:val="TextBody"/>
        <w:pBdr>
          <w:bottom w:val="single" w:sz="12" w:space="1" w:color="000000"/>
        </w:pBdr>
        <w:spacing w:before="0" w:after="0"/>
        <w:jc w:val="center"/>
        <w:rPr>
          <w:rFonts w:ascii="Times New Roman;serif" w:hAnsi="Times New Roman;serif"/>
          <w:b w:val="false"/>
          <w:sz w:val="16"/>
        </w:rPr>
      </w:pPr>
      <w:r>
        <w:rPr>
          <w:rFonts w:ascii="Times New Roman;serif" w:hAnsi="Times New Roman;serif"/>
          <w:b w:val="false"/>
          <w:sz w:val="16"/>
        </w:rPr>
        <w:t>(In thousands, except number of shares)</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1929"/>
        <w:gridCol w:w="146"/>
        <w:gridCol w:w="146"/>
        <w:gridCol w:w="916"/>
        <w:gridCol w:w="166"/>
        <w:gridCol w:w="146"/>
        <w:gridCol w:w="271"/>
        <w:gridCol w:w="480"/>
        <w:gridCol w:w="146"/>
        <w:gridCol w:w="146"/>
        <w:gridCol w:w="221"/>
        <w:gridCol w:w="785"/>
        <w:gridCol w:w="166"/>
        <w:gridCol w:w="146"/>
        <w:gridCol w:w="532"/>
        <w:gridCol w:w="755"/>
        <w:gridCol w:w="166"/>
        <w:gridCol w:w="146"/>
        <w:gridCol w:w="233"/>
        <w:gridCol w:w="893"/>
        <w:gridCol w:w="166"/>
        <w:gridCol w:w="146"/>
        <w:gridCol w:w="251"/>
        <w:gridCol w:w="892"/>
        <w:gridCol w:w="215"/>
      </w:tblGrid>
      <w:tr>
        <w:trPr/>
        <w:tc>
          <w:tcPr>
            <w:tcW w:w="19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192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15"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2023</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2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8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3" w:type="dxa"/>
            <w:gridSpan w:val="2"/>
            <w:tcBorders/>
            <w:shd w:fill="auto" w:val="clear"/>
            <w:vAlign w:val="center"/>
          </w:tcPr>
          <w:p>
            <w:pPr>
              <w:pStyle w:val="TableContents"/>
              <w:spacing w:before="0" w:after="0"/>
              <w:ind w:left="0" w:right="0" w:hanging="0"/>
              <w:jc w:val="center"/>
              <w:rPr/>
            </w:pPr>
            <w:r>
              <w:rPr/>
              <w:t> </w:t>
            </w:r>
          </w:p>
        </w:tc>
        <w:tc>
          <w:tcPr>
            <w:tcW w:w="215" w:type="dxa"/>
            <w:tcBorders/>
            <w:shd w:fill="auto" w:val="clear"/>
            <w:vAlign w:val="center"/>
          </w:tcPr>
          <w:p>
            <w:pPr>
              <w:pStyle w:val="TableContents"/>
              <w:spacing w:before="0" w:after="0"/>
              <w:ind w:left="0" w:right="0" w:hanging="0"/>
              <w:jc w:val="center"/>
              <w:rPr/>
            </w:pPr>
            <w:r>
              <w:rPr/>
              <w:t> </w:t>
            </w:r>
          </w:p>
        </w:tc>
      </w:tr>
      <w:tr>
        <w:trPr/>
        <w:tc>
          <w:tcPr>
            <w:tcW w:w="192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2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Additional 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87"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 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3"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 stockholders'</w:t>
            </w:r>
          </w:p>
        </w:tc>
        <w:tc>
          <w:tcPr>
            <w:tcW w:w="215" w:type="dxa"/>
            <w:tcBorders/>
            <w:shd w:fill="auto" w:val="clear"/>
            <w:vAlign w:val="center"/>
          </w:tcPr>
          <w:p>
            <w:pPr>
              <w:pStyle w:val="TableContents"/>
              <w:spacing w:before="0" w:after="0"/>
              <w:ind w:left="0" w:right="0" w:hanging="0"/>
              <w:jc w:val="center"/>
              <w:rPr/>
            </w:pPr>
            <w:r>
              <w:rPr/>
              <w:t> </w:t>
            </w:r>
          </w:p>
        </w:tc>
      </w:tr>
      <w:tr>
        <w:trPr/>
        <w:tc>
          <w:tcPr>
            <w:tcW w:w="192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comprehensive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2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28,268,389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636,001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(546,032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89,902</w:t>
            </w:r>
          </w:p>
        </w:tc>
        <w:tc>
          <w:tcPr>
            <w:tcW w:w="215" w:type="dxa"/>
            <w:tcBorders/>
            <w:shd w:fill="auto" w:val="clear"/>
            <w:vAlign w:val="center"/>
          </w:tcPr>
          <w:p>
            <w:pPr>
              <w:pStyle w:val="TableContents"/>
              <w:spacing w:before="0" w:after="0"/>
              <w:ind w:left="0" w:right="0" w:hanging="0"/>
              <w:jc w:val="left"/>
              <w:rPr/>
            </w:pPr>
            <w:r>
              <w:rPr/>
              <w:t> </w:t>
            </w:r>
          </w:p>
        </w:tc>
      </w:tr>
      <w:tr>
        <w:trPr/>
        <w:tc>
          <w:tcPr>
            <w:tcW w:w="192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Shares issued for the exercise of stock options</w:t>
              <w:br/>
              <w:t> and vesting of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243,598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761</w:t>
            </w:r>
          </w:p>
        </w:tc>
        <w:tc>
          <w:tcPr>
            <w:tcW w:w="215" w:type="dxa"/>
            <w:tcBorders/>
            <w:shd w:fill="auto" w:val="clear"/>
            <w:vAlign w:val="center"/>
          </w:tcPr>
          <w:p>
            <w:pPr>
              <w:pStyle w:val="TableContents"/>
              <w:spacing w:before="0" w:after="0"/>
              <w:ind w:left="0" w:right="0" w:hanging="0"/>
              <w:jc w:val="left"/>
              <w:rPr/>
            </w:pPr>
            <w:r>
              <w:rPr/>
              <w:t> </w:t>
            </w:r>
          </w:p>
        </w:tc>
      </w:tr>
      <w:tr>
        <w:trPr/>
        <w:tc>
          <w:tcPr>
            <w:tcW w:w="192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Shares redeemed for employee tax withholdings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(24,631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(337</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2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3,295</w:t>
            </w:r>
          </w:p>
        </w:tc>
        <w:tc>
          <w:tcPr>
            <w:tcW w:w="215" w:type="dxa"/>
            <w:tcBorders/>
            <w:shd w:fill="auto" w:val="clear"/>
            <w:vAlign w:val="center"/>
          </w:tcPr>
          <w:p>
            <w:pPr>
              <w:pStyle w:val="TableContents"/>
              <w:spacing w:before="0" w:after="0"/>
              <w:ind w:left="0" w:right="0" w:hanging="0"/>
              <w:jc w:val="left"/>
              <w:rPr/>
            </w:pPr>
            <w:r>
              <w:rPr/>
              <w:t> </w:t>
            </w:r>
          </w:p>
        </w:tc>
      </w:tr>
      <w:tr>
        <w:trPr/>
        <w:tc>
          <w:tcPr>
            <w:tcW w:w="192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for public offering, net of underwriting discounts, commissions and offering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4,600,000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53,595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53,600</w:t>
            </w:r>
          </w:p>
        </w:tc>
        <w:tc>
          <w:tcPr>
            <w:tcW w:w="215" w:type="dxa"/>
            <w:tcBorders/>
            <w:shd w:fill="auto" w:val="clear"/>
            <w:vAlign w:val="center"/>
          </w:tcPr>
          <w:p>
            <w:pPr>
              <w:pStyle w:val="TableContents"/>
              <w:spacing w:before="0" w:after="0"/>
              <w:ind w:left="0" w:right="0" w:hanging="0"/>
              <w:jc w:val="left"/>
              <w:rPr/>
            </w:pPr>
            <w:r>
              <w:rPr/>
              <w:t> </w:t>
            </w:r>
          </w:p>
        </w:tc>
      </w:tr>
      <w:tr>
        <w:trPr/>
        <w:tc>
          <w:tcPr>
            <w:tcW w:w="192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Issuance of common stock for at-the-market offerings, </w:t>
              <w:br/>
              <w:t>net of issuance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879,341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10,913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10,914</w:t>
            </w:r>
          </w:p>
        </w:tc>
        <w:tc>
          <w:tcPr>
            <w:tcW w:w="215" w:type="dxa"/>
            <w:tcBorders/>
            <w:shd w:fill="auto" w:val="clear"/>
            <w:vAlign w:val="center"/>
          </w:tcPr>
          <w:p>
            <w:pPr>
              <w:pStyle w:val="TableContents"/>
              <w:spacing w:before="0" w:after="0"/>
              <w:ind w:left="0" w:right="0" w:hanging="0"/>
              <w:jc w:val="left"/>
              <w:rPr/>
            </w:pPr>
            <w:r>
              <w:rPr/>
              <w:t> </w:t>
            </w:r>
          </w:p>
        </w:tc>
      </w:tr>
      <w:tr>
        <w:trPr/>
        <w:tc>
          <w:tcPr>
            <w:tcW w:w="192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Unrealized gain on short-term investments </w:t>
              <w:br/>
              <w:t> and cash equivalents, net of tax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w:t>
            </w:r>
          </w:p>
        </w:tc>
        <w:tc>
          <w:tcPr>
            <w:tcW w:w="215" w:type="dxa"/>
            <w:tcBorders/>
            <w:shd w:fill="auto" w:val="clear"/>
            <w:vAlign w:val="center"/>
          </w:tcPr>
          <w:p>
            <w:pPr>
              <w:pStyle w:val="TableContents"/>
              <w:spacing w:before="0" w:after="0"/>
              <w:ind w:left="0" w:right="0" w:hanging="0"/>
              <w:jc w:val="left"/>
              <w:rPr/>
            </w:pPr>
            <w:r>
              <w:rPr/>
              <w:t> </w:t>
            </w:r>
          </w:p>
        </w:tc>
      </w:tr>
      <w:tr>
        <w:trPr/>
        <w:tc>
          <w:tcPr>
            <w:tcW w:w="192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Foreign currency translation adjustment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15" w:type="dxa"/>
            <w:tcBorders/>
            <w:shd w:fill="auto" w:val="clear"/>
            <w:vAlign w:val="center"/>
          </w:tcPr>
          <w:p>
            <w:pPr>
              <w:pStyle w:val="TableContents"/>
              <w:spacing w:before="0" w:after="0"/>
              <w:ind w:left="0" w:right="0" w:hanging="0"/>
              <w:jc w:val="left"/>
              <w:rPr/>
            </w:pPr>
            <w:r>
              <w:rPr/>
              <w:t> </w:t>
            </w:r>
          </w:p>
        </w:tc>
      </w:tr>
      <w:tr>
        <w:trPr/>
        <w:tc>
          <w:tcPr>
            <w:tcW w:w="192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(13,212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(13,212</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2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1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33,966,697</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8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704,228</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(559,244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145,009</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2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3" w:type="dxa"/>
            <w:gridSpan w:val="2"/>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unaudited condensed consolidated financial statements</w:t>
      </w:r>
    </w:p>
    <w:p>
      <w:pPr>
        <w:pStyle w:val="TextBody"/>
        <w:spacing w:before="0" w:after="0"/>
        <w:jc w:val="center"/>
        <w:rPr/>
      </w:pPr>
      <w:r>
        <w:rPr/>
        <w:t> </w:t>
      </w:r>
    </w:p>
    <w:p>
      <w:pPr>
        <w:pStyle w:val="TextBody"/>
        <w:spacing w:before="0" w:after="0"/>
        <w:jc w:val="left"/>
        <w:rPr/>
      </w:pPr>
      <w:r>
        <w:rPr/>
        <w:t> </w:t>
      </w:r>
    </w:p>
    <w:tbl>
      <w:tblPr>
        <w:tblW w:w="608" w:type="dxa"/>
        <w:jc w:val="left"/>
        <w:tblInd w:w="0" w:type="dxa"/>
        <w:tblCellMar>
          <w:top w:w="28" w:type="dxa"/>
          <w:left w:w="28" w:type="dxa"/>
          <w:bottom w:w="28" w:type="dxa"/>
          <w:right w:w="28" w:type="dxa"/>
        </w:tblCellMar>
      </w:tblPr>
      <w:tblGrid>
        <w:gridCol w:w="271"/>
        <w:gridCol w:w="146"/>
        <w:gridCol w:w="191"/>
      </w:tblGrid>
      <w:tr>
        <w:trPr/>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8</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16"/>
        </w:rPr>
        <w:t>RxSIGHT, INC.</w:t>
      </w:r>
      <w:r>
        <w:rPr>
          <w:rFonts w:ascii="Times New Roman" w:hAnsi="Times New Roman"/>
          <w:sz w:val="20"/>
        </w:rPr>
        <w:t xml:space="preserve"> </w:t>
      </w:r>
    </w:p>
    <w:p>
      <w:pPr>
        <w:pStyle w:val="TextBody"/>
        <w:spacing w:before="0" w:after="0"/>
        <w:jc w:val="center"/>
        <w:rPr>
          <w:rFonts w:ascii="Times New Roman;serif" w:hAnsi="Times New Roman;serif"/>
          <w:b/>
          <w:caps/>
          <w:sz w:val="16"/>
        </w:rPr>
      </w:pPr>
      <w:r>
        <w:rPr>
          <w:rFonts w:ascii="Times New Roman;serif" w:hAnsi="Times New Roman;serif"/>
          <w:b/>
          <w:caps/>
          <w:sz w:val="16"/>
        </w:rPr>
        <w:t>CONDENSED CONSOLIDATED STATEMENTS OF STOCKHOLDERS’ EQUITY</w:t>
      </w:r>
    </w:p>
    <w:p>
      <w:pPr>
        <w:pStyle w:val="TextBody"/>
        <w:spacing w:before="0" w:after="0"/>
        <w:jc w:val="center"/>
        <w:rPr>
          <w:rFonts w:ascii="Times New Roman;serif" w:hAnsi="Times New Roman;serif"/>
          <w:b/>
          <w:caps/>
          <w:sz w:val="16"/>
        </w:rPr>
      </w:pPr>
      <w:r>
        <w:rPr>
          <w:rFonts w:ascii="Times New Roman;serif" w:hAnsi="Times New Roman;serif"/>
          <w:b/>
          <w:caps/>
          <w:sz w:val="16"/>
        </w:rPr>
        <w:t>(UNAUDITED)</w:t>
      </w:r>
    </w:p>
    <w:p>
      <w:pPr>
        <w:pStyle w:val="TextBody"/>
        <w:pBdr>
          <w:bottom w:val="single" w:sz="12" w:space="1" w:color="000000"/>
        </w:pBdr>
        <w:spacing w:before="0" w:after="0"/>
        <w:jc w:val="center"/>
        <w:rPr>
          <w:rFonts w:ascii="Times New Roman;serif" w:hAnsi="Times New Roman;serif"/>
          <w:b w:val="false"/>
          <w:sz w:val="16"/>
        </w:rPr>
      </w:pPr>
      <w:r>
        <w:rPr>
          <w:rFonts w:ascii="Times New Roman;serif" w:hAnsi="Times New Roman;serif"/>
          <w:b w:val="false"/>
          <w:sz w:val="16"/>
        </w:rPr>
        <w:t>(In thousands, except number of shares)</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26"/>
        <w:gridCol w:w="146"/>
        <w:gridCol w:w="146"/>
        <w:gridCol w:w="916"/>
        <w:gridCol w:w="166"/>
        <w:gridCol w:w="146"/>
        <w:gridCol w:w="271"/>
        <w:gridCol w:w="480"/>
        <w:gridCol w:w="146"/>
        <w:gridCol w:w="146"/>
        <w:gridCol w:w="240"/>
        <w:gridCol w:w="852"/>
        <w:gridCol w:w="166"/>
        <w:gridCol w:w="146"/>
        <w:gridCol w:w="538"/>
        <w:gridCol w:w="796"/>
        <w:gridCol w:w="166"/>
        <w:gridCol w:w="146"/>
        <w:gridCol w:w="233"/>
        <w:gridCol w:w="893"/>
        <w:gridCol w:w="166"/>
        <w:gridCol w:w="146"/>
        <w:gridCol w:w="267"/>
        <w:gridCol w:w="947"/>
        <w:gridCol w:w="214"/>
      </w:tblGrid>
      <w:tr>
        <w:trPr/>
        <w:tc>
          <w:tcPr>
            <w:tcW w:w="1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17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19"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2022</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34"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4" w:type="dxa"/>
            <w:gridSpan w:val="2"/>
            <w:tcBorders/>
            <w:shd w:fill="auto" w:val="clear"/>
            <w:vAlign w:val="center"/>
          </w:tcPr>
          <w:p>
            <w:pPr>
              <w:pStyle w:val="TableContents"/>
              <w:spacing w:before="0" w:after="0"/>
              <w:ind w:left="0" w:right="0" w:hanging="0"/>
              <w:jc w:val="center"/>
              <w:rPr/>
            </w:pPr>
            <w:r>
              <w:rPr/>
              <w:t> </w:t>
            </w:r>
          </w:p>
        </w:tc>
        <w:tc>
          <w:tcPr>
            <w:tcW w:w="214" w:type="dxa"/>
            <w:tcBorders/>
            <w:shd w:fill="auto" w:val="clear"/>
            <w:vAlign w:val="center"/>
          </w:tcPr>
          <w:p>
            <w:pPr>
              <w:pStyle w:val="TableContents"/>
              <w:spacing w:before="0" w:after="0"/>
              <w:ind w:left="0" w:right="0" w:hanging="0"/>
              <w:jc w:val="center"/>
              <w:rPr/>
            </w:pPr>
            <w:r>
              <w:rPr/>
              <w:t> </w:t>
            </w:r>
          </w:p>
        </w:tc>
      </w:tr>
      <w:tr>
        <w:trPr/>
        <w:tc>
          <w:tcPr>
            <w:tcW w:w="17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106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34"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4" w:type="dxa"/>
            <w:gridSpan w:val="2"/>
            <w:tcBorders/>
            <w:shd w:fill="auto" w:val="clear"/>
            <w:vAlign w:val="center"/>
          </w:tcPr>
          <w:p>
            <w:pPr>
              <w:pStyle w:val="TableContents"/>
              <w:spacing w:before="0" w:after="0"/>
              <w:ind w:left="0" w:right="0" w:hanging="0"/>
              <w:jc w:val="center"/>
              <w:rPr/>
            </w:pPr>
            <w:r>
              <w:rPr/>
              <w:t> </w:t>
            </w:r>
          </w:p>
        </w:tc>
        <w:tc>
          <w:tcPr>
            <w:tcW w:w="214" w:type="dxa"/>
            <w:tcBorders/>
            <w:shd w:fill="auto" w:val="clear"/>
            <w:vAlign w:val="center"/>
          </w:tcPr>
          <w:p>
            <w:pPr>
              <w:pStyle w:val="TableContents"/>
              <w:spacing w:before="0" w:after="0"/>
              <w:ind w:left="0" w:right="0" w:hanging="0"/>
              <w:jc w:val="center"/>
              <w:rPr/>
            </w:pPr>
            <w:r>
              <w:rPr/>
              <w:t> </w:t>
            </w:r>
          </w:p>
        </w:tc>
      </w:tr>
      <w:tr>
        <w:trPr/>
        <w:tc>
          <w:tcPr>
            <w:tcW w:w="17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2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2"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Additional 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34"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 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4"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 stockholders'</w:t>
            </w:r>
          </w:p>
        </w:tc>
        <w:tc>
          <w:tcPr>
            <w:tcW w:w="214" w:type="dxa"/>
            <w:tcBorders/>
            <w:shd w:fill="auto" w:val="clear"/>
            <w:vAlign w:val="center"/>
          </w:tcPr>
          <w:p>
            <w:pPr>
              <w:pStyle w:val="TableContents"/>
              <w:spacing w:before="0" w:after="0"/>
              <w:ind w:left="0" w:right="0" w:hanging="0"/>
              <w:jc w:val="center"/>
              <w:rPr/>
            </w:pPr>
            <w:r>
              <w:rPr/>
              <w:t> </w:t>
            </w:r>
          </w:p>
        </w:tc>
      </w:tr>
      <w:tr>
        <w:trPr/>
        <w:tc>
          <w:tcPr>
            <w:tcW w:w="17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comprehensive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27,366,746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617,511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(479,276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138,242</w:t>
            </w:r>
          </w:p>
        </w:tc>
        <w:tc>
          <w:tcPr>
            <w:tcW w:w="214" w:type="dxa"/>
            <w:tcBorders/>
            <w:shd w:fill="auto" w:val="clear"/>
            <w:vAlign w:val="center"/>
          </w:tcPr>
          <w:p>
            <w:pPr>
              <w:pStyle w:val="TableContents"/>
              <w:spacing w:before="0" w:after="0"/>
              <w:ind w:left="0" w:right="0" w:hanging="0"/>
              <w:jc w:val="left"/>
              <w:rPr/>
            </w:pPr>
            <w:r>
              <w:rPr/>
              <w:t> </w:t>
            </w:r>
          </w:p>
        </w:tc>
      </w:tr>
      <w:tr>
        <w:trPr/>
        <w:tc>
          <w:tcPr>
            <w:tcW w:w="17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Shares issued for the exercise of stock options</w:t>
              <w:br/>
              <w:t> and vesting of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145,922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8"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308</w:t>
            </w:r>
          </w:p>
        </w:tc>
        <w:tc>
          <w:tcPr>
            <w:tcW w:w="214" w:type="dxa"/>
            <w:tcBorders/>
            <w:shd w:fill="auto" w:val="clear"/>
            <w:vAlign w:val="center"/>
          </w:tcPr>
          <w:p>
            <w:pPr>
              <w:pStyle w:val="TableContents"/>
              <w:spacing w:before="0" w:after="0"/>
              <w:ind w:left="0" w:right="0" w:hanging="0"/>
              <w:jc w:val="left"/>
              <w:rPr/>
            </w:pPr>
            <w:r>
              <w:rPr/>
              <w:t> </w:t>
            </w:r>
          </w:p>
        </w:tc>
      </w:tr>
      <w:tr>
        <w:trPr/>
        <w:tc>
          <w:tcPr>
            <w:tcW w:w="17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Shares redeemed for employee tax withholdings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(26,983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538"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(362</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7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8"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2,649</w:t>
            </w:r>
          </w:p>
        </w:tc>
        <w:tc>
          <w:tcPr>
            <w:tcW w:w="214" w:type="dxa"/>
            <w:tcBorders/>
            <w:shd w:fill="auto" w:val="clear"/>
            <w:vAlign w:val="center"/>
          </w:tcPr>
          <w:p>
            <w:pPr>
              <w:pStyle w:val="TableContents"/>
              <w:spacing w:before="0" w:after="0"/>
              <w:ind w:left="0" w:right="0" w:hanging="0"/>
              <w:jc w:val="left"/>
              <w:rPr/>
            </w:pPr>
            <w:r>
              <w:rPr/>
              <w:t> </w:t>
            </w:r>
          </w:p>
        </w:tc>
      </w:tr>
      <w:tr>
        <w:trPr/>
        <w:tc>
          <w:tcPr>
            <w:tcW w:w="17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Unrealized loss on short-term investments </w:t>
              <w:br/>
              <w:t> and cash equivalents, net of tax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8"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7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Foreign currency translation adjustment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8"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7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8"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(17,596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(17,596</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7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1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27,485,685</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8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620,106</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(496,872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123,163</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unaudited condensed consolidated financial statements</w:t>
      </w:r>
    </w:p>
    <w:p>
      <w:pPr>
        <w:pStyle w:val="TextBody"/>
        <w:spacing w:before="0" w:after="0"/>
        <w:jc w:val="left"/>
        <w:rPr/>
      </w:pPr>
      <w:r>
        <w:rPr/>
        <w:t> </w:t>
      </w:r>
    </w:p>
    <w:tbl>
      <w:tblPr>
        <w:tblW w:w="608" w:type="dxa"/>
        <w:jc w:val="left"/>
        <w:tblInd w:w="0" w:type="dxa"/>
        <w:tblCellMar>
          <w:top w:w="28" w:type="dxa"/>
          <w:left w:w="28" w:type="dxa"/>
          <w:bottom w:w="28" w:type="dxa"/>
          <w:right w:w="28" w:type="dxa"/>
        </w:tblCellMar>
      </w:tblPr>
      <w:tblGrid>
        <w:gridCol w:w="271"/>
        <w:gridCol w:w="146"/>
        <w:gridCol w:w="191"/>
      </w:tblGrid>
      <w:tr>
        <w:trPr/>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9</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RxSIGHT, INC.</w:t>
      </w:r>
    </w:p>
    <w:p>
      <w:pPr>
        <w:pStyle w:val="TextBody"/>
        <w:spacing w:before="0" w:after="0"/>
        <w:jc w:val="center"/>
        <w:rPr>
          <w:rFonts w:ascii="Times New Roman;serif" w:hAnsi="Times New Roman;serif"/>
          <w:b/>
          <w:sz w:val="20"/>
        </w:rPr>
      </w:pPr>
      <w:bookmarkStart w:id="7" w:name="condensed_statements_cash_flows"/>
      <w:bookmarkEnd w:id="7"/>
      <w:r>
        <w:rPr>
          <w:rFonts w:ascii="Times New Roman;serif" w:hAnsi="Times New Roman;serif"/>
          <w:b/>
          <w:sz w:val="20"/>
        </w:rPr>
        <w:t>CONDENSED CONSOLIDATED STATEMENTS OF CASH FLOWS (UNAUDITED)</w:t>
      </w:r>
    </w:p>
    <w:p>
      <w:pPr>
        <w:pStyle w:val="TextBody"/>
        <w:pBdr>
          <w:bottom w:val="single" w:sz="12" w:space="1" w:color="000000"/>
        </w:pBdr>
        <w:spacing w:before="0" w:after="0"/>
        <w:jc w:val="center"/>
        <w:rPr>
          <w:rFonts w:ascii="Times New Roman;serif" w:hAnsi="Times New Roman;serif"/>
          <w:b w:val="false"/>
          <w:sz w:val="22"/>
        </w:rPr>
      </w:pPr>
      <w:r>
        <w:rPr>
          <w:rFonts w:ascii="Times New Roman;serif" w:hAnsi="Times New Roman;serif"/>
          <w:b w:val="false"/>
          <w:sz w:val="22"/>
        </w:rPr>
        <w:t>(In thousands)</w:t>
      </w:r>
    </w:p>
    <w:p>
      <w:pPr>
        <w:pStyle w:val="TextBody"/>
        <w:spacing w:before="0" w:after="0"/>
        <w:jc w:val="left"/>
        <w:rPr/>
      </w:pPr>
      <w:r>
        <w:rPr/>
        <w:t> </w:t>
      </w:r>
    </w:p>
    <w:tbl>
      <w:tblPr>
        <w:tblW w:w="8937" w:type="dxa"/>
        <w:jc w:val="left"/>
        <w:tblInd w:w="0" w:type="dxa"/>
        <w:tblCellMar>
          <w:top w:w="28" w:type="dxa"/>
          <w:left w:w="28" w:type="dxa"/>
          <w:bottom w:w="28" w:type="dxa"/>
          <w:right w:w="28" w:type="dxa"/>
        </w:tblCellMar>
      </w:tblPr>
      <w:tblGrid>
        <w:gridCol w:w="5581"/>
        <w:gridCol w:w="146"/>
        <w:gridCol w:w="222"/>
        <w:gridCol w:w="852"/>
        <w:gridCol w:w="188"/>
        <w:gridCol w:w="165"/>
        <w:gridCol w:w="222"/>
        <w:gridCol w:w="750"/>
        <w:gridCol w:w="811"/>
      </w:tblGrid>
      <w:tr>
        <w:trPr/>
        <w:tc>
          <w:tcPr>
            <w:tcW w:w="55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55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9"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811" w:type="dxa"/>
            <w:tcBorders/>
            <w:shd w:fill="auto" w:val="clear"/>
            <w:vAlign w:val="center"/>
          </w:tcPr>
          <w:p>
            <w:pPr>
              <w:pStyle w:val="TableContents"/>
              <w:spacing w:before="0" w:after="0"/>
              <w:ind w:left="0" w:right="0" w:hanging="0"/>
              <w:jc w:val="center"/>
              <w:rPr/>
            </w:pPr>
            <w:r>
              <w:rPr/>
              <w:t> </w:t>
            </w:r>
          </w:p>
        </w:tc>
      </w:tr>
      <w:tr>
        <w:trPr/>
        <w:tc>
          <w:tcPr>
            <w:tcW w:w="55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center"/>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74" w:type="dxa"/>
            <w:gridSpan w:val="2"/>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Net loss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(13,212</w:t>
            </w:r>
          </w:p>
        </w:tc>
        <w:tc>
          <w:tcPr>
            <w:tcW w:w="18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(17,596</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74" w:type="dxa"/>
            <w:gridSpan w:val="2"/>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200"/>
              <w:jc w:val="left"/>
              <w:rPr/>
            </w:pPr>
            <w:r>
              <w:rPr/>
              <w:t> </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955</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1,016</w:t>
            </w:r>
          </w:p>
        </w:tc>
        <w:tc>
          <w:tcPr>
            <w:tcW w:w="811" w:type="dxa"/>
            <w:tcBorders/>
            <w:shd w:fill="auto" w:val="clear"/>
            <w:vAlign w:val="center"/>
          </w:tcPr>
          <w:p>
            <w:pPr>
              <w:pStyle w:val="TableContents"/>
              <w:spacing w:before="0" w:after="0"/>
              <w:ind w:left="0" w:right="0" w:firstLine="200"/>
              <w:jc w:val="left"/>
              <w:rPr/>
            </w:pPr>
            <w:r>
              <w:rPr/>
              <w:t> </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Amortization of right-of-use lease assets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811" w:type="dxa"/>
            <w:tcBorders/>
            <w:shd w:fill="auto" w:val="clear"/>
            <w:vAlign w:val="center"/>
          </w:tcPr>
          <w:p>
            <w:pPr>
              <w:pStyle w:val="TableContents"/>
              <w:spacing w:before="0" w:after="0"/>
              <w:ind w:left="0" w:right="0" w:firstLine="200"/>
              <w:jc w:val="left"/>
              <w:rPr/>
            </w:pPr>
            <w:r>
              <w:rPr/>
              <w:t> </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Amortization of debt issuance costs and premium</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141</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130</w:t>
            </w:r>
          </w:p>
        </w:tc>
        <w:tc>
          <w:tcPr>
            <w:tcW w:w="811" w:type="dxa"/>
            <w:tcBorders/>
            <w:shd w:fill="auto" w:val="clear"/>
            <w:vAlign w:val="center"/>
          </w:tcPr>
          <w:p>
            <w:pPr>
              <w:pStyle w:val="TableContents"/>
              <w:spacing w:before="0" w:after="0"/>
              <w:ind w:left="0" w:right="0" w:firstLine="200"/>
              <w:jc w:val="left"/>
              <w:rPr/>
            </w:pPr>
            <w:r>
              <w:rPr/>
              <w:t> </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Amortization of discount on 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(1,257</w:t>
            </w:r>
          </w:p>
        </w:tc>
        <w:tc>
          <w:tcPr>
            <w:tcW w:w="18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3,295</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2,649</w:t>
            </w:r>
          </w:p>
        </w:tc>
        <w:tc>
          <w:tcPr>
            <w:tcW w:w="811" w:type="dxa"/>
            <w:tcBorders/>
            <w:shd w:fill="auto" w:val="clear"/>
            <w:vAlign w:val="center"/>
          </w:tcPr>
          <w:p>
            <w:pPr>
              <w:pStyle w:val="TableContents"/>
              <w:spacing w:before="0" w:after="0"/>
              <w:ind w:left="0" w:right="0" w:firstLine="200"/>
              <w:jc w:val="left"/>
              <w:rPr/>
            </w:pPr>
            <w:r>
              <w:rPr/>
              <w:t> </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Provision for excess and obsolete inventory</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w:t>
            </w:r>
          </w:p>
        </w:tc>
        <w:tc>
          <w:tcPr>
            <w:tcW w:w="811" w:type="dxa"/>
            <w:tcBorders/>
            <w:shd w:fill="auto" w:val="clear"/>
            <w:vAlign w:val="center"/>
          </w:tcPr>
          <w:p>
            <w:pPr>
              <w:pStyle w:val="TableContents"/>
              <w:spacing w:before="0" w:after="0"/>
              <w:ind w:left="0" w:right="0" w:firstLine="200"/>
              <w:jc w:val="left"/>
              <w:rPr/>
            </w:pPr>
            <w:r>
              <w:rPr/>
              <w:t> </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Change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074" w:type="dxa"/>
            <w:gridSpan w:val="2"/>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400"/>
              <w:jc w:val="left"/>
              <w:rPr/>
            </w:pPr>
            <w:r>
              <w:rPr/>
              <w:t> </w:t>
            </w:r>
          </w:p>
        </w:tc>
      </w:tr>
      <w:tr>
        <w:trPr/>
        <w:tc>
          <w:tcPr>
            <w:tcW w:w="558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(1,712</w:t>
            </w:r>
          </w:p>
        </w:tc>
        <w:tc>
          <w:tcPr>
            <w:tcW w:w="18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(764</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58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Inventories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(3,241</w:t>
            </w:r>
          </w:p>
        </w:tc>
        <w:tc>
          <w:tcPr>
            <w:tcW w:w="18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(530</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58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Prepaid and other assets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(460</w:t>
            </w:r>
          </w:p>
        </w:tc>
        <w:tc>
          <w:tcPr>
            <w:tcW w:w="18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814</w:t>
            </w:r>
          </w:p>
        </w:tc>
        <w:tc>
          <w:tcPr>
            <w:tcW w:w="811" w:type="dxa"/>
            <w:tcBorders/>
            <w:shd w:fill="auto" w:val="clear"/>
            <w:vAlign w:val="center"/>
          </w:tcPr>
          <w:p>
            <w:pPr>
              <w:pStyle w:val="TableContents"/>
              <w:spacing w:before="0" w:after="0"/>
              <w:ind w:left="0" w:right="0" w:firstLine="400"/>
              <w:jc w:val="left"/>
              <w:rPr/>
            </w:pPr>
            <w:r>
              <w:rPr/>
              <w:t> </w:t>
            </w:r>
          </w:p>
        </w:tc>
      </w:tr>
      <w:tr>
        <w:trPr/>
        <w:tc>
          <w:tcPr>
            <w:tcW w:w="558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1,163</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701</w:t>
            </w:r>
          </w:p>
        </w:tc>
        <w:tc>
          <w:tcPr>
            <w:tcW w:w="811" w:type="dxa"/>
            <w:tcBorders/>
            <w:shd w:fill="auto" w:val="clear"/>
            <w:vAlign w:val="center"/>
          </w:tcPr>
          <w:p>
            <w:pPr>
              <w:pStyle w:val="TableContents"/>
              <w:spacing w:before="0" w:after="0"/>
              <w:ind w:left="0" w:right="0" w:firstLine="400"/>
              <w:jc w:val="left"/>
              <w:rPr/>
            </w:pPr>
            <w:r>
              <w:rPr/>
              <w:t> </w:t>
            </w:r>
          </w:p>
        </w:tc>
      </w:tr>
      <w:tr>
        <w:trPr/>
        <w:tc>
          <w:tcPr>
            <w:tcW w:w="558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Accrued expenses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(3,490</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(1,450</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5581" w:type="dxa"/>
            <w:tcBorders/>
            <w:shd w:fill="auto" w:val="clear"/>
            <w:vAlign w:val="center"/>
          </w:tcPr>
          <w:p>
            <w:pPr>
              <w:pStyle w:val="TableContents"/>
              <w:spacing w:before="0" w:after="0"/>
              <w:ind w:left="600" w:right="0" w:hanging="0"/>
              <w:jc w:val="left"/>
              <w:rPr>
                <w:rFonts w:ascii="Times New Roman;serif" w:hAnsi="Times New Roman;serif"/>
                <w:b w:val="false"/>
                <w:sz w:val="15"/>
              </w:rPr>
            </w:pPr>
            <w:r>
              <w:rPr>
                <w:rFonts w:ascii="Times New Roman;serif" w:hAnsi="Times New Roman;serif"/>
                <w:b w:val="false"/>
                <w:sz w:val="15"/>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(17,764</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(14,985</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74" w:type="dxa"/>
            <w:gridSpan w:val="2"/>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Purchase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(747</w:t>
            </w:r>
          </w:p>
        </w:tc>
        <w:tc>
          <w:tcPr>
            <w:tcW w:w="18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(370</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Maturity of 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60,000</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90,000</w:t>
            </w:r>
          </w:p>
        </w:tc>
        <w:tc>
          <w:tcPr>
            <w:tcW w:w="811" w:type="dxa"/>
            <w:tcBorders/>
            <w:shd w:fill="auto" w:val="cle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Purchases of 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(107,618</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(74,771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5581" w:type="dxa"/>
            <w:tcBorders/>
            <w:shd w:fill="auto" w:val="clear"/>
            <w:vAlign w:val="center"/>
          </w:tcPr>
          <w:p>
            <w:pPr>
              <w:pStyle w:val="TableContents"/>
              <w:spacing w:before="0" w:after="0"/>
              <w:ind w:left="600" w:right="0" w:hanging="0"/>
              <w:jc w:val="left"/>
              <w:rPr>
                <w:rFonts w:ascii="Times New Roman;serif" w:hAnsi="Times New Roman;serif"/>
                <w:b w:val="false"/>
                <w:sz w:val="15"/>
              </w:rPr>
            </w:pPr>
            <w:r>
              <w:rPr>
                <w:rFonts w:ascii="Times New Roman;serif" w:hAnsi="Times New Roman;serif"/>
                <w:b w:val="false"/>
                <w:sz w:val="15"/>
              </w:rPr>
              <w:t>Net cash (used in) provided by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(48,365</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14,859</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74" w:type="dxa"/>
            <w:gridSpan w:val="2"/>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Proceeds from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761</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308</w:t>
            </w:r>
          </w:p>
        </w:tc>
        <w:tc>
          <w:tcPr>
            <w:tcW w:w="811" w:type="dxa"/>
            <w:tcBorders/>
            <w:shd w:fill="auto" w:val="cle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Proceeds from issuance of common stock from public offering</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54,050</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Proceeds from issuance of common stock for at-the-market offerings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11,102</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Payments for employee taxes related to stock compensation</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(337</w:t>
            </w:r>
          </w:p>
        </w:tc>
        <w:tc>
          <w:tcPr>
            <w:tcW w:w="18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(362</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Principal payments on finance lease liabilities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8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Payments of deferred offering costs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(230</w:t>
            </w:r>
          </w:p>
        </w:tc>
        <w:tc>
          <w:tcPr>
            <w:tcW w:w="18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firstLine="600"/>
              <w:jc w:val="left"/>
              <w:rPr/>
            </w:pPr>
            <w:r>
              <w:rPr/>
              <w:t> </w:t>
            </w:r>
          </w:p>
        </w:tc>
      </w:tr>
      <w:tr>
        <w:trPr/>
        <w:tc>
          <w:tcPr>
            <w:tcW w:w="5581" w:type="dxa"/>
            <w:tcBorders/>
            <w:shd w:fill="auto" w:val="clear"/>
            <w:vAlign w:val="center"/>
          </w:tcPr>
          <w:p>
            <w:pPr>
              <w:pStyle w:val="TableContents"/>
              <w:spacing w:before="0" w:after="0"/>
              <w:ind w:left="600" w:right="0" w:hanging="0"/>
              <w:jc w:val="left"/>
              <w:rPr>
                <w:rFonts w:ascii="Times New Roman;serif" w:hAnsi="Times New Roman;serif"/>
                <w:b w:val="false"/>
                <w:sz w:val="15"/>
              </w:rPr>
            </w:pPr>
            <w:r>
              <w:rPr>
                <w:rFonts w:ascii="Times New Roman;serif" w:hAnsi="Times New Roman;serif"/>
                <w:b w:val="false"/>
                <w:sz w:val="15"/>
              </w:rPr>
              <w:t>Net cash provided by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52"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65,305</w:t>
            </w:r>
          </w:p>
        </w:tc>
        <w:tc>
          <w:tcPr>
            <w:tcW w:w="188"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50"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w:t>
            </w:r>
          </w:p>
        </w:tc>
        <w:tc>
          <w:tcPr>
            <w:tcW w:w="8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Effect of foreign exchange rate on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(822</w:t>
            </w:r>
          </w:p>
        </w:tc>
        <w:tc>
          <w:tcPr>
            <w:tcW w:w="18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(229</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Cash, cash equivalents and restricted cash - beginning of period</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12,595</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25,172</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Cash, cash equivalents and restricted cash - end of period</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11,773</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24,943</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Supplemental disclosure of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1074" w:type="dxa"/>
            <w:gridSpan w:val="2"/>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200"/>
              <w:jc w:val="left"/>
              <w:rPr/>
            </w:pPr>
            <w:r>
              <w:rPr/>
              <w:t> </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Cash paid for amounts included in the measurement of lease liabilities:</w:t>
            </w:r>
          </w:p>
        </w:tc>
        <w:tc>
          <w:tcPr>
            <w:tcW w:w="146" w:type="dxa"/>
            <w:tcBorders/>
            <w:shd w:fill="auto" w:val="clear"/>
            <w:vAlign w:val="center"/>
          </w:tcPr>
          <w:p>
            <w:pPr>
              <w:pStyle w:val="TableContents"/>
              <w:spacing w:before="0" w:after="0"/>
              <w:ind w:left="0" w:right="0" w:hanging="0"/>
              <w:jc w:val="left"/>
              <w:rPr/>
            </w:pPr>
            <w:r>
              <w:rPr/>
              <w:t> </w:t>
            </w:r>
          </w:p>
        </w:tc>
        <w:tc>
          <w:tcPr>
            <w:tcW w:w="1074" w:type="dxa"/>
            <w:gridSpan w:val="2"/>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400"/>
              <w:jc w:val="left"/>
              <w:rPr/>
            </w:pPr>
            <w:r>
              <w:rPr/>
              <w:t> </w:t>
            </w:r>
          </w:p>
        </w:tc>
      </w:tr>
      <w:tr>
        <w:trPr/>
        <w:tc>
          <w:tcPr>
            <w:tcW w:w="558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Operating cash flows from operating leases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546</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499</w:t>
            </w:r>
          </w:p>
        </w:tc>
        <w:tc>
          <w:tcPr>
            <w:tcW w:w="811" w:type="dxa"/>
            <w:tcBorders/>
            <w:shd w:fill="auto" w:val="clear"/>
            <w:vAlign w:val="center"/>
          </w:tcPr>
          <w:p>
            <w:pPr>
              <w:pStyle w:val="TableContents"/>
              <w:spacing w:before="0" w:after="0"/>
              <w:ind w:left="0" w:right="0" w:firstLine="200"/>
              <w:jc w:val="left"/>
              <w:rPr/>
            </w:pPr>
            <w:r>
              <w:rPr/>
              <w:t> </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Cash paid for income taxes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pPr>
            <w:r>
              <w:rPr/>
              <w:t>—</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firstLine="200"/>
              <w:jc w:val="left"/>
              <w:rPr/>
            </w:pPr>
            <w:r>
              <w:rPr/>
              <w:t> </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Cash paid for interest on financing leases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811" w:type="dxa"/>
            <w:tcBorders/>
            <w:shd w:fill="auto" w:val="clear"/>
            <w:vAlign w:val="center"/>
          </w:tcPr>
          <w:p>
            <w:pPr>
              <w:pStyle w:val="TableContents"/>
              <w:spacing w:before="0" w:after="0"/>
              <w:ind w:left="0" w:right="0" w:firstLine="200"/>
              <w:jc w:val="left"/>
              <w:rPr/>
            </w:pPr>
            <w:r>
              <w:rPr/>
              <w:t> </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Cash paid for interest on term loan</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1,344</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925</w:t>
            </w:r>
          </w:p>
        </w:tc>
        <w:tc>
          <w:tcPr>
            <w:tcW w:w="811" w:type="dxa"/>
            <w:tcBorders/>
            <w:shd w:fill="auto" w:val="cle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Non-cash investing and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74" w:type="dxa"/>
            <w:gridSpan w:val="2"/>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200"/>
              <w:jc w:val="left"/>
              <w:rPr/>
            </w:pPr>
            <w:r>
              <w:rPr/>
              <w:t> </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Right-of-use assets obtained in exchange for lease obligations:</w:t>
            </w:r>
          </w:p>
        </w:tc>
        <w:tc>
          <w:tcPr>
            <w:tcW w:w="146" w:type="dxa"/>
            <w:tcBorders/>
            <w:shd w:fill="auto" w:val="clear"/>
            <w:vAlign w:val="center"/>
          </w:tcPr>
          <w:p>
            <w:pPr>
              <w:pStyle w:val="TableContents"/>
              <w:spacing w:before="0" w:after="0"/>
              <w:ind w:left="0" w:right="0" w:hanging="0"/>
              <w:jc w:val="left"/>
              <w:rPr/>
            </w:pPr>
            <w:r>
              <w:rPr/>
              <w:t> </w:t>
            </w:r>
          </w:p>
        </w:tc>
        <w:tc>
          <w:tcPr>
            <w:tcW w:w="1074" w:type="dxa"/>
            <w:gridSpan w:val="2"/>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400"/>
              <w:jc w:val="left"/>
              <w:rPr/>
            </w:pPr>
            <w:r>
              <w:rPr/>
              <w:t> </w:t>
            </w:r>
          </w:p>
        </w:tc>
      </w:tr>
      <w:tr>
        <w:trPr/>
        <w:tc>
          <w:tcPr>
            <w:tcW w:w="558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Operating lease</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pPr>
            <w:r>
              <w:rPr/>
              <w:t>—</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w:t>
            </w:r>
          </w:p>
        </w:tc>
        <w:tc>
          <w:tcPr>
            <w:tcW w:w="811" w:type="dxa"/>
            <w:tcBorders/>
            <w:shd w:fill="auto" w:val="clear"/>
            <w:vAlign w:val="center"/>
          </w:tcPr>
          <w:p>
            <w:pPr>
              <w:pStyle w:val="TableContents"/>
              <w:spacing w:before="0" w:after="0"/>
              <w:ind w:left="0" w:right="0" w:firstLine="400"/>
              <w:jc w:val="left"/>
              <w:rPr/>
            </w:pPr>
            <w:r>
              <w:rPr/>
              <w:t> </w:t>
            </w:r>
          </w:p>
        </w:tc>
      </w:tr>
      <w:tr>
        <w:trPr/>
        <w:tc>
          <w:tcPr>
            <w:tcW w:w="558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Finance lease</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pPr>
            <w:r>
              <w:rPr/>
              <w:t>—</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192</w:t>
            </w:r>
          </w:p>
        </w:tc>
        <w:tc>
          <w:tcPr>
            <w:tcW w:w="811" w:type="dxa"/>
            <w:tcBorders/>
            <w:shd w:fill="auto" w:val="clear"/>
            <w:vAlign w:val="center"/>
          </w:tcPr>
          <w:p>
            <w:pPr>
              <w:pStyle w:val="TableContents"/>
              <w:spacing w:before="0" w:after="0"/>
              <w:ind w:left="0" w:right="0" w:firstLine="200"/>
              <w:jc w:val="left"/>
              <w:rPr/>
            </w:pPr>
            <w:r>
              <w:rPr/>
              <w:t> </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Lease obligations recorded for right-of-use assets:</w:t>
            </w:r>
          </w:p>
        </w:tc>
        <w:tc>
          <w:tcPr>
            <w:tcW w:w="146" w:type="dxa"/>
            <w:tcBorders/>
            <w:shd w:fill="auto" w:val="clear"/>
            <w:vAlign w:val="center"/>
          </w:tcPr>
          <w:p>
            <w:pPr>
              <w:pStyle w:val="TableContents"/>
              <w:spacing w:before="0" w:after="0"/>
              <w:ind w:left="0" w:right="0" w:hanging="0"/>
              <w:jc w:val="left"/>
              <w:rPr/>
            </w:pPr>
            <w:r>
              <w:rPr/>
              <w:t> </w:t>
            </w:r>
          </w:p>
        </w:tc>
        <w:tc>
          <w:tcPr>
            <w:tcW w:w="1074" w:type="dxa"/>
            <w:gridSpan w:val="2"/>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400"/>
              <w:jc w:val="left"/>
              <w:rPr/>
            </w:pPr>
            <w:r>
              <w:rPr/>
              <w:t> </w:t>
            </w:r>
          </w:p>
        </w:tc>
      </w:tr>
      <w:tr>
        <w:trPr/>
        <w:tc>
          <w:tcPr>
            <w:tcW w:w="558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Operating lease</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pPr>
            <w:r>
              <w:rPr/>
              <w:t>—</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w:t>
            </w:r>
          </w:p>
        </w:tc>
        <w:tc>
          <w:tcPr>
            <w:tcW w:w="811" w:type="dxa"/>
            <w:tcBorders/>
            <w:shd w:fill="auto" w:val="clear"/>
            <w:vAlign w:val="center"/>
          </w:tcPr>
          <w:p>
            <w:pPr>
              <w:pStyle w:val="TableContents"/>
              <w:spacing w:before="0" w:after="0"/>
              <w:ind w:left="0" w:right="0" w:firstLine="400"/>
              <w:jc w:val="left"/>
              <w:rPr/>
            </w:pPr>
            <w:r>
              <w:rPr/>
              <w:t> </w:t>
            </w:r>
          </w:p>
        </w:tc>
      </w:tr>
      <w:tr>
        <w:trPr/>
        <w:tc>
          <w:tcPr>
            <w:tcW w:w="558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Finance lease</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pPr>
            <w:r>
              <w:rPr/>
              <w:t>—</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166</w:t>
            </w:r>
          </w:p>
        </w:tc>
        <w:tc>
          <w:tcPr>
            <w:tcW w:w="811" w:type="dxa"/>
            <w:tcBorders/>
            <w:shd w:fill="auto" w:val="clear"/>
            <w:vAlign w:val="center"/>
          </w:tcPr>
          <w:p>
            <w:pPr>
              <w:pStyle w:val="TableContents"/>
              <w:spacing w:before="0" w:after="0"/>
              <w:ind w:left="0" w:right="0" w:firstLine="200"/>
              <w:jc w:val="left"/>
              <w:rPr/>
            </w:pPr>
            <w:r>
              <w:rPr/>
              <w:t> </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 xml:space="preserve">Acquisition of property and equipment included in accounts payable and accrued expenses </w:t>
              <w:br/>
              <w:t>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259</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197</w:t>
            </w:r>
          </w:p>
        </w:tc>
        <w:tc>
          <w:tcPr>
            <w:tcW w:w="811" w:type="dxa"/>
            <w:tcBorders/>
            <w:shd w:fill="auto" w:val="clear"/>
            <w:vAlign w:val="center"/>
          </w:tcPr>
          <w:p>
            <w:pPr>
              <w:pStyle w:val="TableContents"/>
              <w:spacing w:before="0" w:after="0"/>
              <w:ind w:left="0" w:right="0" w:firstLine="200"/>
              <w:jc w:val="left"/>
              <w:rPr/>
            </w:pPr>
            <w:r>
              <w:rPr/>
              <w:t> </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Deferred offering costs included in accounts payable and accrued liabilities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466</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firstLine="200"/>
              <w:jc w:val="left"/>
              <w:rPr/>
            </w:pPr>
            <w:r>
              <w:rPr/>
              <w:t> </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Reclassification of deferred financing costs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18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unaudited condensed consolidated financial statements.</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10</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RxSIGHT, INC.</w:t>
      </w:r>
    </w:p>
    <w:p>
      <w:pPr>
        <w:pStyle w:val="TextBody"/>
        <w:spacing w:before="0" w:after="0"/>
        <w:jc w:val="center"/>
        <w:rPr>
          <w:rFonts w:ascii="Times New Roman;serif" w:hAnsi="Times New Roman;serif"/>
          <w:b/>
          <w:sz w:val="20"/>
        </w:rPr>
      </w:pPr>
      <w:bookmarkStart w:id="8" w:name="notes_to_condensed_financial_statements"/>
      <w:bookmarkEnd w:id="8"/>
      <w:r>
        <w:rPr>
          <w:rFonts w:ascii="Times New Roman;serif" w:hAnsi="Times New Roman;serif"/>
          <w:b/>
          <w:sz w:val="20"/>
        </w:rPr>
        <w:t>NOTES TO UNAUDITED CONDENSED CONSOLIDATED FINANCIAL STATEMENTS</w:t>
      </w:r>
    </w:p>
    <w:p>
      <w:pPr>
        <w:pStyle w:val="TextBody"/>
        <w:spacing w:before="240" w:after="0"/>
        <w:jc w:val="left"/>
        <w:rPr>
          <w:rFonts w:ascii="Times New Roman;serif" w:hAnsi="Times New Roman;serif"/>
          <w:b/>
          <w:sz w:val="20"/>
        </w:rPr>
      </w:pPr>
      <w:r>
        <w:rPr>
          <w:rFonts w:ascii="Times New Roman;serif" w:hAnsi="Times New Roman;serif"/>
          <w:b/>
          <w:sz w:val="20"/>
        </w:rPr>
        <w:t>Note 1 - Organization and Basis of Presentation</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Description of Business</w:t>
      </w:r>
    </w:p>
    <w:p>
      <w:pPr>
        <w:pStyle w:val="TextBody"/>
        <w:spacing w:before="120" w:after="160"/>
        <w:jc w:val="left"/>
        <w:rPr>
          <w:rFonts w:ascii="Times New Roman" w:hAnsi="Times New Roman"/>
          <w:sz w:val="20"/>
        </w:rPr>
      </w:pPr>
      <w:r>
        <w:rPr>
          <w:rFonts w:ascii="Times New Roman;serif" w:hAnsi="Times New Roman;serif"/>
          <w:b w:val="false"/>
          <w:sz w:val="20"/>
        </w:rPr>
        <w:t>RxSight®, Inc. (the “Company”) is a Delaware corporation headquartered in Aliso Viejo, California with one</w:t>
      </w:r>
      <w:r>
        <w:rPr>
          <w:rFonts w:ascii="Times New Roman" w:hAnsi="Times New Roman"/>
          <w:sz w:val="20"/>
        </w:rPr>
        <w:t xml:space="preserve"> </w:t>
      </w:r>
      <w:r>
        <w:rPr>
          <w:rFonts w:ascii="Times New Roman;serif" w:hAnsi="Times New Roman;serif"/>
          <w:b w:val="false"/>
          <w:sz w:val="20"/>
        </w:rPr>
        <w:t>wholly owned subsidiary located in Amsterdam, Netherlands. The wholly owned subsidiary has a registered branch in the United Kingdom and a wholly owned subsidiary located in Germany. The Company is engaged in the research and development, manufacture and sale of light adjustable intraocular lenses used in cataract surgery along with capital equipment used with the lenses.</w:t>
      </w:r>
      <w:r>
        <w:rPr>
          <w:rFonts w:ascii="Times New Roman" w:hAnsi="Times New Roman"/>
          <w:sz w:val="20"/>
        </w:rPr>
        <w:t xml:space="preserve"> </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Company’s products, which include the light adjustable lens (“LAL®”) and a specially designed machine for delivering light to the eye, the Light Delivery Device (“LDD”), are approved by the United States (“U.S.”) Food and Drug Administration (“FDA”) primarily for sale in the U.S. and have regulatory approval in the U.S., Europe, Canada and Mexico. The Company began marketing its products in 2019. The LAL is a premium intraocular lens (“IOL”) which is partially reimbursable under Medicare. The Company competes with other IOLs in the premium market.</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include the accounts of RxSight, Inc. and its wholly owned subsidiaries, RxSight, B.V. and RxSight GmbH. All significant inter-company balances and transactions have been eliminated in consolidation.</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Basis of Presentation and Principles of Consolidation</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Company’s condensed consolidated financial statements have been prepared in accordance with accounting principles generally accepted in the United States of America (“GAAP”) for interim financial information and pursuant to Form 10-Q and Article 8 of Regulation S-X of the Securities and Exchange Commission (“SEC”). Accordingly, the accompanying unaudited condensed consolidated financial statements do not include all of the information and notes required by GAAP for complete financial statements. The unaudited interim financial statements reflect all adjustments which, in the opinion of management, are necessary for a fair statement of the results for the periods presented. All such adjustments are of a normal and recurring nature. The December 31, 2022 balance sheet data was derived from audited financial statements; however, the accompanying notes to the condensed consolidated financial statements do not include all of the annual disclosures required under GAAP and should be read in conjunction with the audited consolidated financial statements included in the Company’s 2022 Annual Report on Form 10-K filed with the SEC on March 6, 2023. The operating results presented in these unaudited condensed consolidated financial statements are not necessarily indicative of the results that may be expected for any future periods.</w:t>
      </w:r>
    </w:p>
    <w:p>
      <w:pPr>
        <w:pStyle w:val="TextBody"/>
        <w:spacing w:before="120" w:after="160"/>
        <w:jc w:val="left"/>
        <w:rPr>
          <w:rFonts w:ascii="Times New Roman" w:hAnsi="Times New Roman"/>
          <w:sz w:val="20"/>
        </w:rPr>
      </w:pPr>
      <w:r>
        <w:rPr>
          <w:rFonts w:ascii="Times New Roman;serif" w:hAnsi="Times New Roman;serif"/>
          <w:b w:val="false"/>
          <w:i/>
          <w:sz w:val="20"/>
        </w:rPr>
        <w:t>Operating Segments</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sz w:val="20"/>
        </w:rPr>
        <w:t>The Company determined its operating segment on the same basis that it uses to evaluate its performance internally. The Company’s chief operating decision-maker (“CODM”), its Chief Executive Officer, reviews its consolidated operating results for the purpose of allocating resources and evaluating financial performance.</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sz w:val="20"/>
        </w:rPr>
        <w:t>The Company determined that it operates and manages its business (including its non-U.S. subsidiaries) in one</w:t>
      </w:r>
      <w:r>
        <w:rPr>
          <w:rFonts w:ascii="Times New Roman" w:hAnsi="Times New Roman"/>
          <w:sz w:val="20"/>
        </w:rPr>
        <w:t xml:space="preserve"> </w:t>
      </w:r>
      <w:r>
        <w:rPr>
          <w:rFonts w:ascii="Times New Roman;serif" w:hAnsi="Times New Roman;serif"/>
          <w:b w:val="false"/>
          <w:sz w:val="20"/>
        </w:rPr>
        <w:t>reportable segment: the research and development, manufacture and sale of light adjustable lenses and related capital equipment.</w:t>
      </w:r>
      <w:r>
        <w:rPr>
          <w:rFonts w:ascii="Times New Roman" w:hAnsi="Times New Roman"/>
          <w:sz w:val="20"/>
        </w:rPr>
        <w:t xml:space="preserve"> </w:t>
      </w:r>
    </w:p>
    <w:p>
      <w:pPr>
        <w:pStyle w:val="TextBody"/>
        <w:spacing w:before="120" w:after="160"/>
        <w:jc w:val="left"/>
        <w:rPr>
          <w:rFonts w:ascii="Times New Roman;serif" w:hAnsi="Times New Roman;serif"/>
          <w:b w:val="false"/>
          <w:i/>
          <w:sz w:val="20"/>
        </w:rPr>
      </w:pPr>
      <w:r>
        <w:rPr>
          <w:rFonts w:ascii="Times New Roman;serif" w:hAnsi="Times New Roman;serif"/>
          <w:b w:val="false"/>
          <w:i/>
          <w:sz w:val="20"/>
        </w:rPr>
        <w:t>Liquidity</w:t>
      </w:r>
    </w:p>
    <w:p>
      <w:pPr>
        <w:pStyle w:val="TextBody"/>
        <w:spacing w:before="0" w:after="0"/>
        <w:jc w:val="left"/>
        <w:rPr>
          <w:rFonts w:ascii="Times New Roman" w:hAnsi="Times New Roman"/>
          <w:sz w:val="20"/>
        </w:rPr>
      </w:pPr>
      <w:r>
        <w:rPr>
          <w:rFonts w:ascii="Times New Roman;serif" w:hAnsi="Times New Roman;serif"/>
          <w:b w:val="false"/>
          <w:i/>
          <w:sz w:val="20"/>
        </w:rPr>
        <w:t>Shelf Registration Statement</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sz w:val="20"/>
        </w:rPr>
        <w:t>On August 8, 2022, the Company filed a $200.0</w:t>
      </w:r>
      <w:r>
        <w:rPr>
          <w:rFonts w:ascii="Times New Roman" w:hAnsi="Times New Roman"/>
          <w:sz w:val="20"/>
        </w:rPr>
        <w:t xml:space="preserve"> </w:t>
      </w:r>
      <w:r>
        <w:rPr>
          <w:rFonts w:ascii="Times New Roman;serif" w:hAnsi="Times New Roman;serif"/>
          <w:b w:val="false"/>
          <w:sz w:val="20"/>
        </w:rPr>
        <w:t>million shelf registration statement on Form S-3 (“shelf registration statement”) which became effective on August 12, 2022. The shelf registration statement is effective for three years and permits the Company to sell, from time to time, up to $200.0</w:t>
      </w:r>
      <w:r>
        <w:rPr>
          <w:rFonts w:ascii="Times New Roman" w:hAnsi="Times New Roman"/>
          <w:sz w:val="20"/>
        </w:rPr>
        <w:t xml:space="preserve"> </w:t>
      </w:r>
      <w:r>
        <w:rPr>
          <w:rFonts w:ascii="Times New Roman;serif" w:hAnsi="Times New Roman;serif"/>
          <w:b w:val="false"/>
          <w:sz w:val="20"/>
        </w:rPr>
        <w:t>million in aggregate value of common stock, preferred stock, debt securities, warrants, and/or units. The shelf registration statement is intended to provide the Company with flexibility to access additional capital. At the time of filing the shelf registration statement, the</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11</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160"/>
        <w:jc w:val="left"/>
        <w:rPr>
          <w:rFonts w:ascii="Times New Roman" w:hAnsi="Times New Roman"/>
          <w:sz w:val="20"/>
        </w:rPr>
      </w:pPr>
      <w:r>
        <w:rPr>
          <w:rFonts w:ascii="Times New Roman;serif" w:hAnsi="Times New Roman;serif"/>
          <w:b w:val="false"/>
          <w:sz w:val="20"/>
        </w:rPr>
        <w:t>Company also filed a prospectus supplement to sell up to an aggregate value of $50.0</w:t>
      </w:r>
      <w:r>
        <w:rPr>
          <w:rFonts w:ascii="Times New Roman" w:hAnsi="Times New Roman"/>
          <w:sz w:val="20"/>
        </w:rPr>
        <w:t xml:space="preserve"> </w:t>
      </w:r>
      <w:r>
        <w:rPr>
          <w:rFonts w:ascii="Times New Roman;serif" w:hAnsi="Times New Roman;serif"/>
          <w:b w:val="false"/>
          <w:sz w:val="20"/>
        </w:rPr>
        <w:t>million dollars of common stock through an “at-the-market” (“ATM”) offering.</w:t>
      </w:r>
      <w:r>
        <w:rPr>
          <w:rFonts w:ascii="Times New Roman" w:hAnsi="Times New Roman"/>
          <w:sz w:val="20"/>
        </w:rPr>
        <w:t xml:space="preserve">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ATM Offering</w:t>
      </w:r>
    </w:p>
    <w:p>
      <w:pPr>
        <w:pStyle w:val="TextBody"/>
        <w:spacing w:before="120" w:after="160"/>
        <w:jc w:val="left"/>
        <w:rPr>
          <w:rFonts w:ascii="Times New Roman" w:hAnsi="Times New Roman"/>
          <w:sz w:val="20"/>
        </w:rPr>
      </w:pPr>
      <w:r>
        <w:rPr>
          <w:rFonts w:ascii="Times New Roman;serif" w:hAnsi="Times New Roman;serif"/>
          <w:b w:val="false"/>
          <w:sz w:val="20"/>
        </w:rPr>
        <w:t>As of March 31, 2023, through the ATM offering, a total of 1,355,216</w:t>
      </w:r>
      <w:r>
        <w:rPr>
          <w:rFonts w:ascii="Times New Roman" w:hAnsi="Times New Roman"/>
          <w:sz w:val="20"/>
        </w:rPr>
        <w:t xml:space="preserve"> </w:t>
      </w:r>
      <w:r>
        <w:rPr>
          <w:rFonts w:ascii="Times New Roman;serif" w:hAnsi="Times New Roman;serif"/>
          <w:b w:val="false"/>
          <w:sz w:val="20"/>
        </w:rPr>
        <w:t>shares of the Company's common stock, for total net proceeds of $16.9</w:t>
      </w:r>
      <w:r>
        <w:rPr>
          <w:rFonts w:ascii="Times New Roman" w:hAnsi="Times New Roman"/>
          <w:sz w:val="20"/>
        </w:rPr>
        <w:t xml:space="preserve"> </w:t>
      </w:r>
      <w:r>
        <w:rPr>
          <w:rFonts w:ascii="Times New Roman;serif" w:hAnsi="Times New Roman;serif"/>
          <w:b w:val="false"/>
          <w:sz w:val="20"/>
        </w:rPr>
        <w:t>million, have been issued and sold, of which 879,341</w:t>
      </w:r>
      <w:r>
        <w:rPr>
          <w:rFonts w:ascii="Times New Roman" w:hAnsi="Times New Roman"/>
          <w:sz w:val="20"/>
        </w:rPr>
        <w:t xml:space="preserve"> </w:t>
      </w:r>
      <w:r>
        <w:rPr>
          <w:rFonts w:ascii="Times New Roman;serif" w:hAnsi="Times New Roman;serif"/>
          <w:b w:val="false"/>
          <w:sz w:val="20"/>
        </w:rPr>
        <w:t>shares of the Company's common stock, for net proceeds of $10.9</w:t>
      </w:r>
      <w:r>
        <w:rPr>
          <w:rFonts w:ascii="Times New Roman" w:hAnsi="Times New Roman"/>
          <w:sz w:val="20"/>
        </w:rPr>
        <w:t xml:space="preserve"> </w:t>
      </w:r>
      <w:r>
        <w:rPr>
          <w:rFonts w:ascii="Times New Roman;serif" w:hAnsi="Times New Roman;serif"/>
          <w:b w:val="false"/>
          <w:sz w:val="20"/>
        </w:rPr>
        <w:t>million, were sold during the quarter ended March 31, 2023.</w:t>
      </w:r>
      <w:r>
        <w:rPr>
          <w:rFonts w:ascii="Times New Roman" w:hAnsi="Times New Roman"/>
          <w:sz w:val="20"/>
        </w:rPr>
        <w:t xml:space="preserve">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Public Offering</w:t>
      </w:r>
    </w:p>
    <w:p>
      <w:pPr>
        <w:pStyle w:val="TextBody"/>
        <w:spacing w:before="120" w:after="160"/>
        <w:jc w:val="left"/>
        <w:rPr>
          <w:rFonts w:ascii="Times New Roman" w:hAnsi="Times New Roman"/>
          <w:sz w:val="20"/>
        </w:rPr>
      </w:pPr>
      <w:r>
        <w:rPr>
          <w:rFonts w:ascii="Times New Roman;serif" w:hAnsi="Times New Roman;serif"/>
          <w:b w:val="false"/>
          <w:sz w:val="20"/>
        </w:rPr>
        <w:t>On February 7, 2023, the Company entered into an underwriting agreement with BofA Securities, Inc., in which the Company agreed to issue and sell 4,000,000</w:t>
      </w:r>
      <w:r>
        <w:rPr>
          <w:rFonts w:ascii="Times New Roman" w:hAnsi="Times New Roman"/>
          <w:sz w:val="20"/>
        </w:rPr>
        <w:t xml:space="preserve"> </w:t>
      </w:r>
      <w:r>
        <w:rPr>
          <w:rFonts w:ascii="Times New Roman;serif" w:hAnsi="Times New Roman;serif"/>
          <w:b w:val="false"/>
          <w:sz w:val="20"/>
        </w:rPr>
        <w:t>shares of the Company's common stock in a public offering (“Public Offering”), pursuant to the shelf registration statement. The shares of common stock were sold at a price to the public of $12.50</w:t>
      </w:r>
      <w:r>
        <w:rPr>
          <w:rFonts w:ascii="Times New Roman" w:hAnsi="Times New Roman"/>
          <w:sz w:val="20"/>
        </w:rPr>
        <w:t xml:space="preserve"> </w:t>
      </w:r>
      <w:r>
        <w:rPr>
          <w:rFonts w:ascii="Times New Roman;serif" w:hAnsi="Times New Roman;serif"/>
          <w:b w:val="false"/>
          <w:sz w:val="20"/>
        </w:rPr>
        <w:t>per share. Under the terms of the underwriting agreement, the Company also granted the underwriters an option exercisable for 30 days from the date of the underwriting agreement to purchase up to an additional 600,000</w:t>
      </w:r>
      <w:r>
        <w:rPr>
          <w:rFonts w:ascii="Times New Roman" w:hAnsi="Times New Roman"/>
          <w:sz w:val="20"/>
        </w:rPr>
        <w:t xml:space="preserve"> </w:t>
      </w:r>
      <w:r>
        <w:rPr>
          <w:rFonts w:ascii="Times New Roman;serif" w:hAnsi="Times New Roman;serif"/>
          <w:b w:val="false"/>
          <w:sz w:val="20"/>
        </w:rPr>
        <w:t>shares of common stock on the same terms and conditions. The underwriters' option was exercised in full on February 10, 2023 and closed on February 14, 2023. The Company received net proceeds of approximately $53.6</w:t>
      </w:r>
      <w:r>
        <w:rPr>
          <w:rFonts w:ascii="Times New Roman" w:hAnsi="Times New Roman"/>
          <w:sz w:val="20"/>
        </w:rPr>
        <w:t xml:space="preserve"> </w:t>
      </w:r>
      <w:r>
        <w:rPr>
          <w:rFonts w:ascii="Times New Roman;serif" w:hAnsi="Times New Roman;serif"/>
          <w:b w:val="false"/>
          <w:sz w:val="20"/>
        </w:rPr>
        <w:t>million from the Public Offering, after deducting underwriters' discounts and commissions of $3.5</w:t>
      </w:r>
      <w:r>
        <w:rPr>
          <w:rFonts w:ascii="Times New Roman" w:hAnsi="Times New Roman"/>
          <w:sz w:val="20"/>
        </w:rPr>
        <w:t xml:space="preserve"> </w:t>
      </w:r>
      <w:r>
        <w:rPr>
          <w:rFonts w:ascii="Times New Roman;serif" w:hAnsi="Times New Roman;serif"/>
          <w:b w:val="false"/>
          <w:sz w:val="20"/>
        </w:rPr>
        <w:t>million and offering expenses of $0.5</w:t>
      </w:r>
      <w:r>
        <w:rPr>
          <w:rFonts w:ascii="Times New Roman" w:hAnsi="Times New Roman"/>
          <w:sz w:val="20"/>
        </w:rPr>
        <w:t xml:space="preserve"> </w:t>
      </w:r>
      <w:r>
        <w:rPr>
          <w:rFonts w:ascii="Times New Roman;serif" w:hAnsi="Times New Roman;serif"/>
          <w:b w:val="false"/>
          <w:sz w:val="20"/>
        </w:rPr>
        <w:t>million.</w:t>
      </w:r>
    </w:p>
    <w:p>
      <w:pPr>
        <w:pStyle w:val="TextBody"/>
        <w:spacing w:before="120" w:after="160"/>
        <w:jc w:val="left"/>
        <w:rPr>
          <w:rFonts w:ascii="Times New Roman" w:hAnsi="Times New Roman"/>
          <w:sz w:val="20"/>
        </w:rPr>
      </w:pPr>
      <w:r>
        <w:rPr>
          <w:rFonts w:ascii="Times New Roman;serif" w:hAnsi="Times New Roman;serif"/>
          <w:b w:val="false"/>
          <w:sz w:val="20"/>
        </w:rPr>
        <w:t>As of March 31, 2023 and December 31, 2022 the Company had cash, cash equivalents and short-term investments of $153.9</w:t>
      </w:r>
      <w:r>
        <w:rPr>
          <w:rFonts w:ascii="Times New Roman" w:hAnsi="Times New Roman"/>
          <w:sz w:val="20"/>
        </w:rPr>
        <w:t xml:space="preserve"> </w:t>
      </w:r>
      <w:r>
        <w:rPr>
          <w:rFonts w:ascii="Times New Roman;serif" w:hAnsi="Times New Roman;serif"/>
          <w:b w:val="false"/>
          <w:sz w:val="20"/>
        </w:rPr>
        <w:t>million and $105.8</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120" w:after="160"/>
        <w:jc w:val="left"/>
        <w:rPr>
          <w:rFonts w:ascii="Times New Roman" w:hAnsi="Times New Roman"/>
          <w:sz w:val="20"/>
        </w:rPr>
      </w:pPr>
      <w:r>
        <w:rPr>
          <w:rFonts w:ascii="Times New Roman;serif" w:hAnsi="Times New Roman;serif"/>
          <w:b w:val="false"/>
          <w:sz w:val="20"/>
        </w:rPr>
        <w:t>The Company began generating revenue from its principal operations in 2019. The Company has a limited operating history, and the revenue and income potential of the Company’s business and market are unproven. The Company has experienced recurring net losses and negative cash flows from operating activities since its inception. For the three months ended March 31, 2023 and 2022, the Company incurred losses from operations of $13.1</w:t>
      </w:r>
      <w:r>
        <w:rPr>
          <w:rFonts w:ascii="Times New Roman" w:hAnsi="Times New Roman"/>
          <w:sz w:val="20"/>
        </w:rPr>
        <w:t xml:space="preserve"> </w:t>
      </w:r>
      <w:r>
        <w:rPr>
          <w:rFonts w:ascii="Times New Roman;serif" w:hAnsi="Times New Roman;serif"/>
          <w:b w:val="false"/>
          <w:sz w:val="20"/>
        </w:rPr>
        <w:t>million and $16.6</w:t>
      </w:r>
      <w:r>
        <w:rPr>
          <w:rFonts w:ascii="Times New Roman" w:hAnsi="Times New Roman"/>
          <w:sz w:val="20"/>
        </w:rPr>
        <w:t xml:space="preserve"> </w:t>
      </w:r>
      <w:r>
        <w:rPr>
          <w:rFonts w:ascii="Times New Roman;serif" w:hAnsi="Times New Roman;serif"/>
          <w:b w:val="false"/>
          <w:sz w:val="20"/>
        </w:rPr>
        <w:t>million, respectively. Based on the Company’s anticipated sales growth in relation to the anticipated costs associated with, among other things, its continuing research and development activities and the expansion of its sales and marketing activities,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sz w:val="20"/>
        </w:rPr>
        <w:t>The accompanying condensed consolidated financial statements have been prepared assuming the Company will continue as a going concern. The Company believes that existing cash resources will be sufficient to meet projected operating requirements for at least 12 months from the date of issuance of the accompanying condensed consolidated financial statements, though the Company expects to continue to incur operating losses and negative cash flows. The Company plans to continue to fund its losses from operations using its cash, cash equivalents and short-term investments as of March 31, 2023</w:t>
      </w:r>
      <w:r>
        <w:rPr>
          <w:rFonts w:ascii="Times New Roman" w:hAnsi="Times New Roman"/>
          <w:sz w:val="20"/>
        </w:rPr>
        <w:t xml:space="preserve"> </w:t>
      </w:r>
      <w:r>
        <w:rPr>
          <w:rFonts w:ascii="Times New Roman;serif" w:hAnsi="Times New Roman;serif"/>
          <w:b w:val="false"/>
          <w:sz w:val="20"/>
        </w:rPr>
        <w:t>and meet its future capital funding needs through equity or debt financings, other third-party funding, collaborations, strategic alliances and licensing arrangements or a combination of these. 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12</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Note 2 - Summary of Accounting Policies</w:t>
      </w:r>
    </w:p>
    <w:p>
      <w:pPr>
        <w:pStyle w:val="TextBody"/>
        <w:spacing w:before="120" w:after="0"/>
        <w:jc w:val="left"/>
        <w:rPr>
          <w:rFonts w:ascii="Times New Roman" w:hAnsi="Times New Roman"/>
          <w:sz w:val="20"/>
        </w:rPr>
      </w:pPr>
      <w:r>
        <w:rPr>
          <w:rFonts w:ascii="Times New Roman;serif" w:hAnsi="Times New Roman;serif"/>
          <w:b w:val="false"/>
          <w:i/>
          <w:sz w:val="20"/>
        </w:rPr>
        <w:t>Use of Estimates</w:t>
      </w:r>
      <w:r>
        <w:rPr>
          <w:rFonts w:ascii="Times New Roman" w:hAnsi="Times New Roman"/>
          <w:sz w:val="20"/>
        </w:rPr>
        <w:t xml:space="preserve"> </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preparation of consolidated financial statements in conformity with GAAP requires management to make informed estimates, judgments and assumptions that affect the reported amounts in the condensed consolidated financial statements and disclosures in the accompanying notes as of the date of the accompanying condensed consolidated financial statements. On an on-going basis, management evaluates the most critical estimates and assumptions for continued reasonableness. Actual results may differ materially from the estimates used in the preparation of the accompanying condensed consolidated financial statements under different assumptions or conditions.</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Significant Accounting Policies</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There have been no significant changes to the accounting policies during the three months ended March 31, 2023, as compared to the significant accounting policies described in Note 2 of the “Notes to Consolidated Financial Statements” in the Company’s audited consolidated financial statements included in its Annual Report on Form 10-K filed with the SEC on March 6, 2023.</w:t>
      </w:r>
    </w:p>
    <w:p>
      <w:pPr>
        <w:pStyle w:val="TextBody"/>
        <w:spacing w:before="160" w:after="0"/>
        <w:jc w:val="left"/>
        <w:rPr>
          <w:rFonts w:ascii="Times New Roman" w:hAnsi="Times New Roman"/>
          <w:sz w:val="20"/>
        </w:rPr>
      </w:pPr>
      <w:r>
        <w:rPr>
          <w:rFonts w:ascii="Times New Roman;serif" w:hAnsi="Times New Roman;serif"/>
          <w:b w:val="false"/>
          <w:i/>
          <w:sz w:val="20"/>
        </w:rPr>
        <w:t>Cash Equivalents</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sz w:val="20"/>
        </w:rPr>
        <w:t>Cash equivalents consist of investments in money market accounts. The Company considers all highly liquid investments with original maturities of three months or less at the date of purchase that can be liquidated without prior notice or penalty to be cash equivalents.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Times New Roman;serif" w:hAnsi="Times New Roman;serif"/>
          <w:b w:val="false"/>
          <w:i/>
          <w:sz w:val="20"/>
        </w:rPr>
        <w:t>Short-term Investments</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sz w:val="20"/>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2 financial instruments in the fair value hierarchy. Unrealized gains and losses are recorded as a component of Other Comprehensive Loss within Stockholders’ Equity on the condensed consolidated balance sheets. Realized gains and losses are included as other income (expense) in the accompanying Condensed Consolidated Statements of Operations and Comprehensive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r>
        <w:rPr>
          <w:rFonts w:ascii="Times New Roman" w:hAnsi="Times New Roman"/>
          <w:sz w:val="20"/>
        </w:rPr>
        <w:t xml:space="preserve"> </w:t>
      </w:r>
    </w:p>
    <w:p>
      <w:pPr>
        <w:pStyle w:val="TextBody"/>
        <w:spacing w:before="160" w:after="0"/>
        <w:jc w:val="left"/>
        <w:rPr/>
      </w:pPr>
      <w:r>
        <w:rPr/>
        <w:t>•</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 xml:space="preserve">whether the investment has been in a continuous loss position for over 12 months; </w:t>
      </w:r>
    </w:p>
    <w:p>
      <w:pPr>
        <w:pStyle w:val="TextBody"/>
        <w:spacing w:before="160" w:after="0"/>
        <w:jc w:val="left"/>
        <w:rPr/>
      </w:pPr>
      <w:r>
        <w:rPr/>
        <w:t>•</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 xml:space="preserve">the duration to maturity of investments; </w:t>
      </w:r>
    </w:p>
    <w:p>
      <w:pPr>
        <w:pStyle w:val="TextBody"/>
        <w:spacing w:before="160" w:after="0"/>
        <w:jc w:val="left"/>
        <w:rPr/>
      </w:pPr>
      <w:r>
        <w:rPr/>
        <w:t>•</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 xml:space="preserve">intention and ability to hold the investment to maturity and if it is not more likely than not that the Company will be required to sell the investment before recovery of the amortized cost basis; </w:t>
      </w:r>
    </w:p>
    <w:p>
      <w:pPr>
        <w:pStyle w:val="TextBody"/>
        <w:spacing w:before="160" w:after="0"/>
        <w:jc w:val="left"/>
        <w:rPr/>
      </w:pPr>
      <w:r>
        <w:rPr/>
        <w:t>•</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 xml:space="preserve">the credit rating, financial condition and near-term prospects of the issuer; and </w:t>
      </w:r>
    </w:p>
    <w:p>
      <w:pPr>
        <w:pStyle w:val="TextBody"/>
        <w:spacing w:before="160" w:after="0"/>
        <w:jc w:val="left"/>
        <w:rPr/>
      </w:pPr>
      <w:r>
        <w:rPr/>
        <w:t>•</w:t>
      </w:r>
    </w:p>
    <w:p>
      <w:pPr>
        <w:pStyle w:val="TextBody"/>
        <w:spacing w:before="160" w:after="283"/>
        <w:jc w:val="left"/>
        <w:rPr>
          <w:rFonts w:ascii="Times New Roman;serif" w:hAnsi="Times New Roman;serif"/>
          <w:b w:val="false"/>
          <w:sz w:val="20"/>
        </w:rPr>
      </w:pPr>
      <w:r>
        <w:rPr>
          <w:rFonts w:ascii="Times New Roman;serif" w:hAnsi="Times New Roman;serif"/>
          <w:b w:val="false"/>
          <w:sz w:val="20"/>
        </w:rPr>
        <w:t xml:space="preserve">the type of investments made. </w:t>
      </w:r>
    </w:p>
    <w:p>
      <w:pPr>
        <w:pStyle w:val="TextBody"/>
        <w:spacing w:before="120" w:after="160"/>
        <w:jc w:val="left"/>
        <w:rPr>
          <w:rFonts w:ascii="Times New Roman" w:hAnsi="Times New Roman"/>
          <w:sz w:val="20"/>
        </w:rPr>
      </w:pPr>
      <w:r>
        <w:rPr>
          <w:rFonts w:ascii="Times New Roman;serif" w:hAnsi="Times New Roman;serif"/>
          <w:b w:val="false"/>
          <w:sz w:val="20"/>
        </w:rPr>
        <w:t>The Company had $9,000</w:t>
      </w:r>
      <w:r>
        <w:rPr>
          <w:rFonts w:ascii="Times New Roman" w:hAnsi="Times New Roman"/>
          <w:sz w:val="20"/>
        </w:rPr>
        <w:t xml:space="preserve"> </w:t>
      </w:r>
      <w:r>
        <w:rPr>
          <w:rFonts w:ascii="Times New Roman;serif" w:hAnsi="Times New Roman;serif"/>
          <w:b w:val="false"/>
          <w:sz w:val="20"/>
        </w:rPr>
        <w:t>of unrealized gains and $75,000</w:t>
      </w:r>
      <w:r>
        <w:rPr>
          <w:rFonts w:ascii="Times New Roman" w:hAnsi="Times New Roman"/>
          <w:sz w:val="20"/>
        </w:rPr>
        <w:t xml:space="preserve"> </w:t>
      </w:r>
      <w:r>
        <w:rPr>
          <w:rFonts w:ascii="Times New Roman;serif" w:hAnsi="Times New Roman;serif"/>
          <w:b w:val="false"/>
          <w:sz w:val="20"/>
        </w:rPr>
        <w:t>of unrealized losses related to short-term investments as of March 31, 2023 and December 31, 2022, respectively.</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i/>
          <w:sz w:val="20"/>
        </w:rPr>
        <w:t>Concentration of Credit Risk and Other Risks and Uncertainties</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sz w:val="20"/>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13</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160"/>
        <w:jc w:val="left"/>
        <w:rPr>
          <w:rFonts w:ascii="Times New Roman" w:hAnsi="Times New Roman"/>
          <w:sz w:val="20"/>
        </w:rPr>
      </w:pPr>
      <w:r>
        <w:rPr>
          <w:rFonts w:ascii="Times New Roman;serif" w:hAnsi="Times New Roman;serif"/>
          <w:b w:val="false"/>
          <w:sz w:val="20"/>
        </w:rPr>
        <w:t>market funds and U.S. treasury bills. A portion of the Company's operating cash is held in accounts in excess of the Federal Deposit Insurance Corporation (“FDIC”) insurance limits; however, the Company has established guidelines regarding diversification of its investments and their maturities, which are designed to maintain principal and maximize liquidity. The Company has not experienced material losses on cash equivalents and short-term investments.</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sz w:val="20"/>
        </w:rPr>
        <w:t>The Company’s products require approval from the FDA and foreign regulatory agencies before commercial sales can commence. There can be no assurance that the Company’s products will receive any of these required approvals. The denial or delay of such approvals may have a material adverse impact on the Company’s business and may impact business in the future. In addition, after approval by the FDA, there is still an ongoing risk of adverse events that did not appear during the device approval process.</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sz w:val="20"/>
        </w:rPr>
        <w:t>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 uncertainty of market acceptance of the Company's products, product liability and the need to obtain additional financing.</w:t>
      </w:r>
      <w:r>
        <w:rPr>
          <w:rFonts w:ascii="Times New Roman" w:hAnsi="Times New Roman"/>
          <w:sz w:val="20"/>
        </w:rPr>
        <w:t xml:space="preserve"> </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Company is subject to the risks related to the global pandemic associated with COVID-19, including local, state, federal and other world-wide mandates imposed to reduce the spread of the virus which could interrupt or reduce the number of cataract surgeries, limit access to ambulatory surgery centers, doctors’ offices and manufacturing facilities, and the expansion of global lead times, particularly in Europe and Asia, leading to a supply interruption from the Company's suppliers. In addition, the Company is currently experiencing inflation and longer lead times and limited availability in its supply chain for certain components and has continued exposure to price and supply risk related to anticipated purchases of certain commodities, materials and products used in its business.</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Accounts Receivable</w:t>
      </w:r>
    </w:p>
    <w:p>
      <w:pPr>
        <w:pStyle w:val="TextBody"/>
        <w:spacing w:before="120" w:after="160"/>
        <w:jc w:val="left"/>
        <w:rPr>
          <w:rFonts w:ascii="Times New Roman" w:hAnsi="Times New Roman"/>
          <w:sz w:val="20"/>
        </w:rPr>
      </w:pPr>
      <w:r>
        <w:rPr>
          <w:rFonts w:ascii="Times New Roman;serif" w:hAnsi="Times New Roman;serif"/>
          <w:b w:val="false"/>
          <w:sz w:val="20"/>
        </w:rPr>
        <w:t>The Company has a diverse customer base and as of March 31, 2023 and December 31, 2022</w:t>
      </w:r>
      <w:r>
        <w:rPr>
          <w:rFonts w:ascii="Times New Roman" w:hAnsi="Times New Roman"/>
          <w:sz w:val="20"/>
        </w:rPr>
        <w:t xml:space="preserve"> </w:t>
      </w:r>
      <w:r>
        <w:rPr>
          <w:rFonts w:ascii="Times New Roman;serif" w:hAnsi="Times New Roman;serif"/>
          <w:b w:val="false"/>
          <w:sz w:val="20"/>
        </w:rPr>
        <w:t>the Company did not have any customers who individually accounted for greater than 10% of accounts receivable. The Company maintains an allowance for credit losses resulting from the inability of its customers, including ambulatory surgery centers, to make required payments. After evaluation of the collectability of accounts receivable, the Company did not record any significant allowance for credit losses as of March 31, 2023 or December 31, 2022.</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Fair Value of Financial Instruments</w:t>
      </w:r>
    </w:p>
    <w:p>
      <w:pPr>
        <w:pStyle w:val="TextBody"/>
        <w:spacing w:before="120" w:after="160"/>
        <w:jc w:val="left"/>
        <w:rPr>
          <w:rFonts w:ascii="Times New Roman" w:hAnsi="Times New Roman"/>
          <w:sz w:val="20"/>
        </w:rPr>
      </w:pPr>
      <w:r>
        <w:rPr>
          <w:rFonts w:ascii="Times New Roman;serif" w:hAnsi="Times New Roman;serif"/>
          <w:b w:val="false"/>
          <w:sz w:val="20"/>
        </w:rPr>
        <w:t>The Company uses fair value measurements to record fair value adjustments to certain assets and liabilities and to determine fair value disclosures.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sz w:val="20"/>
        </w:rPr>
        <w:t>Level 1—Observable inputs such as unadjusted quoted prices in active markets that are accessible at the measurement date for identical unrestricted assets or liabilities.</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sz w:val="20"/>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sz w:val="20"/>
        </w:rPr>
        <w:t>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14</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160"/>
        <w:jc w:val="left"/>
        <w:rPr>
          <w:rFonts w:ascii="Times New Roman" w:hAnsi="Times New Roman"/>
          <w:sz w:val="20"/>
        </w:rPr>
      </w:pPr>
      <w:r>
        <w:rPr>
          <w:rFonts w:ascii="Times New Roman;serif" w:hAnsi="Times New Roman;serif"/>
          <w:b w:val="false"/>
          <w:sz w:val="20"/>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sz w:val="20"/>
        </w:rPr>
        <w:t>The Company’s financial instruments consist principally of cash, cash equivalents, short-term investments, accounts receivable, accounts payable, operating lease liabilities and a term loan. Cash, cash equivalents, accounts receivable and accounts payable are carried at their estimated fair value because of the short-term nature of these assets and liabilities. The Company’s short-term investments in government securities are carried at fair value, determined based on publicly available quoted market prices for identical securities at the measurement date. The Company believes the fair values of its operating lease liabilities and amended term loan at March 31, 2023 and December 31, 2022</w:t>
      </w:r>
      <w:r>
        <w:rPr>
          <w:rFonts w:ascii="Times New Roman" w:hAnsi="Times New Roman"/>
          <w:sz w:val="20"/>
        </w:rPr>
        <w:t xml:space="preserve"> </w:t>
      </w:r>
      <w:r>
        <w:rPr>
          <w:rFonts w:ascii="Times New Roman;serif" w:hAnsi="Times New Roman;serif"/>
          <w:b w:val="false"/>
          <w:sz w:val="20"/>
        </w:rPr>
        <w:t>approximated their carrying values, based on the borrowing rates that were available for loans with similar terms as of such date.</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Inventories</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pStyle w:val="TextBody"/>
        <w:spacing w:before="160" w:after="160"/>
        <w:jc w:val="left"/>
        <w:rPr>
          <w:rFonts w:ascii="Times New Roman;serif" w:hAnsi="Times New Roman;serif"/>
          <w:b w:val="false"/>
          <w:i/>
          <w:sz w:val="20"/>
        </w:rPr>
      </w:pPr>
      <w:r>
        <w:rPr>
          <w:rFonts w:ascii="Times New Roman;serif" w:hAnsi="Times New Roman;serif"/>
          <w:b w:val="false"/>
          <w:i/>
          <w:sz w:val="20"/>
        </w:rPr>
        <w:t>Leases</w:t>
      </w:r>
    </w:p>
    <w:p>
      <w:pPr>
        <w:pStyle w:val="TextBody"/>
        <w:spacing w:before="120" w:after="160"/>
        <w:jc w:val="left"/>
        <w:rPr>
          <w:rFonts w:ascii="Times New Roman" w:hAnsi="Times New Roman"/>
          <w:sz w:val="20"/>
        </w:rPr>
      </w:pPr>
      <w:r>
        <w:rPr>
          <w:rFonts w:ascii="Times New Roman;serif" w:hAnsi="Times New Roman;serif"/>
          <w:b w:val="false"/>
          <w:sz w:val="20"/>
        </w:rPr>
        <w:t>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(“Commencement Date”) based on the present value of lease 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accompanying condensed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condensed consolidated balance sheets.</w:t>
      </w:r>
      <w:r>
        <w:rPr>
          <w:rFonts w:ascii="Times New Roman" w:hAnsi="Times New Roman"/>
          <w:sz w:val="20"/>
        </w:rPr>
        <w:t xml:space="preserve"> </w:t>
      </w:r>
    </w:p>
    <w:p>
      <w:pPr>
        <w:pStyle w:val="TextBody"/>
        <w:spacing w:before="160" w:after="160"/>
        <w:jc w:val="left"/>
        <w:rPr>
          <w:rFonts w:ascii="Times New Roman;serif" w:hAnsi="Times New Roman;serif"/>
          <w:b w:val="false"/>
          <w:i/>
          <w:sz w:val="20"/>
        </w:rPr>
      </w:pPr>
      <w:r>
        <w:rPr>
          <w:rFonts w:ascii="Times New Roman;serif" w:hAnsi="Times New Roman;serif"/>
          <w:b w:val="false"/>
          <w:i/>
          <w:sz w:val="20"/>
        </w:rPr>
        <w:t>Net Loss per Share</w:t>
      </w:r>
    </w:p>
    <w:p>
      <w:pPr>
        <w:pStyle w:val="TextBody"/>
        <w:spacing w:before="120" w:after="160"/>
        <w:jc w:val="left"/>
        <w:rPr>
          <w:rFonts w:ascii="Times New Roman" w:hAnsi="Times New Roman"/>
          <w:sz w:val="20"/>
        </w:rPr>
      </w:pPr>
      <w:r>
        <w:rPr>
          <w:rFonts w:ascii="Times New Roman;serif" w:hAnsi="Times New Roman;serif"/>
          <w:b w:val="false"/>
          <w:sz w:val="20"/>
        </w:rPr>
        <w:t>Basic net loss per share is computed by dividing net loss attributable to common stockholders by the weighted-average shares of common stock outstanding for the period, without consideration for potentially dilutive securities. Diluted net loss per share is computed by dividing the net loss attributable to common stockholders by the weighted-average shares of common stock and potentially dilutive securities outstanding for the period determined using the treasury-stock and if-converted methods. Diluted net loss per share is calculated by dividing net loss by the weighted-average number of shares of common stock and potential dilutive securities outstanding during the period.</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15</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following outstanding potentially dilutive securities were excluded from the calculation of diluted net loss per share attributable to common stockholders because their impact under the treasury stock method was anti-dilutive for the periods presented: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064"/>
        <w:gridCol w:w="155"/>
        <w:gridCol w:w="991"/>
        <w:gridCol w:w="155"/>
        <w:gridCol w:w="155"/>
        <w:gridCol w:w="155"/>
        <w:gridCol w:w="991"/>
        <w:gridCol w:w="146"/>
        <w:gridCol w:w="393"/>
      </w:tblGrid>
      <w:tr>
        <w:trPr/>
        <w:tc>
          <w:tcPr>
            <w:tcW w:w="706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7064" w:type="dxa"/>
            <w:tcBorders/>
            <w:shd w:fill="auto" w:val="clear"/>
            <w:vAlign w:val="center"/>
          </w:tcPr>
          <w:p>
            <w:pPr>
              <w:pStyle w:val="TableContents"/>
              <w:spacing w:before="0" w:after="0"/>
              <w:ind w:left="0" w:right="0" w:hanging="0"/>
              <w:jc w:val="left"/>
              <w:rPr/>
            </w:pPr>
            <w:r>
              <w:rPr/>
              <w:t> </w:t>
            </w:r>
          </w:p>
        </w:tc>
        <w:tc>
          <w:tcPr>
            <w:tcW w:w="260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3" w:type="dxa"/>
            <w:tcBorders/>
            <w:shd w:fill="auto" w:val="clear"/>
            <w:vAlign w:val="center"/>
          </w:tcPr>
          <w:p>
            <w:pPr>
              <w:pStyle w:val="TableContents"/>
              <w:spacing w:before="0" w:after="0"/>
              <w:ind w:left="0" w:right="0" w:hanging="0"/>
              <w:jc w:val="left"/>
              <w:rPr/>
            </w:pPr>
            <w:r>
              <w:rPr/>
              <w:t> </w:t>
            </w:r>
          </w:p>
        </w:tc>
      </w:tr>
      <w:tr>
        <w:trPr/>
        <w:tc>
          <w:tcPr>
            <w:tcW w:w="70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 w:type="dxa"/>
            <w:tcBorders/>
            <w:shd w:fill="auto" w:val="clear"/>
            <w:vAlign w:val="center"/>
          </w:tcPr>
          <w:p>
            <w:pPr>
              <w:pStyle w:val="TableContents"/>
              <w:spacing w:before="0" w:after="0"/>
              <w:ind w:left="0" w:right="0" w:hanging="0"/>
              <w:jc w:val="center"/>
              <w:rPr/>
            </w:pPr>
            <w:r>
              <w:rPr/>
              <w:t> </w:t>
            </w:r>
          </w:p>
        </w:tc>
        <w:tc>
          <w:tcPr>
            <w:tcW w:w="11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3" w:type="dxa"/>
            <w:tcBorders/>
            <w:shd w:fill="auto" w:val="clear"/>
            <w:vAlign w:val="center"/>
          </w:tcPr>
          <w:p>
            <w:pPr>
              <w:pStyle w:val="TableContents"/>
              <w:spacing w:before="0" w:after="0"/>
              <w:ind w:left="0" w:right="0" w:firstLine="200"/>
              <w:jc w:val="left"/>
              <w:rPr/>
            </w:pPr>
            <w:r>
              <w:rPr/>
              <w:t> </w:t>
            </w:r>
          </w:p>
        </w:tc>
      </w:tr>
      <w:tr>
        <w:trPr/>
        <w:tc>
          <w:tcPr>
            <w:tcW w:w="706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 options issued and outstanding under the Calhoun Vision, Inc. 2006 Stock Plan, Calhoun Vision, Inc. 2015 Equity Incentive Plan and the 2021 Equity Incentive Plan</w:t>
            </w:r>
          </w:p>
        </w:tc>
        <w:tc>
          <w:tcPr>
            <w:tcW w:w="155"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1,814,375</w:t>
            </w:r>
          </w:p>
        </w:tc>
        <w:tc>
          <w:tcPr>
            <w:tcW w:w="155"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1,986,088</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firstLine="200"/>
              <w:jc w:val="left"/>
              <w:rPr/>
            </w:pPr>
            <w:r>
              <w:rPr/>
              <w:t> </w:t>
            </w:r>
          </w:p>
        </w:tc>
      </w:tr>
      <w:tr>
        <w:trPr/>
        <w:tc>
          <w:tcPr>
            <w:tcW w:w="706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stock units issued under the 2021 Equity Incentive Plan</w:t>
            </w:r>
          </w:p>
        </w:tc>
        <w:tc>
          <w:tcPr>
            <w:tcW w:w="155"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478,610</w:t>
            </w:r>
          </w:p>
        </w:tc>
        <w:tc>
          <w:tcPr>
            <w:tcW w:w="155"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53,545</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firstLine="200"/>
              <w:jc w:val="left"/>
              <w:rPr/>
            </w:pPr>
            <w:r>
              <w:rPr/>
              <w:t> </w:t>
            </w:r>
          </w:p>
        </w:tc>
      </w:tr>
      <w:tr>
        <w:trPr/>
        <w:tc>
          <w:tcPr>
            <w:tcW w:w="706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 issuable in offering period under the 2021 Employee Stock Purchase Plan</w:t>
            </w:r>
          </w:p>
        </w:tc>
        <w:tc>
          <w:tcPr>
            <w:tcW w:w="155"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51,180</w:t>
            </w:r>
          </w:p>
        </w:tc>
        <w:tc>
          <w:tcPr>
            <w:tcW w:w="155"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46,733</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r>
    </w:tbl>
    <w:p>
      <w:pPr>
        <w:pStyle w:val="TextBody"/>
        <w:spacing w:before="40" w:after="0"/>
        <w:jc w:val="left"/>
        <w:rPr/>
      </w:pPr>
      <w:r>
        <w:rPr/>
        <w:t> </w:t>
      </w:r>
    </w:p>
    <w:p>
      <w:pPr>
        <w:pStyle w:val="TextBody"/>
        <w:spacing w:before="40" w:after="0"/>
        <w:jc w:val="left"/>
        <w:rPr>
          <w:rFonts w:ascii="Times New Roman;serif" w:hAnsi="Times New Roman;serif"/>
          <w:b w:val="false"/>
          <w:i/>
          <w:sz w:val="20"/>
        </w:rPr>
      </w:pPr>
      <w:r>
        <w:rPr>
          <w:rFonts w:ascii="Times New Roman;serif" w:hAnsi="Times New Roman;serif"/>
          <w:b w:val="false"/>
          <w:i/>
          <w:sz w:val="20"/>
        </w:rPr>
        <w:t>Revenue Recognition</w:t>
      </w:r>
    </w:p>
    <w:p>
      <w:pPr>
        <w:pStyle w:val="TextBody"/>
        <w:spacing w:before="120" w:after="160"/>
        <w:jc w:val="left"/>
        <w:rPr>
          <w:rFonts w:ascii="Times New Roman" w:hAnsi="Times New Roman"/>
          <w:sz w:val="20"/>
        </w:rPr>
      </w:pPr>
      <w:r>
        <w:rPr>
          <w:rFonts w:ascii="Times New Roman;serif" w:hAnsi="Times New Roman;serif"/>
          <w:b w:val="false"/>
          <w:sz w:val="20"/>
        </w:rPr>
        <w:t>The Company’s revenue is generated from the sale of LALs used in cataract surgery along with a specifically designed machine for delivering light to the eye, the LDD, to adjust the lens post-surgery, as needed. Revenue is recognized from sales of products in the U.S. and Europe. Customers are primarily comprised of ambulatory surgery centers, hospitals, and physician private practices.</w:t>
      </w:r>
      <w:r>
        <w:rPr>
          <w:rFonts w:ascii="Times New Roman" w:hAnsi="Times New Roman"/>
          <w:sz w:val="20"/>
        </w:rPr>
        <w:t xml:space="preserve"> </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Company recognizes revenues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pStyle w:val="TextBody"/>
        <w:spacing w:before="120" w:after="160"/>
        <w:jc w:val="left"/>
        <w:rPr>
          <w:rFonts w:ascii="Times New Roman" w:hAnsi="Times New Roman"/>
          <w:sz w:val="20"/>
        </w:rPr>
      </w:pPr>
      <w:r>
        <w:rPr>
          <w:rFonts w:ascii="Times New Roman;serif" w:hAnsi="Times New Roman;serif"/>
          <w:b w:val="false"/>
          <w:sz w:val="20"/>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(i) LDD capital asset and related components, (ii) training and (iii)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Specifically, revenue for the LDD capital asset is recognized at a point in time at installation. Revenue for training is also recorded at a point in time, generally 60 days after installation. Revenue for the device service is recognized ratably over time after installation, generally 12 months. The Company has determined that the transaction price is the invoice price, net of adjustments, if any. The allocation to the separate performance</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16</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pStyle w:val="TextBody"/>
        <w:spacing w:before="120" w:after="160"/>
        <w:jc w:val="left"/>
        <w:rPr>
          <w:rFonts w:ascii="Times New Roman" w:hAnsi="Times New Roman"/>
          <w:sz w:val="20"/>
        </w:rPr>
      </w:pPr>
      <w:r>
        <w:rPr>
          <w:rFonts w:ascii="Times New Roman;serif" w:hAnsi="Times New Roman;serif"/>
          <w:b w:val="false"/>
          <w:sz w:val="20"/>
        </w:rPr>
        <w:t>LALs are generally held at customer sites on consignment. The single performance obligation is satisfied, and revenue from sales is recognized for LALs upon customer notification that the LALs have been implanted in a patient. For the three months ended March 31, 2023 and 2022, credits related to returns and rebates on list prices were not significant.</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sz w:val="20"/>
        </w:rPr>
        <w:t>The Company has adopted the practical expedient permitting the direct expensing of costs incurred to obtain contracts where the amortization of such costs would occur over one year or less, and it applied to substantially all the Company’s contracts. Revenue for service agreements is recognized ratably over the term of each contract.</w:t>
      </w:r>
      <w:r>
        <w:rPr>
          <w:rFonts w:ascii="Times New Roman" w:hAnsi="Times New Roman"/>
          <w:sz w:val="20"/>
        </w:rPr>
        <w:t xml:space="preserve"> </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For the three months ended March 31, 2023 and 2022, contract liabilities from sales activity recorded as liabilities on the Company's condensed consolidated balance sheets consisted of the following (in thousands):</w:t>
      </w:r>
    </w:p>
    <w:p>
      <w:pPr>
        <w:pStyle w:val="TextBody"/>
        <w:spacing w:before="0" w:after="0"/>
        <w:jc w:val="left"/>
        <w:rPr/>
      </w:pPr>
      <w:r>
        <w:rPr/>
        <w:t> </w:t>
      </w:r>
    </w:p>
    <w:tbl>
      <w:tblPr>
        <w:tblW w:w="7517" w:type="dxa"/>
        <w:jc w:val="left"/>
        <w:tblInd w:w="0" w:type="dxa"/>
        <w:tblCellMar>
          <w:top w:w="28" w:type="dxa"/>
          <w:left w:w="28" w:type="dxa"/>
          <w:bottom w:w="28" w:type="dxa"/>
          <w:right w:w="28" w:type="dxa"/>
        </w:tblCellMar>
      </w:tblPr>
      <w:tblGrid>
        <w:gridCol w:w="4246"/>
        <w:gridCol w:w="146"/>
        <w:gridCol w:w="300"/>
        <w:gridCol w:w="962"/>
        <w:gridCol w:w="207"/>
        <w:gridCol w:w="207"/>
        <w:gridCol w:w="300"/>
        <w:gridCol w:w="812"/>
        <w:gridCol w:w="146"/>
        <w:gridCol w:w="191"/>
      </w:tblGrid>
      <w:tr>
        <w:trPr/>
        <w:tc>
          <w:tcPr>
            <w:tcW w:w="4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7" w:type="dxa"/>
            <w:tcBorders/>
            <w:shd w:fill="auto" w:val="clear"/>
            <w:vAlign w:val="center"/>
          </w:tcPr>
          <w:p>
            <w:pPr>
              <w:pStyle w:val="TableContents"/>
              <w:spacing w:before="0" w:after="0"/>
              <w:ind w:left="0" w:right="0" w:hanging="0"/>
              <w:jc w:val="center"/>
              <w:rPr/>
            </w:pPr>
            <w:r>
              <w:rPr/>
              <w:t> </w:t>
            </w:r>
          </w:p>
        </w:tc>
        <w:tc>
          <w:tcPr>
            <w:tcW w:w="11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gridSpan w:val="2"/>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LDD (including training)</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6,475</w:t>
            </w:r>
          </w:p>
        </w:tc>
        <w:tc>
          <w:tcPr>
            <w:tcW w:w="207"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4,569</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LAL</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10,395</w:t>
            </w:r>
          </w:p>
        </w:tc>
        <w:tc>
          <w:tcPr>
            <w:tcW w:w="207"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8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4,105</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warranty, service contracts, and accessories</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619</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3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17,489</w:t>
            </w:r>
          </w:p>
        </w:tc>
        <w:tc>
          <w:tcPr>
            <w:tcW w:w="2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3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8,942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160"/>
        <w:jc w:val="left"/>
        <w:rPr>
          <w:rFonts w:ascii="Times New Roman" w:hAnsi="Times New Roman"/>
          <w:sz w:val="20"/>
        </w:rPr>
      </w:pPr>
      <w:r>
        <w:rPr>
          <w:rFonts w:ascii="Times New Roman;serif" w:hAnsi="Times New Roman;serif"/>
          <w:b w:val="false"/>
          <w:sz w:val="20"/>
        </w:rPr>
        <w:t>As of March 31, 2023 and December 31, 2022, the Company recognized contract liabilities on its condensed consolidated balance sheets of $1,388,000</w:t>
      </w:r>
      <w:r>
        <w:rPr>
          <w:rFonts w:ascii="Times New Roman" w:hAnsi="Times New Roman"/>
          <w:sz w:val="20"/>
        </w:rPr>
        <w:t xml:space="preserve"> </w:t>
      </w:r>
      <w:r>
        <w:rPr>
          <w:rFonts w:ascii="Times New Roman;serif" w:hAnsi="Times New Roman;serif"/>
          <w:b w:val="false"/>
          <w:sz w:val="20"/>
        </w:rPr>
        <w:t>and $1,187,000</w:t>
      </w:r>
      <w:r>
        <w:rPr>
          <w:rFonts w:ascii="Times New Roman" w:hAnsi="Times New Roman"/>
          <w:sz w:val="20"/>
        </w:rPr>
        <w:t xml:space="preserve"> </w:t>
      </w:r>
      <w:r>
        <w:rPr>
          <w:rFonts w:ascii="Times New Roman;serif" w:hAnsi="Times New Roman;serif"/>
          <w:b w:val="false"/>
          <w:sz w:val="20"/>
        </w:rPr>
        <w:t>respectively, related to the service agreement performance obligation. Revenue for service agreements is recognized ratably over the term of each contract.</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following table represents the contract liabilities from sales activity for the three months ended March 31, 2023 and 2022, respectively (in thousands):</w:t>
      </w:r>
    </w:p>
    <w:tbl>
      <w:tblPr>
        <w:tblW w:w="7272" w:type="dxa"/>
        <w:jc w:val="left"/>
        <w:tblInd w:w="0" w:type="dxa"/>
        <w:tblCellMar>
          <w:top w:w="28" w:type="dxa"/>
          <w:left w:w="28" w:type="dxa"/>
          <w:bottom w:w="28" w:type="dxa"/>
          <w:right w:w="28" w:type="dxa"/>
        </w:tblCellMar>
      </w:tblPr>
      <w:tblGrid>
        <w:gridCol w:w="3241"/>
        <w:gridCol w:w="146"/>
        <w:gridCol w:w="329"/>
        <w:gridCol w:w="892"/>
        <w:gridCol w:w="259"/>
        <w:gridCol w:w="228"/>
        <w:gridCol w:w="329"/>
        <w:gridCol w:w="751"/>
        <w:gridCol w:w="166"/>
        <w:gridCol w:w="931"/>
      </w:tblGrid>
      <w:tr>
        <w:trPr/>
        <w:tc>
          <w:tcPr>
            <w:tcW w:w="3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ind w:left="0" w:right="0" w:firstLine="800"/>
              <w:rPr>
                <w:sz w:val="4"/>
                <w:szCs w:val="4"/>
              </w:rPr>
            </w:pPr>
            <w:r>
              <w:rPr>
                <w:sz w:val="4"/>
                <w:szCs w:val="4"/>
              </w:rPr>
            </w:r>
          </w:p>
        </w:tc>
      </w:tr>
      <w:tr>
        <w:trPr/>
        <w:tc>
          <w:tcPr>
            <w:tcW w:w="3241" w:type="dxa"/>
            <w:tcBorders/>
            <w:shd w:fill="auto" w:val="clear"/>
            <w:vAlign w:val="center"/>
          </w:tcPr>
          <w:p>
            <w:pPr>
              <w:pStyle w:val="TableContents"/>
              <w:spacing w:before="0" w:after="0"/>
              <w:ind w:left="8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left"/>
              <w:rPr/>
            </w:pPr>
            <w:r>
              <w:rPr/>
              <w:t> </w:t>
            </w:r>
          </w:p>
        </w:tc>
      </w:tr>
      <w:tr>
        <w:trPr/>
        <w:tc>
          <w:tcPr>
            <w:tcW w:w="3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8" w:type="dxa"/>
            <w:tcBorders/>
            <w:shd w:fill="auto" w:val="clear"/>
            <w:vAlign w:val="center"/>
          </w:tcPr>
          <w:p>
            <w:pPr>
              <w:pStyle w:val="TableContents"/>
              <w:spacing w:before="0" w:after="0"/>
              <w:ind w:left="0" w:right="0" w:hanging="0"/>
              <w:jc w:val="center"/>
              <w:rPr/>
            </w:pPr>
            <w:r>
              <w:rPr/>
              <w:t> </w:t>
            </w:r>
          </w:p>
        </w:tc>
        <w:tc>
          <w:tcPr>
            <w:tcW w:w="10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pPr>
            <w:r>
              <w:rPr/>
              <w:t> </w:t>
            </w:r>
          </w:p>
        </w:tc>
      </w:tr>
      <w:tr>
        <w:trPr/>
        <w:tc>
          <w:tcPr>
            <w:tcW w:w="3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1" w:type="dxa"/>
            <w:gridSpan w:val="2"/>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8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r>
      <w:tr>
        <w:trPr/>
        <w:tc>
          <w:tcPr>
            <w:tcW w:w="3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1,191</w:t>
            </w:r>
          </w:p>
        </w:tc>
        <w:tc>
          <w:tcPr>
            <w:tcW w:w="25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540</w:t>
            </w:r>
          </w:p>
        </w:tc>
        <w:tc>
          <w:tcPr>
            <w:tcW w:w="16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center"/>
              <w:rPr/>
            </w:pPr>
            <w:r>
              <w:rPr/>
              <w:t> </w:t>
            </w:r>
          </w:p>
        </w:tc>
      </w:tr>
      <w:tr>
        <w:trPr/>
        <w:tc>
          <w:tcPr>
            <w:tcW w:w="3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Additions during the period</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795</w:t>
            </w:r>
          </w:p>
        </w:tc>
        <w:tc>
          <w:tcPr>
            <w:tcW w:w="25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w:t>
            </w:r>
          </w:p>
        </w:tc>
        <w:tc>
          <w:tcPr>
            <w:tcW w:w="16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r>
      <w:tr>
        <w:trPr/>
        <w:tc>
          <w:tcPr>
            <w:tcW w:w="3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recognized during the period</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8" w:type="dxa"/>
            <w:tcBorders/>
            <w:shd w:fill="auto" w:val="clear"/>
            <w:vAlign w:val="center"/>
          </w:tcPr>
          <w:p>
            <w:pPr>
              <w:pStyle w:val="TableContents"/>
              <w:spacing w:before="0" w:after="0"/>
              <w:ind w:left="0" w:right="0" w:hanging="0"/>
              <w:jc w:val="left"/>
              <w:rPr/>
            </w:pPr>
            <w:r>
              <w:rPr/>
              <w:t> </w:t>
            </w:r>
          </w:p>
        </w:tc>
        <w:tc>
          <w:tcPr>
            <w:tcW w:w="3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left"/>
              <w:rPr/>
            </w:pPr>
            <w:r>
              <w:rPr/>
              <w:t> </w:t>
            </w:r>
          </w:p>
        </w:tc>
      </w:tr>
      <w:tr>
        <w:trPr/>
        <w:tc>
          <w:tcPr>
            <w:tcW w:w="3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1,388</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3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r>
    </w:tbl>
    <w:p>
      <w:pPr>
        <w:pStyle w:val="TextBody"/>
        <w:spacing w:before="120" w:after="160"/>
        <w:jc w:val="left"/>
        <w:rPr>
          <w:rFonts w:ascii="Times New Roman;serif" w:hAnsi="Times New Roman;serif"/>
          <w:b w:val="false"/>
          <w:sz w:val="20"/>
        </w:rPr>
      </w:pPr>
      <w:r>
        <w:rPr>
          <w:rFonts w:ascii="Times New Roman;serif" w:hAnsi="Times New Roman;serif"/>
          <w:b w:val="false"/>
          <w:sz w:val="20"/>
        </w:rPr>
        <w:t>For the three months ended March 31, 2023 and 2022, the Company did not have any customers who individually accounted for greater than 10% of revenue.</w:t>
      </w:r>
    </w:p>
    <w:p>
      <w:pPr>
        <w:pStyle w:val="TextBody"/>
        <w:spacing w:before="120" w:after="160"/>
        <w:jc w:val="left"/>
        <w:rPr>
          <w:rFonts w:ascii="Times New Roman;serif" w:hAnsi="Times New Roman;serif"/>
          <w:b w:val="false"/>
          <w:i/>
          <w:sz w:val="20"/>
        </w:rPr>
      </w:pPr>
      <w:r>
        <w:rPr>
          <w:rFonts w:ascii="Times New Roman;serif" w:hAnsi="Times New Roman;serif"/>
          <w:b w:val="false"/>
          <w:i/>
          <w:sz w:val="20"/>
        </w:rPr>
        <w:t>Stock-Based Compensation Expense</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Company has three equity incentive compensation plans, the Calhoun Vision, Inc. 2006 Stock Plan (“2006 Plan”), the Calhoun Vision, Inc. 2015 Equity Incentive Plan (“2015 Plan”), and the 2021 Equity Incentive Plan (“2021 Plan”), which are collectively referred to as the (“Equity Plans”). The Company also has an employee stock purchase plan, the 2021 Employee Stock Purchase Plan (“2021 ESPP”).</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purpose of the 2021 Plan and 2021 ESPP is to provide a means by which eligible participants may be given an opportunity to benefit from increases in the value of the common stock in order to retain or procure the services of the employees, members of the board of directors of the Company (the “Board”) and consultants and provide them with an incentive to promote the Company’s success and accomplish corporate goals.</w:t>
      </w:r>
    </w:p>
    <w:p>
      <w:pPr>
        <w:pStyle w:val="TextBody"/>
        <w:spacing w:before="120" w:after="160"/>
        <w:jc w:val="left"/>
        <w:rPr>
          <w:rFonts w:ascii="Times New Roman" w:hAnsi="Times New Roman"/>
          <w:sz w:val="20"/>
        </w:rPr>
      </w:pPr>
      <w:r>
        <w:rPr>
          <w:rFonts w:ascii="Times New Roman;serif" w:hAnsi="Times New Roman;serif"/>
          <w:b w:val="false"/>
          <w:sz w:val="20"/>
        </w:rPr>
        <w:t>Stock option awards are granted with an exercise price of no less than 100% of estimated fair market value on the date of grant. Time based awards generally vest over four years as follows, subject to the optionee’s continuing</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17</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service, (i) one fourth of the total number of shares vest and become exercisable on the one-year anniversary; 1/48th of the total number of shares subject to the option vest and become exercisable on each monthly anniversary thereafter for the remaining three years, or (ii) 1/48th of the total number of shares subject to the option vest and become exercisable each month over four years.</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Prior to the Company's shares being traded on the Nasdaq Global Market, the fair value of the Company’s common stock was determined by the Board at the time of each option grant by considering a number of objective and subjective factors. These factors included the valuation of a select group of public peer group companies within the medical device industry that focus on technological advances and development that the Board believed were comparable to the Company’s operations. Operating and financial performance, the lack of liquidity of the common stock and trends in the broader economy and medical device industry also impacted the determination of the fair value of the common stock. In addition, the Company regularly engaged a third-party valuation specialist to assist with estimates related to the valuation of the Company’s common stock. For all grants subsequent to the Company's shares being traded on the Nasdaq Global Market in July 2021, the fair value of common stock was determined by using the closing price per share of common stock as reported on the Nasdaq Global Market.</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In determining the fair value of the stock options granted, the Company uses the Black-Scholes option-pricing model. The Black-Scholes option-pricing model requires the use of assumptions about a number of variables, such as the fair market value of the Company’s common stock, expected term, expected volatility, the risk-free interest rate, and dividend yield as discussed below. Each of these inputs is subjective and generally requires significant judgment.</w:t>
      </w:r>
    </w:p>
    <w:p>
      <w:pPr>
        <w:pStyle w:val="TextBody"/>
        <w:spacing w:before="240" w:after="0"/>
        <w:jc w:val="left"/>
        <w:rPr>
          <w:rFonts w:ascii="Times New Roman" w:hAnsi="Times New Roman"/>
          <w:sz w:val="20"/>
        </w:rPr>
      </w:pPr>
      <w:r>
        <w:rPr>
          <w:rFonts w:ascii="Times New Roman;serif" w:hAnsi="Times New Roman;serif"/>
          <w:b w:val="false"/>
          <w:i/>
          <w:sz w:val="20"/>
        </w:rPr>
        <w:t>Expected term</w:t>
      </w:r>
      <w:r>
        <w:rPr>
          <w:rFonts w:ascii="Times New Roman" w:hAnsi="Times New Roman"/>
          <w:sz w:val="20"/>
        </w:rPr>
        <w:t>—</w:t>
      </w:r>
      <w:r>
        <w:rPr>
          <w:rFonts w:ascii="Times New Roman;serif" w:hAnsi="Times New Roman;serif"/>
          <w:b w:val="false"/>
          <w:sz w:val="20"/>
        </w:rPr>
        <w:t>The Company’s expected term represents the period that the Company’s stock-based awards are expected to be outstanding. The Company used the simplified method (based on the mid-point between the vesting date and the end of the contractual term) to determine the expected term.</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i/>
          <w:sz w:val="20"/>
        </w:rPr>
        <w:t>Expected volatility</w:t>
      </w:r>
      <w:r>
        <w:rPr>
          <w:rFonts w:ascii="Times New Roman" w:hAnsi="Times New Roman"/>
          <w:sz w:val="20"/>
        </w:rPr>
        <w:t>—</w:t>
      </w:r>
      <w:r>
        <w:rPr>
          <w:rFonts w:ascii="Times New Roman;serif" w:hAnsi="Times New Roman;serif"/>
          <w:b w:val="false"/>
          <w:sz w:val="20"/>
        </w:rPr>
        <w:t>Prior to the completion of the Company</w:t>
      </w:r>
      <w:r>
        <w:rPr>
          <w:rFonts w:ascii="Times New Roman" w:hAnsi="Times New Roman"/>
          <w:sz w:val="20"/>
        </w:rPr>
        <w:t>’</w:t>
      </w:r>
      <w:r>
        <w:rPr>
          <w:rFonts w:ascii="Times New Roman;serif" w:hAnsi="Times New Roman;serif"/>
          <w:b w:val="false"/>
          <w:sz w:val="20"/>
        </w:rPr>
        <w:t>s initial public offering (“IPO”), when the Company was privately held and did not have any trading history for its common stock, the expected volatility was estimated based on the average historical volatilities for comparable publicly traded medical device companies over a period equal to the expected term of the stock option grants.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pStyle w:val="TextBody"/>
        <w:spacing w:before="240" w:after="0"/>
        <w:jc w:val="left"/>
        <w:rPr>
          <w:rFonts w:ascii="Times New Roman" w:hAnsi="Times New Roman"/>
          <w:sz w:val="20"/>
        </w:rPr>
      </w:pPr>
      <w:r>
        <w:rPr>
          <w:rFonts w:ascii="Times New Roman;serif" w:hAnsi="Times New Roman;serif"/>
          <w:b w:val="false"/>
          <w:i/>
          <w:sz w:val="20"/>
        </w:rPr>
        <w:t>Risk-free interest rate</w:t>
      </w:r>
      <w:r>
        <w:rPr>
          <w:rFonts w:ascii="Times New Roman" w:hAnsi="Times New Roman"/>
          <w:sz w:val="20"/>
        </w:rPr>
        <w:t>—</w:t>
      </w:r>
      <w:r>
        <w:rPr>
          <w:rFonts w:ascii="Times New Roman;serif" w:hAnsi="Times New Roman;serif"/>
          <w:b w:val="false"/>
          <w:sz w:val="20"/>
        </w:rPr>
        <w:t>The risk-free interest rate used is based on the published U.S. Department of Treasury interest rates in effect at the time of stock option grant for zero coupon U.S. Treasury notes with maturities approximating each grant’s expected term.</w:t>
      </w:r>
    </w:p>
    <w:p>
      <w:pPr>
        <w:pStyle w:val="TextBody"/>
        <w:spacing w:before="240" w:after="0"/>
        <w:jc w:val="left"/>
        <w:rPr>
          <w:rFonts w:ascii="Times New Roman" w:hAnsi="Times New Roman"/>
          <w:sz w:val="20"/>
        </w:rPr>
      </w:pPr>
      <w:r>
        <w:rPr>
          <w:rFonts w:ascii="Times New Roman;serif" w:hAnsi="Times New Roman;serif"/>
          <w:b w:val="false"/>
          <w:i/>
          <w:sz w:val="20"/>
        </w:rPr>
        <w:t>Dividend yield</w:t>
      </w:r>
      <w:r>
        <w:rPr>
          <w:rFonts w:ascii="Times New Roman" w:hAnsi="Times New Roman"/>
          <w:sz w:val="20"/>
        </w:rPr>
        <w:t>—</w:t>
      </w:r>
      <w:r>
        <w:rPr>
          <w:rFonts w:ascii="Times New Roman;serif" w:hAnsi="Times New Roman;serif"/>
          <w:b w:val="false"/>
          <w:sz w:val="20"/>
        </w:rPr>
        <w:t>The Company has never paid dividends on its common stock and has no plans to pay dividends on its common stock. Therefore, the Company used an expected dividend yield of zero.</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Recent Accounting Pronouncements</w:t>
      </w:r>
    </w:p>
    <w:p>
      <w:pPr>
        <w:pStyle w:val="TextBody"/>
        <w:spacing w:before="160" w:after="0"/>
        <w:jc w:val="left"/>
        <w:rPr>
          <w:rFonts w:ascii="Times New Roman" w:hAnsi="Times New Roman"/>
          <w:sz w:val="20"/>
        </w:rPr>
      </w:pPr>
      <w:r>
        <w:rPr>
          <w:rFonts w:ascii="Times New Roman;serif" w:hAnsi="Times New Roman;serif"/>
          <w:b w:val="false"/>
          <w:sz w:val="20"/>
        </w:rPr>
        <w:t>Changes to GAAP are established by the Financial Accounting Standards Board (“FASB”) in the form of accounting standards updates (“ASU”). There have been no recent accounting pronouncements, changes in accounting pronouncements or recently adopted accounting guidance during the three months ended March 31, 2023</w:t>
      </w:r>
      <w:r>
        <w:rPr>
          <w:rFonts w:ascii="Times New Roman" w:hAnsi="Times New Roman"/>
          <w:sz w:val="20"/>
        </w:rPr>
        <w:t xml:space="preserve"> </w:t>
      </w:r>
      <w:r>
        <w:rPr>
          <w:rFonts w:ascii="Times New Roman;serif" w:hAnsi="Times New Roman;serif"/>
          <w:b w:val="false"/>
          <w:sz w:val="20"/>
        </w:rPr>
        <w:t>that are of significance or potential significance to the Company.</w:t>
      </w:r>
      <w:r>
        <w:rPr>
          <w:rFonts w:ascii="Times New Roman" w:hAnsi="Times New Roman"/>
          <w:sz w:val="20"/>
        </w:rPr>
        <w:t xml:space="preserve"> </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Emerging Growth Company Status</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 revised accounting standards on the relevant effective dates on which adoption of such standards is required for other public companies that are not emerging growth companies.</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18</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Note 3 – Short-Term Investments</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Short-term investments, principally U.S. Treasury bills, are available-for-sale and consisted of the following (in thousands):</w:t>
      </w:r>
    </w:p>
    <w:p>
      <w:pPr>
        <w:pStyle w:val="TextBody"/>
        <w:spacing w:before="0" w:after="0"/>
        <w:jc w:val="left"/>
        <w:rPr/>
      </w:pPr>
      <w:r>
        <w:rPr/>
        <w:t> </w:t>
      </w:r>
    </w:p>
    <w:tbl>
      <w:tblPr>
        <w:tblW w:w="8153" w:type="dxa"/>
        <w:jc w:val="left"/>
        <w:tblInd w:w="0" w:type="dxa"/>
        <w:tblCellMar>
          <w:top w:w="28" w:type="dxa"/>
          <w:left w:w="28" w:type="dxa"/>
          <w:bottom w:w="28" w:type="dxa"/>
          <w:right w:w="28" w:type="dxa"/>
        </w:tblCellMar>
      </w:tblPr>
      <w:tblGrid>
        <w:gridCol w:w="2011"/>
        <w:gridCol w:w="146"/>
        <w:gridCol w:w="301"/>
        <w:gridCol w:w="1124"/>
        <w:gridCol w:w="146"/>
        <w:gridCol w:w="146"/>
        <w:gridCol w:w="938"/>
        <w:gridCol w:w="938"/>
        <w:gridCol w:w="146"/>
        <w:gridCol w:w="146"/>
        <w:gridCol w:w="408"/>
        <w:gridCol w:w="1512"/>
        <w:gridCol w:w="191"/>
      </w:tblGrid>
      <w:tr>
        <w:trPr/>
        <w:tc>
          <w:tcPr>
            <w:tcW w:w="2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51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0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Unrealized Gain, Net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Estimated 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142,918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142,927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8142" w:type="dxa"/>
        <w:jc w:val="left"/>
        <w:tblInd w:w="0" w:type="dxa"/>
        <w:tblCellMar>
          <w:top w:w="28" w:type="dxa"/>
          <w:left w:w="28" w:type="dxa"/>
          <w:bottom w:w="28" w:type="dxa"/>
          <w:right w:w="28" w:type="dxa"/>
        </w:tblCellMar>
      </w:tblPr>
      <w:tblGrid>
        <w:gridCol w:w="2011"/>
        <w:gridCol w:w="146"/>
        <w:gridCol w:w="338"/>
        <w:gridCol w:w="1087"/>
        <w:gridCol w:w="146"/>
        <w:gridCol w:w="146"/>
        <w:gridCol w:w="662"/>
        <w:gridCol w:w="1183"/>
        <w:gridCol w:w="166"/>
        <w:gridCol w:w="146"/>
        <w:gridCol w:w="455"/>
        <w:gridCol w:w="1465"/>
        <w:gridCol w:w="191"/>
      </w:tblGrid>
      <w:tr>
        <w:trPr/>
        <w:tc>
          <w:tcPr>
            <w:tcW w:w="2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9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Unrealized Loss, Net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Estimated 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3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94,043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93,968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160"/>
        <w:jc w:val="left"/>
        <w:rPr>
          <w:rFonts w:ascii="Times New Roman" w:hAnsi="Times New Roman"/>
          <w:sz w:val="20"/>
        </w:rPr>
      </w:pPr>
      <w:r>
        <w:rPr>
          <w:rFonts w:ascii="Times New Roman;serif" w:hAnsi="Times New Roman;serif"/>
          <w:b w:val="false"/>
          <w:sz w:val="20"/>
        </w:rPr>
        <w:t>All available-for-sale securities held as of March 31, 2023 and December 31, 2022</w:t>
      </w:r>
      <w:r>
        <w:rPr>
          <w:rFonts w:ascii="Times New Roman" w:hAnsi="Times New Roman"/>
          <w:sz w:val="20"/>
        </w:rPr>
        <w:t xml:space="preserve"> </w:t>
      </w:r>
      <w:r>
        <w:rPr>
          <w:rFonts w:ascii="Times New Roman;serif" w:hAnsi="Times New Roman;serif"/>
          <w:b w:val="false"/>
          <w:sz w:val="20"/>
        </w:rPr>
        <w:t>had a maturity of less than one year. The Company has classified all marketable securities, regardless of maturity, as short-term investments based upon the Company’s ability and intent to use any and all of those marketable securities to satisfy the Company’s liquidity requirements.</w:t>
      </w:r>
    </w:p>
    <w:p>
      <w:pPr>
        <w:pStyle w:val="TextBody"/>
        <w:spacing w:before="160" w:after="0"/>
        <w:jc w:val="left"/>
        <w:rPr>
          <w:rFonts w:ascii="Times New Roman;serif" w:hAnsi="Times New Roman;serif"/>
          <w:b/>
          <w:sz w:val="20"/>
        </w:rPr>
      </w:pPr>
      <w:r>
        <w:rPr>
          <w:rFonts w:ascii="Times New Roman;serif" w:hAnsi="Times New Roman;serif"/>
          <w:b/>
          <w:sz w:val="20"/>
        </w:rPr>
        <w:t>Note 4 – Inventories</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Inventories consisted of the following (in thousands):</w:t>
      </w:r>
    </w:p>
    <w:p>
      <w:pPr>
        <w:pStyle w:val="TextBody"/>
        <w:spacing w:before="0" w:after="0"/>
        <w:jc w:val="left"/>
        <w:rPr/>
      </w:pPr>
      <w:r>
        <w:rPr/>
        <w:t> </w:t>
      </w:r>
    </w:p>
    <w:tbl>
      <w:tblPr>
        <w:tblW w:w="6820" w:type="dxa"/>
        <w:jc w:val="left"/>
        <w:tblInd w:w="0" w:type="dxa"/>
        <w:tblCellMar>
          <w:top w:w="28" w:type="dxa"/>
          <w:left w:w="28" w:type="dxa"/>
          <w:bottom w:w="28" w:type="dxa"/>
          <w:right w:w="28" w:type="dxa"/>
        </w:tblCellMar>
      </w:tblPr>
      <w:tblGrid>
        <w:gridCol w:w="3916"/>
        <w:gridCol w:w="146"/>
        <w:gridCol w:w="232"/>
        <w:gridCol w:w="743"/>
        <w:gridCol w:w="166"/>
        <w:gridCol w:w="146"/>
        <w:gridCol w:w="299"/>
        <w:gridCol w:w="961"/>
        <w:gridCol w:w="211"/>
      </w:tblGrid>
      <w:tr>
        <w:trPr/>
        <w:tc>
          <w:tcPr>
            <w:tcW w:w="3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211" w:type="dxa"/>
            <w:tcBorders/>
            <w:shd w:fill="auto" w:val="clear"/>
            <w:vAlign w:val="center"/>
          </w:tcPr>
          <w:p>
            <w:pPr>
              <w:pStyle w:val="TableContents"/>
              <w:spacing w:before="0" w:after="0"/>
              <w:ind w:left="0" w:right="0" w:hanging="0"/>
              <w:jc w:val="center"/>
              <w:rPr/>
            </w:pPr>
            <w:r>
              <w:rPr/>
              <w:t> </w:t>
            </w:r>
          </w:p>
        </w:tc>
      </w:tr>
      <w:tr>
        <w:trPr/>
        <w:tc>
          <w:tcPr>
            <w:tcW w:w="3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6,408</w:t>
            </w:r>
          </w:p>
        </w:tc>
        <w:tc>
          <w:tcPr>
            <w:tcW w:w="211" w:type="dxa"/>
            <w:tcBorders/>
            <w:shd w:fill="auto" w:val="clear"/>
            <w:vAlign w:val="center"/>
          </w:tcPr>
          <w:p>
            <w:pPr>
              <w:pStyle w:val="TableContents"/>
              <w:spacing w:before="0" w:after="0"/>
              <w:ind w:left="0" w:right="0" w:hanging="0"/>
              <w:jc w:val="left"/>
              <w:rPr/>
            </w:pPr>
            <w:r>
              <w:rPr/>
              <w:t> </w:t>
            </w:r>
          </w:p>
        </w:tc>
      </w:tr>
      <w:tr>
        <w:trPr/>
        <w:tc>
          <w:tcPr>
            <w:tcW w:w="3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6,494</w:t>
            </w:r>
          </w:p>
        </w:tc>
        <w:tc>
          <w:tcPr>
            <w:tcW w:w="211" w:type="dxa"/>
            <w:tcBorders/>
            <w:shd w:fill="auto" w:val="clear"/>
            <w:vAlign w:val="center"/>
          </w:tcPr>
          <w:p>
            <w:pPr>
              <w:pStyle w:val="TableContents"/>
              <w:spacing w:before="0" w:after="0"/>
              <w:ind w:left="0" w:right="0" w:hanging="0"/>
              <w:jc w:val="left"/>
              <w:rPr/>
            </w:pPr>
            <w:r>
              <w:rPr/>
              <w:t> </w:t>
            </w:r>
          </w:p>
        </w:tc>
      </w:tr>
      <w:tr>
        <w:trPr/>
        <w:tc>
          <w:tcPr>
            <w:tcW w:w="3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Work-in-process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15,469</w:t>
            </w:r>
          </w:p>
        </w:tc>
        <w:tc>
          <w:tcPr>
            <w:tcW w:w="211" w:type="dxa"/>
            <w:tcBorders/>
            <w:shd w:fill="auto" w:val="clear"/>
            <w:vAlign w:val="center"/>
          </w:tcPr>
          <w:p>
            <w:pPr>
              <w:pStyle w:val="TableContents"/>
              <w:spacing w:before="0" w:after="0"/>
              <w:ind w:left="0" w:right="0" w:hanging="0"/>
              <w:jc w:val="left"/>
              <w:rPr/>
            </w:pPr>
            <w:r>
              <w:rPr/>
              <w:t> </w:t>
            </w:r>
          </w:p>
        </w:tc>
      </w:tr>
      <w:tr>
        <w:trPr/>
        <w:tc>
          <w:tcPr>
            <w:tcW w:w="3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reserve for excess and obsolete inventory</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14,835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160"/>
        <w:jc w:val="left"/>
        <w:rPr>
          <w:rFonts w:ascii="Times New Roman" w:hAnsi="Times New Roman"/>
          <w:sz w:val="20"/>
        </w:rPr>
      </w:pPr>
      <w:r>
        <w:rPr>
          <w:rFonts w:ascii="Times New Roman;serif" w:hAnsi="Times New Roman;serif"/>
          <w:b w:val="false"/>
          <w:sz w:val="20"/>
        </w:rPr>
        <w:t>At March 31, 2023 and December 31, 2022, finished goods included $3.3</w:t>
      </w:r>
      <w:r>
        <w:rPr>
          <w:rFonts w:ascii="Times New Roman" w:hAnsi="Times New Roman"/>
          <w:sz w:val="20"/>
        </w:rPr>
        <w:t xml:space="preserve"> </w:t>
      </w:r>
      <w:r>
        <w:rPr>
          <w:rFonts w:ascii="Times New Roman;serif" w:hAnsi="Times New Roman;serif"/>
          <w:b w:val="false"/>
          <w:sz w:val="20"/>
        </w:rPr>
        <w:t>million and $2.8</w:t>
      </w:r>
      <w:r>
        <w:rPr>
          <w:rFonts w:ascii="Times New Roman" w:hAnsi="Times New Roman"/>
          <w:sz w:val="20"/>
        </w:rPr>
        <w:t xml:space="preserve"> </w:t>
      </w:r>
      <w:r>
        <w:rPr>
          <w:rFonts w:ascii="Times New Roman;serif" w:hAnsi="Times New Roman;serif"/>
          <w:b w:val="false"/>
          <w:sz w:val="20"/>
        </w:rPr>
        <w:t>million of inventory held on consignment at customer sites, respectively.</w:t>
      </w:r>
    </w:p>
    <w:p>
      <w:pPr>
        <w:pStyle w:val="TextBody"/>
        <w:spacing w:before="0" w:after="120"/>
        <w:jc w:val="left"/>
        <w:rPr>
          <w:rFonts w:ascii="Times New Roman;serif" w:hAnsi="Times New Roman;serif"/>
          <w:b/>
          <w:sz w:val="20"/>
        </w:rPr>
      </w:pPr>
      <w:r>
        <w:rPr>
          <w:rFonts w:ascii="Times New Roman;serif" w:hAnsi="Times New Roman;serif"/>
          <w:b/>
          <w:sz w:val="20"/>
        </w:rPr>
        <w:t>Note 5 – Fair Value Measurements</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table and disclosures for the periods presented below (in thousands) present the Company’s assets and liabilities measured at fair value on a recurring basis and indicate the fair value hierarchy of the valuation techniques utilized by the Company to determine such fair value. The Company did not have any assets or liabilities measured at fair value on a recurring basis within Level 3 fair value measurements.</w:t>
      </w:r>
    </w:p>
    <w:tbl>
      <w:tblPr>
        <w:tblW w:w="6003" w:type="dxa"/>
        <w:jc w:val="left"/>
        <w:tblInd w:w="0" w:type="dxa"/>
        <w:tblCellMar>
          <w:top w:w="28" w:type="dxa"/>
          <w:left w:w="28" w:type="dxa"/>
          <w:bottom w:w="28" w:type="dxa"/>
          <w:right w:w="28" w:type="dxa"/>
        </w:tblCellMar>
      </w:tblPr>
      <w:tblGrid>
        <w:gridCol w:w="2116"/>
        <w:gridCol w:w="146"/>
        <w:gridCol w:w="211"/>
        <w:gridCol w:w="571"/>
        <w:gridCol w:w="146"/>
        <w:gridCol w:w="146"/>
        <w:gridCol w:w="211"/>
        <w:gridCol w:w="781"/>
        <w:gridCol w:w="146"/>
        <w:gridCol w:w="146"/>
        <w:gridCol w:w="211"/>
        <w:gridCol w:w="781"/>
        <w:gridCol w:w="391"/>
      </w:tblGrid>
      <w:tr>
        <w:trPr/>
        <w:tc>
          <w:tcPr>
            <w:tcW w:w="21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1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Level I</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Level II</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5,386</w:t>
            </w:r>
          </w:p>
        </w:tc>
        <w:tc>
          <w:tcPr>
            <w:tcW w:w="391" w:type="dxa"/>
            <w:tcBorders/>
            <w:shd w:fill="auto" w:val="clear"/>
            <w:vAlign w:val="center"/>
          </w:tcPr>
          <w:p>
            <w:pPr>
              <w:pStyle w:val="TableContents"/>
              <w:spacing w:before="0" w:after="0"/>
              <w:ind w:left="0" w:right="0" w:hanging="0"/>
              <w:jc w:val="left"/>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142,927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142,927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1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 at fair value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5,386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142,927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148,313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tbl>
      <w:tblPr>
        <w:tblW w:w="5698" w:type="dxa"/>
        <w:jc w:val="left"/>
        <w:tblInd w:w="0" w:type="dxa"/>
        <w:tblCellMar>
          <w:top w:w="28" w:type="dxa"/>
          <w:left w:w="28" w:type="dxa"/>
          <w:bottom w:w="28" w:type="dxa"/>
          <w:right w:w="28" w:type="dxa"/>
        </w:tblCellMar>
      </w:tblPr>
      <w:tblGrid>
        <w:gridCol w:w="2116"/>
        <w:gridCol w:w="146"/>
        <w:gridCol w:w="211"/>
        <w:gridCol w:w="571"/>
        <w:gridCol w:w="146"/>
        <w:gridCol w:w="146"/>
        <w:gridCol w:w="211"/>
        <w:gridCol w:w="676"/>
        <w:gridCol w:w="146"/>
        <w:gridCol w:w="146"/>
        <w:gridCol w:w="211"/>
        <w:gridCol w:w="781"/>
        <w:gridCol w:w="191"/>
      </w:tblGrid>
      <w:tr>
        <w:trPr/>
        <w:tc>
          <w:tcPr>
            <w:tcW w:w="21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1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4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Level I</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Level II</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8,909</w:t>
            </w:r>
          </w:p>
        </w:tc>
        <w:tc>
          <w:tcPr>
            <w:tcW w:w="191" w:type="dxa"/>
            <w:tcBorders/>
            <w:shd w:fill="auto" w:val="clear"/>
            <w:vAlign w:val="center"/>
          </w:tcPr>
          <w:p>
            <w:pPr>
              <w:pStyle w:val="TableContents"/>
              <w:spacing w:before="0" w:after="0"/>
              <w:ind w:left="0" w:right="0" w:hanging="0"/>
              <w:jc w:val="left"/>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93,968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93,968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 at fair value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93,968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102,877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19</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Note 6 – Term Loan</w:t>
      </w:r>
    </w:p>
    <w:p>
      <w:pPr>
        <w:pStyle w:val="TextBody"/>
        <w:spacing w:before="120" w:after="160"/>
        <w:jc w:val="left"/>
        <w:rPr>
          <w:rFonts w:ascii="Times New Roman" w:hAnsi="Times New Roman"/>
          <w:sz w:val="20"/>
        </w:rPr>
      </w:pPr>
      <w:r>
        <w:rPr>
          <w:rFonts w:ascii="Times New Roman;serif" w:hAnsi="Times New Roman;serif"/>
          <w:b w:val="false"/>
          <w:sz w:val="20"/>
        </w:rPr>
        <w:t>In October 2020, the Company entered into a loan facility (“Term Loan”) with an initial draw of $25.0</w:t>
      </w:r>
      <w:r>
        <w:rPr>
          <w:rFonts w:ascii="Times New Roman" w:hAnsi="Times New Roman"/>
          <w:sz w:val="20"/>
        </w:rPr>
        <w:t xml:space="preserve"> </w:t>
      </w:r>
      <w:r>
        <w:rPr>
          <w:rFonts w:ascii="Times New Roman;serif" w:hAnsi="Times New Roman;serif"/>
          <w:b w:val="false"/>
          <w:sz w:val="20"/>
        </w:rPr>
        <w:t>million. Proceeds were used to help fund the Company’s ongoing operations. As part of the Term Loan, Oxford Finance LLC (“Oxford Finance”) committed to providing further loans of up to $35.0</w:t>
      </w:r>
      <w:r>
        <w:rPr>
          <w:rFonts w:ascii="Times New Roman" w:hAnsi="Times New Roman"/>
          <w:sz w:val="20"/>
        </w:rPr>
        <w:t xml:space="preserve"> </w:t>
      </w:r>
      <w:r>
        <w:rPr>
          <w:rFonts w:ascii="Times New Roman;serif" w:hAnsi="Times New Roman;serif"/>
          <w:b w:val="false"/>
          <w:sz w:val="20"/>
        </w:rPr>
        <w:t>million to the Company at its election (or for one specific draw, upon the occurrence of a revenue milestone) during various draw periods in the future, provided the Company is not in default at the time of the additional loan draws. In March 2021, the Company drew an additional $5.0</w:t>
      </w:r>
      <w:r>
        <w:rPr>
          <w:rFonts w:ascii="Times New Roman" w:hAnsi="Times New Roman"/>
          <w:sz w:val="20"/>
        </w:rPr>
        <w:t xml:space="preserve"> </w:t>
      </w:r>
      <w:r>
        <w:rPr>
          <w:rFonts w:ascii="Times New Roman;serif" w:hAnsi="Times New Roman;serif"/>
          <w:b w:val="false"/>
          <w:sz w:val="20"/>
        </w:rPr>
        <w:t>million from the facility for the purpose of funding ongoing operations. In June 2021, the Company drew an additional $10.0</w:t>
      </w:r>
      <w:r>
        <w:rPr>
          <w:rFonts w:ascii="Times New Roman" w:hAnsi="Times New Roman"/>
          <w:sz w:val="20"/>
        </w:rPr>
        <w:t xml:space="preserve"> </w:t>
      </w:r>
      <w:r>
        <w:rPr>
          <w:rFonts w:ascii="Times New Roman;serif" w:hAnsi="Times New Roman;serif"/>
          <w:b w:val="false"/>
          <w:sz w:val="20"/>
        </w:rPr>
        <w:t>million from the facility for the purpose of funding ongoing operations.</w:t>
      </w:r>
    </w:p>
    <w:p>
      <w:pPr>
        <w:pStyle w:val="TextBody"/>
        <w:spacing w:before="120" w:after="160"/>
        <w:jc w:val="left"/>
        <w:rPr>
          <w:rFonts w:ascii="Times New Roman" w:hAnsi="Times New Roman"/>
          <w:sz w:val="20"/>
        </w:rPr>
      </w:pPr>
      <w:r>
        <w:rPr>
          <w:rFonts w:ascii="Times New Roman;serif" w:hAnsi="Times New Roman;serif"/>
          <w:b w:val="false"/>
          <w:sz w:val="20"/>
        </w:rPr>
        <w:t>On May 3, 2022, the Company entered into a Second Amendment (“Second Amendment”) to the Term Loan (as amended through the Second Amendment, the (“Amended Term Loan”). The Amended Term Loan increased the loan and security agreement to $60.0</w:t>
      </w:r>
      <w:r>
        <w:rPr>
          <w:rFonts w:ascii="Times New Roman" w:hAnsi="Times New Roman"/>
          <w:sz w:val="20"/>
        </w:rPr>
        <w:t xml:space="preserve"> </w:t>
      </w:r>
      <w:r>
        <w:rPr>
          <w:rFonts w:ascii="Times New Roman;serif" w:hAnsi="Times New Roman;serif"/>
          <w:b w:val="false"/>
          <w:sz w:val="20"/>
        </w:rPr>
        <w:t>million, of which $40.0</w:t>
      </w:r>
      <w:r>
        <w:rPr>
          <w:rFonts w:ascii="Times New Roman" w:hAnsi="Times New Roman"/>
          <w:sz w:val="20"/>
        </w:rPr>
        <w:t xml:space="preserve"> </w:t>
      </w:r>
      <w:r>
        <w:rPr>
          <w:rFonts w:ascii="Times New Roman;serif" w:hAnsi="Times New Roman;serif"/>
          <w:b w:val="false"/>
          <w:sz w:val="20"/>
        </w:rPr>
        <w:t>million was fully funded as of May 3, 2022 from the original term loan. Under the Amended Term Loan, the Company may borrow an additional amount of up to $10.0</w:t>
      </w:r>
      <w:r>
        <w:rPr>
          <w:rFonts w:ascii="Times New Roman" w:hAnsi="Times New Roman"/>
          <w:sz w:val="20"/>
        </w:rPr>
        <w:t xml:space="preserve"> </w:t>
      </w:r>
      <w:r>
        <w:rPr>
          <w:rFonts w:ascii="Times New Roman;serif" w:hAnsi="Times New Roman;serif"/>
          <w:b w:val="false"/>
          <w:sz w:val="20"/>
        </w:rPr>
        <w:t>million through June 30, 2023, upon satisfaction of the applicable drawdown conditions and achieves sufficient trailing twelve-month sales as provided in the agreement for the measurement period ending March 31, 2023. Subject to the terms and conditions of the Amended Term Loan, the Company may also borrow an additional amount of up to $10.0</w:t>
      </w:r>
      <w:r>
        <w:rPr>
          <w:rFonts w:ascii="Times New Roman" w:hAnsi="Times New Roman"/>
          <w:sz w:val="20"/>
        </w:rPr>
        <w:t xml:space="preserve"> </w:t>
      </w:r>
      <w:r>
        <w:rPr>
          <w:rFonts w:ascii="Times New Roman;serif" w:hAnsi="Times New Roman;serif"/>
          <w:b w:val="false"/>
          <w:sz w:val="20"/>
        </w:rPr>
        <w:t>million through September 30, 2023, upon satisfaction of the applicable drawdown conditions and achievement of sufficient trailing twelve-month sales as provided in the agreement for the measurement period ending June 30, 2023. The Amended Term Loan bears interest at a rate per annum equal to the greater of (i) 9.25% or (ii) 1-Month Term Secured Overnight Financing Rate (“SOFR”) (or, if greater, 0.16%) plus an applicable margin of 9.09%. If there is an event of default under the Amended Term Loan additional interest of 5% applies.</w:t>
      </w:r>
      <w:r>
        <w:rPr>
          <w:rFonts w:ascii="Times New Roman" w:hAnsi="Times New Roman"/>
          <w:sz w:val="20"/>
        </w:rPr>
        <w:t xml:space="preserve"> </w:t>
      </w:r>
      <w:r>
        <w:rPr>
          <w:rFonts w:ascii="Times New Roman;serif" w:hAnsi="Times New Roman;serif"/>
          <w:b w:val="false"/>
          <w:sz w:val="20"/>
        </w:rPr>
        <w:t>The Amended Term Loan extends the maturity date of the loan and security agreement, which was due to expire on October 1, 2025, to February 1, 2027. The Company refers to its $60.0</w:t>
      </w:r>
      <w:r>
        <w:rPr>
          <w:rFonts w:ascii="Times New Roman" w:hAnsi="Times New Roman"/>
          <w:sz w:val="20"/>
        </w:rPr>
        <w:t xml:space="preserve"> </w:t>
      </w:r>
      <w:r>
        <w:rPr>
          <w:rFonts w:ascii="Times New Roman;serif" w:hAnsi="Times New Roman;serif"/>
          <w:b w:val="false"/>
          <w:sz w:val="20"/>
        </w:rPr>
        <w:t>million Amended Term Loan as its credit facility. The Amended Term Loan was recorded as a debt modification.</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Amended Term Loan is secured by substantially all of the Company's personal property other than its intellectual property, but includes any accounts receivable, other amounts owed and any proceeds of intellectual property. The Company also entered into a negative pledge arrangement with the collateral agent and lenders where the Company agreed not to encumber any of its intellectual property. The Amended Term Loan also includes certain customary representations and warranties, affirmative and negative covenants, and events of default, including a financial performance-to-plan covenant that requires the Company to achieve certain minimum net sales, measured on a trailing twelve-month basis.</w:t>
      </w:r>
    </w:p>
    <w:p>
      <w:pPr>
        <w:pStyle w:val="TextBody"/>
        <w:spacing w:before="120" w:after="160"/>
        <w:jc w:val="left"/>
        <w:rPr>
          <w:rFonts w:ascii="Times New Roman" w:hAnsi="Times New Roman"/>
          <w:sz w:val="20"/>
        </w:rPr>
      </w:pPr>
      <w:r>
        <w:rPr>
          <w:rFonts w:ascii="Times New Roman;serif" w:hAnsi="Times New Roman;serif"/>
          <w:b w:val="false"/>
          <w:sz w:val="20"/>
        </w:rPr>
        <w:t>The Amended Term Loan requires 35 months of interest-only payments, followed by 22-months of principal and accrued interest payments. If the Company is in compliance with its performance-to-plan covenant through April 1, 2025 and has not provided an IP lien election notice before May 1, 2025, the interest-only period is extended by 12 months, and the amortization period is reduced to ten months. Payments are due on the first day of each month in arrears. All unpaid amounts under the Amended Term Loan mature on February 1, 2027.</w:t>
      </w:r>
      <w:r>
        <w:rPr>
          <w:rFonts w:ascii="Times New Roman" w:hAnsi="Times New Roman"/>
          <w:sz w:val="20"/>
        </w:rPr>
        <w:t xml:space="preserve"> </w:t>
      </w:r>
      <w:r>
        <w:rPr>
          <w:rFonts w:ascii="Times New Roman;serif" w:hAnsi="Times New Roman;serif"/>
          <w:b w:val="false"/>
          <w:sz w:val="20"/>
        </w:rPr>
        <w:t>The Company may elect to prepay the loans under the credit facility at any time in full or in part; however, the Company may only elect to prepay the loans in part once, in an amount not less than $5.0</w:t>
      </w:r>
      <w:r>
        <w:rPr>
          <w:rFonts w:ascii="Times New Roman" w:hAnsi="Times New Roman"/>
          <w:sz w:val="20"/>
        </w:rPr>
        <w:t xml:space="preserve"> </w:t>
      </w:r>
      <w:r>
        <w:rPr>
          <w:rFonts w:ascii="Times New Roman;serif" w:hAnsi="Times New Roman;serif"/>
          <w:b w:val="false"/>
          <w:sz w:val="20"/>
        </w:rPr>
        <w:t>million. Any amounts prepaid may not be subsequently reborrowed. Under the Amended Term Loan, a final payment (“Final Payment”) will be due at the earlier of the maturity date, acceleration of the loans, or a voluntary or mandatory prepayment of the loans, in an amount equal to (a) if the Final Payment is due on or after January 1, 2022 through and including October 31, 2022, three percent (3.00%) of the original principal amount of the loans (or, in the case of a partial prepayment, the amount of principal to be prepaid), (b) if the Final Payment is due on or after November 1, 2022 through and including October 31, 2023, four percent (4.00%) of the original principal amount of the loans (or, in the case of a partial prepayment, the amount of principal to be prepaid) and (c) if the Final Payment is due on or after November 1, 2023, five percent (5.00%) of the original principal amount of the loans (or, in the case of a partial prepayment, the amount of principal to be prepaid). The Final Payment is being accreted to the carrying value of the debt as a debt premium and interest expense over the life of the loan using the effective interest method.</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sz w:val="20"/>
        </w:rPr>
        <w:t>The Company paid $0.1</w:t>
      </w:r>
      <w:r>
        <w:rPr>
          <w:rFonts w:ascii="Times New Roman" w:hAnsi="Times New Roman"/>
          <w:sz w:val="20"/>
        </w:rPr>
        <w:t xml:space="preserve"> </w:t>
      </w:r>
      <w:r>
        <w:rPr>
          <w:rFonts w:ascii="Times New Roman;serif" w:hAnsi="Times New Roman;serif"/>
          <w:b w:val="false"/>
          <w:sz w:val="20"/>
        </w:rPr>
        <w:t>million in loan amendment fees and other closing costs that are directly attributable to execution of the Amended Term Loan transaction. These issuance costs are recorded as a discount to the carrying amount of the debt and are being amortized, along with the unaccreted portion of the Final Payment and unamortized debt issuance costs from the original Term Loan, to interest expense over the expected term of the debt using the effective interest method. The loans may be accelerated by Oxford Finance in the event of default.</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20</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As of March 31, 2023 and December 31, 2022, the Company was in compliance with all Amended Term Loan covenants, respectively.</w:t>
      </w:r>
    </w:p>
    <w:p>
      <w:pPr>
        <w:pStyle w:val="TextBody"/>
        <w:spacing w:before="120" w:after="160"/>
        <w:jc w:val="left"/>
        <w:rPr>
          <w:rFonts w:ascii="Times New Roman" w:hAnsi="Times New Roman"/>
          <w:sz w:val="20"/>
        </w:rPr>
      </w:pPr>
      <w:r>
        <w:rPr>
          <w:rFonts w:ascii="Times New Roman;serif" w:hAnsi="Times New Roman;serif"/>
          <w:b w:val="false"/>
          <w:sz w:val="20"/>
        </w:rPr>
        <w:t>For the three months ended March 31, 2023 and 2022 the cash interest paid and effective interest rate on the Amended Term Loan were as follows:</w:t>
      </w:r>
      <w:r>
        <w:rPr>
          <w:rFonts w:ascii="Times New Roman" w:hAnsi="Times New Roman"/>
          <w:sz w:val="20"/>
        </w:rPr>
        <w:t xml:space="preserve"> </w:t>
      </w:r>
    </w:p>
    <w:tbl>
      <w:tblPr>
        <w:tblW w:w="6156" w:type="dxa"/>
        <w:jc w:val="left"/>
        <w:tblInd w:w="0" w:type="dxa"/>
        <w:tblCellMar>
          <w:top w:w="28" w:type="dxa"/>
          <w:left w:w="28" w:type="dxa"/>
          <w:bottom w:w="28" w:type="dxa"/>
          <w:right w:w="28" w:type="dxa"/>
        </w:tblCellMar>
      </w:tblPr>
      <w:tblGrid>
        <w:gridCol w:w="1846"/>
        <w:gridCol w:w="146"/>
        <w:gridCol w:w="295"/>
        <w:gridCol w:w="1155"/>
        <w:gridCol w:w="548"/>
        <w:gridCol w:w="295"/>
        <w:gridCol w:w="1155"/>
        <w:gridCol w:w="716"/>
      </w:tblGrid>
      <w:tr>
        <w:trPr/>
        <w:tc>
          <w:tcPr>
            <w:tcW w:w="1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r>
      <w:tr>
        <w:trPr/>
        <w:tc>
          <w:tcPr>
            <w:tcW w:w="18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48"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 March 31,</w:t>
            </w:r>
          </w:p>
        </w:tc>
        <w:tc>
          <w:tcPr>
            <w:tcW w:w="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5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center"/>
              <w:rPr/>
            </w:pPr>
            <w:r>
              <w:rPr/>
              <w:t> </w:t>
            </w:r>
          </w:p>
        </w:tc>
      </w:tr>
      <w:tr>
        <w:trPr/>
        <w:tc>
          <w:tcPr>
            <w:tcW w:w="184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Cash interest paid</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13.62</w:t>
            </w:r>
          </w:p>
        </w:tc>
        <w:tc>
          <w:tcPr>
            <w:tcW w:w="5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5"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9.25</w:t>
            </w:r>
          </w:p>
        </w:tc>
        <w:tc>
          <w:tcPr>
            <w:tcW w:w="71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Effective interest rate</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15.13</w:t>
            </w:r>
          </w:p>
        </w:tc>
        <w:tc>
          <w:tcPr>
            <w:tcW w:w="5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5"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10.72</w:t>
            </w:r>
          </w:p>
        </w:tc>
        <w:tc>
          <w:tcPr>
            <w:tcW w:w="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160"/>
        <w:jc w:val="left"/>
        <w:rPr>
          <w:rFonts w:ascii="Times New Roman" w:hAnsi="Times New Roman"/>
          <w:sz w:val="20"/>
        </w:rPr>
      </w:pPr>
      <w:r>
        <w:rPr>
          <w:rFonts w:ascii="Times New Roman;serif" w:hAnsi="Times New Roman;serif"/>
          <w:b w:val="false"/>
          <w:sz w:val="20"/>
        </w:rPr>
        <w:t>As of March 31, 2023 future principal payments due under the Amended Term Loan were as follows (in thousands):</w:t>
      </w:r>
      <w:r>
        <w:rPr>
          <w:rFonts w:ascii="Times New Roman" w:hAnsi="Times New Roman"/>
          <w:sz w:val="20"/>
        </w:rPr>
        <w:t xml:space="preserve"> </w:t>
      </w:r>
    </w:p>
    <w:p>
      <w:pPr>
        <w:pStyle w:val="TextBody"/>
        <w:spacing w:before="0" w:after="0"/>
        <w:jc w:val="left"/>
        <w:rPr/>
      </w:pPr>
      <w:r>
        <w:rPr/>
        <w:t> </w:t>
      </w:r>
    </w:p>
    <w:tbl>
      <w:tblPr>
        <w:tblW w:w="5390" w:type="dxa"/>
        <w:jc w:val="left"/>
        <w:tblInd w:w="0" w:type="dxa"/>
        <w:tblCellMar>
          <w:top w:w="28" w:type="dxa"/>
          <w:left w:w="28" w:type="dxa"/>
          <w:bottom w:w="28" w:type="dxa"/>
          <w:right w:w="28" w:type="dxa"/>
        </w:tblCellMar>
      </w:tblPr>
      <w:tblGrid>
        <w:gridCol w:w="3766"/>
        <w:gridCol w:w="146"/>
        <w:gridCol w:w="211"/>
        <w:gridCol w:w="676"/>
        <w:gridCol w:w="591"/>
      </w:tblGrid>
      <w:tr>
        <w:trPr/>
        <w:tc>
          <w:tcPr>
            <w:tcW w:w="3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Year Ended December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center"/>
              <w:rPr/>
            </w:pPr>
            <w:r>
              <w:rPr/>
              <w:t> </w:t>
            </w:r>
          </w:p>
        </w:tc>
      </w:tr>
      <w:tr>
        <w:trPr/>
        <w:tc>
          <w:tcPr>
            <w:tcW w:w="37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2023 (remainder)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37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37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16,364</w:t>
            </w:r>
          </w:p>
        </w:tc>
        <w:tc>
          <w:tcPr>
            <w:tcW w:w="591" w:type="dxa"/>
            <w:tcBorders/>
            <w:shd w:fill="auto" w:val="clear"/>
            <w:vAlign w:val="center"/>
          </w:tcPr>
          <w:p>
            <w:pPr>
              <w:pStyle w:val="TableContents"/>
              <w:spacing w:before="0" w:after="0"/>
              <w:ind w:left="0" w:right="0" w:firstLine="400"/>
              <w:jc w:val="left"/>
              <w:rPr/>
            </w:pPr>
            <w:r>
              <w:rPr/>
              <w:t> </w:t>
            </w:r>
          </w:p>
        </w:tc>
      </w:tr>
      <w:tr>
        <w:trPr/>
        <w:tc>
          <w:tcPr>
            <w:tcW w:w="37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21,818</w:t>
            </w:r>
          </w:p>
        </w:tc>
        <w:tc>
          <w:tcPr>
            <w:tcW w:w="591" w:type="dxa"/>
            <w:tcBorders/>
            <w:shd w:fill="auto" w:val="clear"/>
            <w:vAlign w:val="center"/>
          </w:tcPr>
          <w:p>
            <w:pPr>
              <w:pStyle w:val="TableContents"/>
              <w:spacing w:before="0" w:after="0"/>
              <w:ind w:left="0" w:right="0" w:firstLine="400"/>
              <w:jc w:val="left"/>
              <w:rPr/>
            </w:pPr>
            <w:r>
              <w:rPr/>
              <w:t> </w:t>
            </w:r>
          </w:p>
        </w:tc>
      </w:tr>
      <w:tr>
        <w:trPr/>
        <w:tc>
          <w:tcPr>
            <w:tcW w:w="37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40,000</w:t>
            </w:r>
          </w:p>
        </w:tc>
        <w:tc>
          <w:tcPr>
            <w:tcW w:w="591" w:type="dxa"/>
            <w:tcBorders/>
            <w:shd w:fill="auto" w:val="clear"/>
            <w:vAlign w:val="center"/>
          </w:tcPr>
          <w:p>
            <w:pPr>
              <w:pStyle w:val="TableContents"/>
              <w:spacing w:before="0" w:after="0"/>
              <w:ind w:left="0" w:right="0" w:firstLine="200"/>
              <w:jc w:val="left"/>
              <w:rPr/>
            </w:pPr>
            <w:r>
              <w:rPr/>
              <w:t> </w:t>
            </w:r>
          </w:p>
        </w:tc>
      </w:tr>
      <w:tr>
        <w:trPr/>
        <w:tc>
          <w:tcPr>
            <w:tcW w:w="37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Plus: exit fee and unamortized issuance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40,309</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160"/>
        <w:jc w:val="left"/>
        <w:rPr>
          <w:rFonts w:ascii="Times New Roman;serif" w:hAnsi="Times New Roman;serif"/>
          <w:b/>
          <w:sz w:val="20"/>
        </w:rPr>
      </w:pPr>
      <w:r>
        <w:rPr>
          <w:rFonts w:ascii="Times New Roman;serif" w:hAnsi="Times New Roman;serif"/>
          <w:b/>
          <w:sz w:val="20"/>
        </w:rPr>
        <w:t>Note 7 – Stock-Based Compensation Expense</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Company has three equity incentive compensation plans: the 2006 Plan, the 2015 Plan and the 2021 Plan.</w:t>
      </w:r>
    </w:p>
    <w:p>
      <w:pPr>
        <w:pStyle w:val="TextBody"/>
        <w:spacing w:before="0" w:after="0"/>
        <w:jc w:val="left"/>
        <w:rPr>
          <w:rFonts w:ascii="Times New Roman;serif" w:hAnsi="Times New Roman;serif"/>
          <w:b/>
          <w:i/>
          <w:sz w:val="20"/>
        </w:rPr>
      </w:pPr>
      <w:r>
        <w:rPr>
          <w:rFonts w:ascii="Times New Roman;serif" w:hAnsi="Times New Roman;serif"/>
          <w:b/>
          <w:i/>
          <w:sz w:val="20"/>
        </w:rPr>
        <w:t>2006 Plan</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2006 Plan was originally adopted by the Board and approved by the Company’s stockholders in 2006. The 2006 Plan was terminated in 2015 in connection with the adoption of the 2015 Plan and as a result no new awards may be issued under the 2006 Plan. However, the 2006 Plan will continue to govern the terms and conditions of the outstanding awards previously granted under the 2006 Plan.</w:t>
      </w:r>
    </w:p>
    <w:p>
      <w:pPr>
        <w:pStyle w:val="TextBody"/>
        <w:spacing w:before="0" w:after="0"/>
        <w:jc w:val="left"/>
        <w:rPr>
          <w:rFonts w:ascii="Times New Roman;serif" w:hAnsi="Times New Roman;serif"/>
          <w:b/>
          <w:i/>
          <w:sz w:val="20"/>
        </w:rPr>
      </w:pPr>
      <w:r>
        <w:rPr>
          <w:rFonts w:ascii="Times New Roman;serif" w:hAnsi="Times New Roman;serif"/>
          <w:b/>
          <w:i/>
          <w:sz w:val="20"/>
        </w:rPr>
        <w:t>2015 Plan</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2015 Plan was originally adopted by the Board and approved by the Company’s stockholders in 2015. The 2015 Plan was most recently amended in March 2021. In July 2021, upon completion of the IPO, the 2015 Plan terminated immediately prior to effectiveness of the 2021 Plan with respect to the grant of future awards. However, the 2015 Plan will continue to govern the terms and conditions of the outstanding awards previously granted under the 2015 Plan.</w:t>
      </w:r>
    </w:p>
    <w:p>
      <w:pPr>
        <w:pStyle w:val="TextBody"/>
        <w:spacing w:before="0" w:after="0"/>
        <w:jc w:val="left"/>
        <w:rPr>
          <w:rFonts w:ascii="Times New Roman;serif" w:hAnsi="Times New Roman;serif"/>
          <w:b/>
          <w:i/>
          <w:sz w:val="20"/>
        </w:rPr>
      </w:pPr>
      <w:r>
        <w:rPr>
          <w:rFonts w:ascii="Times New Roman;serif" w:hAnsi="Times New Roman;serif"/>
          <w:b/>
          <w:i/>
          <w:sz w:val="20"/>
        </w:rPr>
        <w:t>2021 Plan</w:t>
      </w:r>
    </w:p>
    <w:p>
      <w:pPr>
        <w:pStyle w:val="TextBody"/>
        <w:spacing w:before="120" w:after="160"/>
        <w:jc w:val="left"/>
        <w:rPr>
          <w:rFonts w:ascii="Times New Roman" w:hAnsi="Times New Roman"/>
          <w:sz w:val="20"/>
        </w:rPr>
      </w:pPr>
      <w:r>
        <w:rPr>
          <w:rFonts w:ascii="Times New Roman;serif" w:hAnsi="Times New Roman;serif"/>
          <w:b w:val="false"/>
          <w:sz w:val="20"/>
        </w:rPr>
        <w:t>On July 28, 2021, the 2021 Plan was adopted and approved by the Board and stockholders prior to the IPO and became effective on the business day immediately prior to the effective date of the Company’s IPO registration statement. The 2021 Plan provides for the grant of incentive stock options to employees and any subsidiary corporations’ employees, and for the grant of nonstatutory stock options, stock appreciation rights, restricted stock, restricted stock units (“RSUs”), and performance awards to employees, directors, and consultants and subsidiary corporations’ employees and consultants. The number of shares of the Company’s common stock originally available for issuance under the 2021 Plan was equal to 2,420,135</w:t>
      </w:r>
      <w:r>
        <w:rPr>
          <w:rFonts w:ascii="Times New Roman" w:hAnsi="Times New Roman"/>
          <w:sz w:val="20"/>
        </w:rPr>
        <w:t xml:space="preserve"> </w:t>
      </w:r>
      <w:r>
        <w:rPr>
          <w:rFonts w:ascii="Times New Roman;serif" w:hAnsi="Times New Roman;serif"/>
          <w:b w:val="false"/>
          <w:sz w:val="20"/>
        </w:rPr>
        <w:t>shares of common stock plus any shares subject to awards granted under the 2015 Plan and the 2006 Plan that, after the effectiveness of the 2021 Plan,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from the 2015 Plan and 2006 Plan equal to 4,569,530</w:t>
      </w:r>
      <w:r>
        <w:rPr>
          <w:rFonts w:ascii="Times New Roman" w:hAnsi="Times New Roman"/>
          <w:sz w:val="20"/>
        </w:rPr>
        <w:t xml:space="preserve"> </w:t>
      </w:r>
      <w:r>
        <w:rPr>
          <w:rFonts w:ascii="Times New Roman;serif" w:hAnsi="Times New Roman;serif"/>
          <w:b w:val="false"/>
          <w:sz w:val="20"/>
        </w:rPr>
        <w:t>shares of common stock.</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21</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Evergreen provision</w:t>
      </w:r>
    </w:p>
    <w:p>
      <w:pPr>
        <w:pStyle w:val="TextBody"/>
        <w:spacing w:before="120" w:after="160"/>
        <w:jc w:val="left"/>
        <w:rPr>
          <w:rFonts w:ascii="Times New Roman" w:hAnsi="Times New Roman"/>
          <w:sz w:val="20"/>
        </w:rPr>
      </w:pPr>
      <w:r>
        <w:rPr>
          <w:rFonts w:ascii="Times New Roman;serif" w:hAnsi="Times New Roman;serif"/>
          <w:b w:val="false"/>
          <w:sz w:val="20"/>
        </w:rPr>
        <w:t>The number of common shares reserved for issuance under the 2021 Plan will be increased automatically on the first day of each fiscal year beginning with the 2022 fiscal year and ending on the ten year anniversary of the date the Board approved the 2021 Plan, by a number equal to the least of: (i) 7,260,406</w:t>
      </w:r>
      <w:r>
        <w:rPr>
          <w:rFonts w:ascii="Times New Roman" w:hAnsi="Times New Roman"/>
          <w:sz w:val="20"/>
        </w:rPr>
        <w:t xml:space="preserve"> </w:t>
      </w:r>
      <w:r>
        <w:rPr>
          <w:rFonts w:ascii="Times New Roman;serif" w:hAnsi="Times New Roman;serif"/>
          <w:b w:val="false"/>
          <w:sz w:val="20"/>
        </w:rPr>
        <w:t>shares of our common stock; (ii) 4% of the outstanding shares of our common stock on the last day of the immediately preceding fiscal year; or (iii) such lesser number of shares of our common stock as the administrator may determine. The 2021 Plan is administered by the Board. On January 1, 2022, the number of shares available under the 2021 Plan increased by 1,094,670</w:t>
      </w:r>
      <w:r>
        <w:rPr>
          <w:rFonts w:ascii="Times New Roman" w:hAnsi="Times New Roman"/>
          <w:sz w:val="20"/>
        </w:rPr>
        <w:t xml:space="preserve"> </w:t>
      </w:r>
      <w:r>
        <w:rPr>
          <w:rFonts w:ascii="Times New Roman;serif" w:hAnsi="Times New Roman;serif"/>
          <w:b w:val="false"/>
          <w:sz w:val="20"/>
        </w:rPr>
        <w:t>shares of common stock pursuant to this feature. On January 1, 2023, the number of shares available under the 2021 Plan further increased by 1,130,735</w:t>
      </w:r>
      <w:r>
        <w:rPr>
          <w:rFonts w:ascii="Times New Roman" w:hAnsi="Times New Roman"/>
          <w:sz w:val="20"/>
        </w:rPr>
        <w:t xml:space="preserve"> </w:t>
      </w:r>
      <w:r>
        <w:rPr>
          <w:rFonts w:ascii="Times New Roman;serif" w:hAnsi="Times New Roman;serif"/>
          <w:b w:val="false"/>
          <w:sz w:val="20"/>
        </w:rPr>
        <w:t>shares of common stock pursuant to this feature. As of March 31, 2023, the number of shares of the Company’s common stock available for future issuance under the 2021 Plan was equal to 461,796</w:t>
      </w:r>
      <w:r>
        <w:rPr>
          <w:rFonts w:ascii="Times New Roman" w:hAnsi="Times New Roman"/>
          <w:sz w:val="20"/>
        </w:rPr>
        <w:t xml:space="preserve"> </w:t>
      </w:r>
      <w:r>
        <w:rPr>
          <w:rFonts w:ascii="Times New Roman;serif" w:hAnsi="Times New Roman;serif"/>
          <w:b w:val="false"/>
          <w:sz w:val="20"/>
        </w:rPr>
        <w:t>shares of common stock.</w:t>
      </w:r>
      <w:r>
        <w:rPr>
          <w:rFonts w:ascii="Times New Roman" w:hAnsi="Times New Roman"/>
          <w:sz w:val="20"/>
        </w:rPr>
        <w:t xml:space="preserve"> </w:t>
      </w:r>
    </w:p>
    <w:p>
      <w:pPr>
        <w:pStyle w:val="TextBody"/>
        <w:spacing w:before="0" w:after="0"/>
        <w:jc w:val="left"/>
        <w:rPr>
          <w:rFonts w:ascii="Times New Roman;serif" w:hAnsi="Times New Roman;serif"/>
          <w:b/>
          <w:i/>
          <w:sz w:val="20"/>
        </w:rPr>
      </w:pPr>
      <w:r>
        <w:rPr>
          <w:rFonts w:ascii="Times New Roman;serif" w:hAnsi="Times New Roman;serif"/>
          <w:b/>
          <w:i/>
          <w:sz w:val="20"/>
        </w:rPr>
        <w:t>2021 ESPP</w:t>
      </w:r>
    </w:p>
    <w:p>
      <w:pPr>
        <w:pStyle w:val="TextBody"/>
        <w:spacing w:before="120" w:after="160"/>
        <w:jc w:val="left"/>
        <w:rPr>
          <w:rFonts w:ascii="Times New Roman" w:hAnsi="Times New Roman"/>
          <w:sz w:val="20"/>
        </w:rPr>
      </w:pPr>
      <w:r>
        <w:rPr>
          <w:rFonts w:ascii="Times New Roman;serif" w:hAnsi="Times New Roman;serif"/>
          <w:b w:val="false"/>
          <w:sz w:val="20"/>
        </w:rPr>
        <w:t>On July 28, 2021, the Board and stockholders adopted and approved the 2021 ESPP. As of March 31, 2023, the number of shares of the Company’s common stock available for future issuance under the 2021 ESPP was equal to 664,976</w:t>
      </w:r>
      <w:r>
        <w:rPr>
          <w:rFonts w:ascii="Times New Roman" w:hAnsi="Times New Roman"/>
          <w:sz w:val="20"/>
        </w:rPr>
        <w:t xml:space="preserve"> </w:t>
      </w:r>
      <w:r>
        <w:rPr>
          <w:rFonts w:ascii="Times New Roman;serif" w:hAnsi="Times New Roman;serif"/>
          <w:b w:val="false"/>
          <w:sz w:val="20"/>
        </w:rPr>
        <w:t>shares of common stock.</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 provides for two six-month purchase periods every twelve months: May 1 through October 31 and November 1 through April 30. The initial purchase period began on November 1, 2021.</w:t>
      </w:r>
    </w:p>
    <w:p>
      <w:pPr>
        <w:pStyle w:val="TextBody"/>
        <w:spacing w:before="120" w:after="160"/>
        <w:jc w:val="left"/>
        <w:rPr>
          <w:rFonts w:ascii="Times New Roman;serif" w:hAnsi="Times New Roman;serif"/>
          <w:b/>
          <w:i/>
          <w:sz w:val="20"/>
        </w:rPr>
      </w:pPr>
      <w:r>
        <w:rPr>
          <w:rFonts w:ascii="Times New Roman;serif" w:hAnsi="Times New Roman;serif"/>
          <w:b/>
          <w:i/>
          <w:sz w:val="20"/>
        </w:rPr>
        <w:t>Evergreen provision</w:t>
      </w:r>
    </w:p>
    <w:p>
      <w:pPr>
        <w:pStyle w:val="TextBody"/>
        <w:spacing w:before="120" w:after="160"/>
        <w:jc w:val="left"/>
        <w:rPr>
          <w:rFonts w:ascii="Times New Roman" w:hAnsi="Times New Roman"/>
          <w:sz w:val="20"/>
        </w:rPr>
      </w:pPr>
      <w:r>
        <w:rPr>
          <w:rFonts w:ascii="Times New Roman;serif" w:hAnsi="Times New Roman;serif"/>
          <w:b w:val="false"/>
          <w:sz w:val="20"/>
        </w:rPr>
        <w:t>The number of common shares reserved for issuance under the 2021 ESPP plan will be increased automatically on the first day of each fiscal year beginning with the 2022 fiscal year, by a number equal to the least of: (i) 1,452,081</w:t>
      </w:r>
      <w:r>
        <w:rPr>
          <w:rFonts w:ascii="Times New Roman" w:hAnsi="Times New Roman"/>
          <w:sz w:val="20"/>
        </w:rPr>
        <w:t xml:space="preserve"> </w:t>
      </w:r>
      <w:r>
        <w:rPr>
          <w:rFonts w:ascii="Times New Roman;serif" w:hAnsi="Times New Roman;serif"/>
          <w:b w:val="false"/>
          <w:sz w:val="20"/>
        </w:rPr>
        <w:t>shares; (ii) 1% of the outstanding shares of our common stock on the last day of the immediately preceding fiscal year; or (iii) such other amount as the administrator may determine. The 2021 ESPP is administered by the Board. On January 1, 2022, the number of shares available under the 2021 ESPP increased by 273,667</w:t>
      </w:r>
      <w:r>
        <w:rPr>
          <w:rFonts w:ascii="Times New Roman" w:hAnsi="Times New Roman"/>
          <w:sz w:val="20"/>
        </w:rPr>
        <w:t xml:space="preserve"> </w:t>
      </w:r>
      <w:r>
        <w:rPr>
          <w:rFonts w:ascii="Times New Roman;serif" w:hAnsi="Times New Roman;serif"/>
          <w:b w:val="false"/>
          <w:sz w:val="20"/>
        </w:rPr>
        <w:t>shares of common stock pursuant to this feature. No additional shares were reserved for issuance on January 1, 2023 pursuant to this feature.</w:t>
      </w:r>
    </w:p>
    <w:p>
      <w:pPr>
        <w:pStyle w:val="TextBody"/>
        <w:spacing w:before="0" w:after="0"/>
        <w:jc w:val="left"/>
        <w:rPr>
          <w:rFonts w:ascii="Times New Roman;serif" w:hAnsi="Times New Roman;serif"/>
          <w:b/>
          <w:i/>
          <w:sz w:val="20"/>
        </w:rPr>
      </w:pPr>
      <w:r>
        <w:rPr>
          <w:rFonts w:ascii="Times New Roman;serif" w:hAnsi="Times New Roman;serif"/>
          <w:b/>
          <w:i/>
          <w:sz w:val="20"/>
        </w:rPr>
        <w:t>Stock-Based Compensation Expense</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purpose of the 2021 Plan and 2021 ESPP is to provide a means by which eligible recipients of stock awards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pStyle w:val="TextBody"/>
        <w:spacing w:before="120" w:after="160"/>
        <w:jc w:val="left"/>
        <w:rPr>
          <w:rFonts w:ascii="Calibri;sans-serif" w:hAnsi="Calibri;sans-serif"/>
          <w:sz w:val="22"/>
        </w:rPr>
      </w:pPr>
      <w:r>
        <w:rPr>
          <w:rFonts w:ascii="Times New Roman;serif" w:hAnsi="Times New Roman;serif"/>
          <w:b w:val="false"/>
          <w:sz w:val="20"/>
        </w:rPr>
        <w:t>Stock option awards are granted with an exercise price of no less than 100% of estimated fair market value on the date of grant. Time based awards generally vest over four years</w:t>
      </w:r>
      <w:r>
        <w:rPr>
          <w:rFonts w:ascii="Calibri;sans-serif" w:hAnsi="Calibri;sans-serif"/>
          <w:sz w:val="22"/>
        </w:rPr>
        <w:t xml:space="preserve"> </w:t>
      </w:r>
      <w:r>
        <w:rPr>
          <w:rFonts w:ascii="Times New Roman;serif" w:hAnsi="Times New Roman;serif"/>
          <w:b w:val="false"/>
          <w:sz w:val="20"/>
        </w:rPr>
        <w:t xml:space="preserve">as follows, subject to the optionee’s continuing service, (i) one fourth of the total number of shares vest and become exercisable on the one-year anniversary; 1/48th of the total number of shares subject to the option vest and become exercisable on each monthly anniversary thereafter for the remaining three years, or (ii) 1/48th of the total number of shares subject to the option vest and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22</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160"/>
        <w:jc w:val="left"/>
        <w:rPr>
          <w:rFonts w:ascii="Times New Roman" w:hAnsi="Times New Roman"/>
          <w:sz w:val="20"/>
        </w:rPr>
      </w:pPr>
      <w:r>
        <w:rPr>
          <w:rFonts w:ascii="Times New Roman;serif" w:hAnsi="Times New Roman;serif"/>
          <w:b w:val="false"/>
          <w:sz w:val="20"/>
        </w:rPr>
        <w:t>become exercisable each month over four years.</w:t>
        <w:br/>
      </w:r>
      <w:r>
        <w:rPr>
          <w:rFonts w:ascii="Times New Roman" w:hAnsi="Times New Roman"/>
          <w:sz w:val="20"/>
        </w:rPr>
        <w:t> </w:t>
      </w:r>
    </w:p>
    <w:p>
      <w:pPr>
        <w:pStyle w:val="TextBody"/>
        <w:spacing w:before="120" w:after="160"/>
        <w:jc w:val="left"/>
        <w:rPr>
          <w:rFonts w:ascii="Times New Roman" w:hAnsi="Times New Roman"/>
          <w:sz w:val="20"/>
        </w:rPr>
      </w:pPr>
      <w:r>
        <w:rPr>
          <w:rFonts w:ascii="Times New Roman;serif" w:hAnsi="Times New Roman;serif"/>
          <w:b w:val="false"/>
          <w:sz w:val="20"/>
        </w:rPr>
        <w:t>A summary of the stock option activities related to the Equity Plans for the</w:t>
      </w:r>
      <w:r>
        <w:rPr>
          <w:rFonts w:ascii="Times New Roman" w:hAnsi="Times New Roman"/>
          <w:sz w:val="20"/>
        </w:rPr>
        <w:t xml:space="preserve"> </w:t>
      </w:r>
      <w:r>
        <w:rPr>
          <w:rFonts w:ascii="Times New Roman;serif" w:hAnsi="Times New Roman;serif"/>
          <w:b w:val="false"/>
          <w:sz w:val="20"/>
        </w:rPr>
        <w:t>three months ended March 31, 2023 is presented below:</w:t>
      </w:r>
    </w:p>
    <w:p>
      <w:pPr>
        <w:pStyle w:val="TextBody"/>
        <w:spacing w:before="0" w:after="0"/>
        <w:jc w:val="left"/>
        <w:rPr/>
      </w:pPr>
      <w:r>
        <w:rPr/>
        <w:t> </w:t>
      </w:r>
    </w:p>
    <w:tbl>
      <w:tblPr>
        <w:tblW w:w="8194" w:type="dxa"/>
        <w:jc w:val="left"/>
        <w:tblInd w:w="0" w:type="dxa"/>
        <w:tblCellMar>
          <w:top w:w="28" w:type="dxa"/>
          <w:left w:w="28" w:type="dxa"/>
          <w:bottom w:w="28" w:type="dxa"/>
          <w:right w:w="28" w:type="dxa"/>
        </w:tblCellMar>
      </w:tblPr>
      <w:tblGrid>
        <w:gridCol w:w="3491"/>
        <w:gridCol w:w="146"/>
        <w:gridCol w:w="146"/>
        <w:gridCol w:w="225"/>
        <w:gridCol w:w="1275"/>
        <w:gridCol w:w="166"/>
        <w:gridCol w:w="146"/>
        <w:gridCol w:w="220"/>
        <w:gridCol w:w="576"/>
        <w:gridCol w:w="146"/>
        <w:gridCol w:w="146"/>
        <w:gridCol w:w="339"/>
        <w:gridCol w:w="981"/>
        <w:gridCol w:w="191"/>
      </w:tblGrid>
      <w:tr>
        <w:trPr/>
        <w:tc>
          <w:tcPr>
            <w:tcW w:w="34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Avg</w:t>
              <w:br/>
              <w:t>Remaining</w:t>
              <w:br/>
              <w:t>Contractual Life</w:t>
              <w:br/>
              <w:t>(Years)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91" w:type="dxa"/>
            <w:tcBorders/>
            <w:shd w:fill="auto" w:val="clear"/>
            <w:vAlign w:val="center"/>
          </w:tcPr>
          <w:p>
            <w:pPr>
              <w:pStyle w:val="TableContents"/>
              <w:spacing w:before="0" w:after="0"/>
              <w:ind w:left="0" w:right="0" w:firstLine="100"/>
              <w:jc w:val="left"/>
              <w:rPr>
                <w:rFonts w:ascii="Times New Roman;serif" w:hAnsi="Times New Roman;serif"/>
                <w:b w:val="false"/>
                <w:sz w:val="18"/>
              </w:rPr>
            </w:pPr>
            <w:r>
              <w:rPr>
                <w:rFonts w:ascii="Times New Roman;serif" w:hAnsi="Times New Roman;serif"/>
                <w:b w:val="false"/>
                <w:sz w:val="18"/>
              </w:rPr>
              <w:t>Options outstanding as of December 31, 2022</w:t>
            </w:r>
          </w:p>
        </w:tc>
        <w:tc>
          <w:tcPr>
            <w:tcW w:w="14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27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6,339,558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98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6.48</w:t>
            </w:r>
          </w:p>
        </w:tc>
        <w:tc>
          <w:tcPr>
            <w:tcW w:w="191" w:type="dxa"/>
            <w:tcBorders/>
            <w:shd w:fill="auto" w:val="clear"/>
            <w:vAlign w:val="center"/>
          </w:tcPr>
          <w:p>
            <w:pPr>
              <w:pStyle w:val="TableContents"/>
              <w:spacing w:before="0" w:after="0"/>
              <w:ind w:left="0" w:right="0" w:hanging="0"/>
              <w:jc w:val="left"/>
              <w:rPr/>
            </w:pPr>
            <w:r>
              <w:rPr/>
              <w:t> </w:t>
            </w:r>
          </w:p>
        </w:tc>
      </w:tr>
      <w:tr>
        <w:trPr/>
        <w:tc>
          <w:tcPr>
            <w:tcW w:w="349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Granted</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27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1,266,307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49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27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(164,907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49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27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(32,585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49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Expired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(58,653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49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Options outstanding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7,349,720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98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7.03</w:t>
            </w:r>
          </w:p>
        </w:tc>
        <w:tc>
          <w:tcPr>
            <w:tcW w:w="191" w:type="dxa"/>
            <w:tcBorders/>
            <w:shd w:fill="auto" w:val="clear"/>
            <w:vAlign w:val="center"/>
          </w:tcPr>
          <w:p>
            <w:pPr>
              <w:pStyle w:val="TableContents"/>
              <w:spacing w:before="0" w:after="0"/>
              <w:ind w:left="0" w:right="0" w:hanging="0"/>
              <w:jc w:val="left"/>
              <w:rPr/>
            </w:pPr>
            <w:r>
              <w:rPr/>
              <w:t> </w:t>
            </w:r>
          </w:p>
        </w:tc>
      </w:tr>
      <w:tr>
        <w:trPr/>
        <w:tc>
          <w:tcPr>
            <w:tcW w:w="349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Exercisable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3,948,677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98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5.28</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160"/>
        <w:jc w:val="left"/>
        <w:rPr>
          <w:rFonts w:ascii="Times New Roman" w:hAnsi="Times New Roman"/>
          <w:sz w:val="20"/>
        </w:rPr>
      </w:pPr>
      <w:r>
        <w:rPr>
          <w:rFonts w:ascii="Times New Roman;serif" w:hAnsi="Times New Roman;serif"/>
          <w:b w:val="false"/>
          <w:sz w:val="20"/>
        </w:rPr>
        <w:t>As of March 31, 2023 and December 31, 2022</w:t>
      </w:r>
      <w:r>
        <w:rPr>
          <w:rFonts w:ascii="Times New Roman" w:hAnsi="Times New Roman"/>
          <w:sz w:val="20"/>
        </w:rPr>
        <w:t xml:space="preserve"> </w:t>
      </w:r>
      <w:r>
        <w:rPr>
          <w:rFonts w:ascii="Times New Roman;serif" w:hAnsi="Times New Roman;serif"/>
          <w:b w:val="false"/>
          <w:sz w:val="20"/>
        </w:rPr>
        <w:t>the intrinsic value of options vested was $24.5</w:t>
      </w:r>
      <w:r>
        <w:rPr>
          <w:rFonts w:ascii="Times New Roman" w:hAnsi="Times New Roman"/>
          <w:sz w:val="20"/>
        </w:rPr>
        <w:t xml:space="preserve"> </w:t>
      </w:r>
      <w:r>
        <w:rPr>
          <w:rFonts w:ascii="Times New Roman;serif" w:hAnsi="Times New Roman;serif"/>
          <w:b w:val="false"/>
          <w:sz w:val="20"/>
        </w:rPr>
        <w:t>million and $15.9</w:t>
      </w:r>
      <w:r>
        <w:rPr>
          <w:rFonts w:ascii="Times New Roman" w:hAnsi="Times New Roman"/>
          <w:sz w:val="20"/>
        </w:rPr>
        <w:t xml:space="preserve"> </w:t>
      </w:r>
      <w:r>
        <w:rPr>
          <w:rFonts w:ascii="Times New Roman;serif" w:hAnsi="Times New Roman;serif"/>
          <w:b w:val="false"/>
          <w:sz w:val="20"/>
        </w:rPr>
        <w:t>million, respectively, and of all options outstanding was $32.6</w:t>
      </w:r>
      <w:r>
        <w:rPr>
          <w:rFonts w:ascii="Times New Roman" w:hAnsi="Times New Roman"/>
          <w:sz w:val="20"/>
        </w:rPr>
        <w:t xml:space="preserve"> </w:t>
      </w:r>
      <w:r>
        <w:rPr>
          <w:rFonts w:ascii="Times New Roman;serif" w:hAnsi="Times New Roman;serif"/>
          <w:b w:val="false"/>
          <w:sz w:val="20"/>
        </w:rPr>
        <w:t>million and $16.4</w:t>
      </w:r>
      <w:r>
        <w:rPr>
          <w:rFonts w:ascii="Times New Roman" w:hAnsi="Times New Roman"/>
          <w:sz w:val="20"/>
        </w:rPr>
        <w:t xml:space="preserve"> </w:t>
      </w:r>
      <w:r>
        <w:rPr>
          <w:rFonts w:ascii="Times New Roman;serif" w:hAnsi="Times New Roman;serif"/>
          <w:b w:val="false"/>
          <w:sz w:val="20"/>
        </w:rPr>
        <w:t>million, respectively. During the three months ended March 31, 2023 and 2022, the total cash received from the exercise of stock options was $0.8</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respectively. The total fair value less strike price of these options was $1.7</w:t>
      </w:r>
      <w:r>
        <w:rPr>
          <w:rFonts w:ascii="Times New Roman" w:hAnsi="Times New Roman"/>
          <w:sz w:val="20"/>
        </w:rPr>
        <w:t xml:space="preserve"> </w:t>
      </w:r>
      <w:r>
        <w:rPr>
          <w:rFonts w:ascii="Times New Roman;serif" w:hAnsi="Times New Roman;serif"/>
          <w:b w:val="false"/>
          <w:sz w:val="20"/>
        </w:rPr>
        <w:t>million and $1.8</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120" w:after="160"/>
        <w:jc w:val="left"/>
        <w:rPr>
          <w:rFonts w:ascii="Times New Roman" w:hAnsi="Times New Roman"/>
          <w:sz w:val="20"/>
        </w:rPr>
      </w:pPr>
      <w:r>
        <w:rPr>
          <w:rFonts w:ascii="Times New Roman;serif" w:hAnsi="Times New Roman;serif"/>
          <w:b w:val="false"/>
          <w:sz w:val="20"/>
        </w:rPr>
        <w:t>A</w:t>
      </w:r>
      <w:r>
        <w:rPr>
          <w:rFonts w:ascii="Times New Roman" w:hAnsi="Times New Roman"/>
          <w:sz w:val="20"/>
        </w:rPr>
        <w:t xml:space="preserve"> </w:t>
      </w:r>
      <w:r>
        <w:rPr>
          <w:rFonts w:ascii="Times New Roman;serif" w:hAnsi="Times New Roman;serif"/>
          <w:b w:val="false"/>
          <w:sz w:val="20"/>
        </w:rPr>
        <w:t>summary of non-vested restricted stock unit activities for the three months ended March 31, 2023 is as follows:</w:t>
      </w:r>
    </w:p>
    <w:tbl>
      <w:tblPr>
        <w:tblW w:w="5126" w:type="dxa"/>
        <w:jc w:val="left"/>
        <w:tblInd w:w="0" w:type="dxa"/>
        <w:tblCellMar>
          <w:top w:w="28" w:type="dxa"/>
          <w:left w:w="28" w:type="dxa"/>
          <w:bottom w:w="28" w:type="dxa"/>
          <w:right w:w="28" w:type="dxa"/>
        </w:tblCellMar>
      </w:tblPr>
      <w:tblGrid>
        <w:gridCol w:w="2501"/>
        <w:gridCol w:w="146"/>
        <w:gridCol w:w="146"/>
        <w:gridCol w:w="154"/>
        <w:gridCol w:w="731"/>
        <w:gridCol w:w="166"/>
        <w:gridCol w:w="146"/>
        <w:gridCol w:w="261"/>
        <w:gridCol w:w="684"/>
        <w:gridCol w:w="191"/>
      </w:tblGrid>
      <w:tr>
        <w:trPr/>
        <w:tc>
          <w:tcPr>
            <w:tcW w:w="25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91" w:type="dxa"/>
            <w:tcBorders/>
            <w:shd w:fill="auto" w:val="clear"/>
            <w:vAlign w:val="center"/>
          </w:tcPr>
          <w:p>
            <w:pPr>
              <w:pStyle w:val="TableContents"/>
              <w:spacing w:before="0" w:after="0"/>
              <w:ind w:left="0" w:right="0" w:hanging="0"/>
              <w:jc w:val="center"/>
              <w:rPr/>
            </w:pPr>
            <w:r>
              <w:rPr/>
              <w:t> </w:t>
            </w:r>
          </w:p>
        </w:tc>
      </w:tr>
      <w:tr>
        <w:trPr/>
        <w:tc>
          <w:tcPr>
            <w:tcW w:w="25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91" w:type="dxa"/>
            <w:tcBorders/>
            <w:shd w:fill="auto" w:val="clear"/>
            <w:vAlign w:val="center"/>
          </w:tcPr>
          <w:p>
            <w:pPr>
              <w:pStyle w:val="TableContents"/>
              <w:spacing w:before="0" w:after="0"/>
              <w:ind w:left="0" w:right="0" w:hanging="0"/>
              <w:jc w:val="center"/>
              <w:rPr/>
            </w:pPr>
            <w:r>
              <w:rPr/>
              <w:t> </w:t>
            </w:r>
          </w:p>
        </w:tc>
      </w:tr>
      <w:tr>
        <w:trPr/>
        <w:tc>
          <w:tcPr>
            <w:tcW w:w="25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Grant Date</w:t>
            </w:r>
          </w:p>
        </w:tc>
        <w:tc>
          <w:tcPr>
            <w:tcW w:w="191" w:type="dxa"/>
            <w:tcBorders/>
            <w:shd w:fill="auto" w:val="clear"/>
            <w:vAlign w:val="center"/>
          </w:tcPr>
          <w:p>
            <w:pPr>
              <w:pStyle w:val="TableContents"/>
              <w:spacing w:before="0" w:after="0"/>
              <w:ind w:left="0" w:right="0" w:hanging="0"/>
              <w:jc w:val="center"/>
              <w:rPr/>
            </w:pPr>
            <w:r>
              <w:rPr/>
              <w:t> </w:t>
            </w:r>
          </w:p>
        </w:tc>
      </w:tr>
      <w:tr>
        <w:trPr/>
        <w:tc>
          <w:tcPr>
            <w:tcW w:w="25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01" w:type="dxa"/>
            <w:tcBorders/>
            <w:shd w:fill="auto" w:val="clear"/>
            <w:vAlign w:val="center"/>
          </w:tcPr>
          <w:p>
            <w:pPr>
              <w:pStyle w:val="TableContents"/>
              <w:spacing w:before="0" w:after="0"/>
              <w:ind w:left="0" w:right="0" w:firstLine="100"/>
              <w:jc w:val="left"/>
              <w:rPr>
                <w:rFonts w:ascii="Times New Roman;serif" w:hAnsi="Times New Roman;serif"/>
                <w:b w:val="false"/>
                <w:sz w:val="18"/>
              </w:rPr>
            </w:pPr>
            <w:r>
              <w:rPr>
                <w:rFonts w:ascii="Times New Roman;serif" w:hAnsi="Times New Roman;serif"/>
                <w:b w:val="false"/>
                <w:sz w:val="18"/>
              </w:rPr>
              <w:t>Unvested at December 31, 2022</w:t>
            </w:r>
          </w:p>
        </w:tc>
        <w:tc>
          <w:tcPr>
            <w:tcW w:w="14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492,862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15.08</w:t>
            </w:r>
          </w:p>
        </w:tc>
        <w:tc>
          <w:tcPr>
            <w:tcW w:w="191" w:type="dxa"/>
            <w:tcBorders/>
            <w:shd w:fill="auto" w:val="clear"/>
            <w:vAlign w:val="center"/>
          </w:tcPr>
          <w:p>
            <w:pPr>
              <w:pStyle w:val="TableContents"/>
              <w:spacing w:before="0" w:after="0"/>
              <w:ind w:left="0" w:right="0" w:hanging="0"/>
              <w:jc w:val="left"/>
              <w:rPr/>
            </w:pPr>
            <w:r>
              <w:rPr/>
              <w:t> </w:t>
            </w:r>
          </w:p>
        </w:tc>
      </w:tr>
      <w:tr>
        <w:trPr/>
        <w:tc>
          <w:tcPr>
            <w:tcW w:w="25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Granted</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385,078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14.79</w:t>
            </w:r>
          </w:p>
        </w:tc>
        <w:tc>
          <w:tcPr>
            <w:tcW w:w="191" w:type="dxa"/>
            <w:tcBorders/>
            <w:shd w:fill="auto" w:val="clear"/>
            <w:vAlign w:val="center"/>
          </w:tcPr>
          <w:p>
            <w:pPr>
              <w:pStyle w:val="TableContents"/>
              <w:spacing w:before="0" w:after="0"/>
              <w:ind w:left="0" w:right="0" w:hanging="0"/>
              <w:jc w:val="left"/>
              <w:rPr/>
            </w:pPr>
            <w:r>
              <w:rPr/>
              <w:t> </w:t>
            </w:r>
          </w:p>
        </w:tc>
      </w:tr>
      <w:tr>
        <w:trPr/>
        <w:tc>
          <w:tcPr>
            <w:tcW w:w="25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(78,691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14.84</w:t>
            </w:r>
          </w:p>
        </w:tc>
        <w:tc>
          <w:tcPr>
            <w:tcW w:w="191" w:type="dxa"/>
            <w:tcBorders/>
            <w:shd w:fill="auto" w:val="clear"/>
            <w:vAlign w:val="center"/>
          </w:tcPr>
          <w:p>
            <w:pPr>
              <w:pStyle w:val="TableContents"/>
              <w:spacing w:before="0" w:after="0"/>
              <w:ind w:left="0" w:right="0" w:hanging="0"/>
              <w:jc w:val="left"/>
              <w:rPr/>
            </w:pPr>
            <w:r>
              <w:rPr/>
              <w:t> </w:t>
            </w:r>
          </w:p>
        </w:tc>
      </w:tr>
      <w:tr>
        <w:trPr/>
        <w:tc>
          <w:tcPr>
            <w:tcW w:w="25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15.38</w:t>
            </w:r>
          </w:p>
        </w:tc>
        <w:tc>
          <w:tcPr>
            <w:tcW w:w="191" w:type="dxa"/>
            <w:tcBorders/>
            <w:shd w:fill="auto" w:val="clear"/>
            <w:vAlign w:val="center"/>
          </w:tcPr>
          <w:p>
            <w:pPr>
              <w:pStyle w:val="TableContents"/>
              <w:spacing w:before="0" w:after="0"/>
              <w:ind w:left="0" w:right="0" w:hanging="0"/>
              <w:jc w:val="left"/>
              <w:rPr/>
            </w:pPr>
            <w:r>
              <w:rPr/>
              <w:t> </w:t>
            </w:r>
          </w:p>
        </w:tc>
      </w:tr>
      <w:tr>
        <w:trPr/>
        <w:tc>
          <w:tcPr>
            <w:tcW w:w="25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Unvested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797,794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14.97</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160"/>
        <w:jc w:val="left"/>
        <w:rPr>
          <w:rFonts w:ascii="Times New Roman;serif" w:hAnsi="Times New Roman;serif"/>
          <w:b w:val="false"/>
          <w:sz w:val="20"/>
        </w:rPr>
      </w:pPr>
      <w:r>
        <w:rPr>
          <w:rFonts w:ascii="Times New Roman;serif" w:hAnsi="Times New Roman;serif"/>
          <w:b w:val="false"/>
          <w:sz w:val="20"/>
        </w:rPr>
        <w:t>Stock-based compensation expense was classified in the accompanying condensed consolidated statements of operations and comprehensive income (loss) as follows (in thousands):</w:t>
      </w:r>
    </w:p>
    <w:tbl>
      <w:tblPr>
        <w:tblW w:w="5835" w:type="dxa"/>
        <w:jc w:val="left"/>
        <w:tblInd w:w="0" w:type="dxa"/>
        <w:tblCellMar>
          <w:top w:w="28" w:type="dxa"/>
          <w:left w:w="28" w:type="dxa"/>
          <w:bottom w:w="28" w:type="dxa"/>
          <w:right w:w="28" w:type="dxa"/>
        </w:tblCellMar>
      </w:tblPr>
      <w:tblGrid>
        <w:gridCol w:w="2956"/>
        <w:gridCol w:w="146"/>
        <w:gridCol w:w="272"/>
        <w:gridCol w:w="738"/>
        <w:gridCol w:w="188"/>
        <w:gridCol w:w="188"/>
        <w:gridCol w:w="272"/>
        <w:gridCol w:w="738"/>
        <w:gridCol w:w="146"/>
        <w:gridCol w:w="191"/>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802</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774</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2,272</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1,655</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goods sold</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3,295</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160"/>
        <w:jc w:val="left"/>
        <w:rPr>
          <w:rFonts w:ascii="Times New Roman" w:hAnsi="Times New Roman"/>
          <w:sz w:val="20"/>
        </w:rPr>
      </w:pPr>
      <w:r>
        <w:rPr>
          <w:rFonts w:ascii="Times New Roman;serif" w:hAnsi="Times New Roman;serif"/>
          <w:b w:val="false"/>
          <w:sz w:val="20"/>
        </w:rPr>
        <w:t>As of March 31, 2023 and December 31, 2022, there were 3,401,043</w:t>
      </w:r>
      <w:r>
        <w:rPr>
          <w:rFonts w:ascii="Times New Roman" w:hAnsi="Times New Roman"/>
          <w:sz w:val="20"/>
        </w:rPr>
        <w:t xml:space="preserve"> </w:t>
      </w:r>
      <w:r>
        <w:rPr>
          <w:rFonts w:ascii="Times New Roman;serif" w:hAnsi="Times New Roman;serif"/>
          <w:b w:val="false"/>
          <w:sz w:val="20"/>
        </w:rPr>
        <w:t>and 2,447,687</w:t>
      </w:r>
      <w:r>
        <w:rPr>
          <w:rFonts w:ascii="Times New Roman" w:hAnsi="Times New Roman"/>
          <w:sz w:val="20"/>
        </w:rPr>
        <w:t xml:space="preserve"> </w:t>
      </w:r>
      <w:r>
        <w:rPr>
          <w:rFonts w:ascii="Times New Roman;serif" w:hAnsi="Times New Roman;serif"/>
          <w:b w:val="false"/>
          <w:sz w:val="20"/>
        </w:rPr>
        <w:t>unvested options, respectively. As of March 31, 2023 and December 31, 2022, total unrecognized expense related to unvested stock options was approximately $28.5</w:t>
      </w:r>
      <w:r>
        <w:rPr>
          <w:rFonts w:ascii="Times New Roman" w:hAnsi="Times New Roman"/>
          <w:sz w:val="20"/>
        </w:rPr>
        <w:t xml:space="preserve"> </w:t>
      </w:r>
      <w:r>
        <w:rPr>
          <w:rFonts w:ascii="Times New Roman;serif" w:hAnsi="Times New Roman;serif"/>
          <w:b w:val="false"/>
          <w:sz w:val="20"/>
        </w:rPr>
        <w:t>million and $19.1</w:t>
      </w:r>
      <w:r>
        <w:rPr>
          <w:rFonts w:ascii="Times New Roman" w:hAnsi="Times New Roman"/>
          <w:sz w:val="20"/>
        </w:rPr>
        <w:t xml:space="preserve"> </w:t>
      </w:r>
      <w:r>
        <w:rPr>
          <w:rFonts w:ascii="Times New Roman;serif" w:hAnsi="Times New Roman;serif"/>
          <w:b w:val="false"/>
          <w:sz w:val="20"/>
        </w:rPr>
        <w:t>million, respectively. Amounts are expected to be recognized over a weighted average period of approximately 2.9</w:t>
      </w:r>
      <w:r>
        <w:rPr>
          <w:rFonts w:ascii="Times New Roman" w:hAnsi="Times New Roman"/>
          <w:sz w:val="20"/>
        </w:rPr>
        <w:t xml:space="preserve"> </w:t>
      </w:r>
      <w:r>
        <w:rPr>
          <w:rFonts w:ascii="Times New Roman;serif" w:hAnsi="Times New Roman;serif"/>
          <w:b w:val="false"/>
          <w:sz w:val="20"/>
        </w:rPr>
        <w:t>and 2.6</w:t>
      </w:r>
      <w:r>
        <w:rPr>
          <w:rFonts w:ascii="Times New Roman" w:hAnsi="Times New Roman"/>
          <w:sz w:val="20"/>
        </w:rPr>
        <w:t xml:space="preserve"> </w:t>
      </w:r>
      <w:r>
        <w:rPr>
          <w:rFonts w:ascii="Times New Roman;serif" w:hAnsi="Times New Roman;serif"/>
          <w:b w:val="false"/>
          <w:sz w:val="20"/>
        </w:rPr>
        <w:t>years, respectively.</w:t>
      </w:r>
    </w:p>
    <w:p>
      <w:pPr>
        <w:pStyle w:val="TextBody"/>
        <w:spacing w:before="120" w:after="160"/>
        <w:jc w:val="left"/>
        <w:rPr>
          <w:rFonts w:ascii="Times New Roman" w:hAnsi="Times New Roman"/>
          <w:sz w:val="20"/>
        </w:rPr>
      </w:pPr>
      <w:r>
        <w:rPr>
          <w:rFonts w:ascii="Times New Roman;serif" w:hAnsi="Times New Roman;serif"/>
          <w:b w:val="false"/>
          <w:sz w:val="20"/>
        </w:rPr>
        <w:t>As of March 31, 2023, and December 31, 2022, total unrecognized expense related to non-vested restricted stock units was approximately $10.9</w:t>
      </w:r>
      <w:r>
        <w:rPr>
          <w:rFonts w:ascii="Times New Roman" w:hAnsi="Times New Roman"/>
          <w:sz w:val="20"/>
        </w:rPr>
        <w:t xml:space="preserve"> </w:t>
      </w:r>
      <w:r>
        <w:rPr>
          <w:rFonts w:ascii="Times New Roman;serif" w:hAnsi="Times New Roman;serif"/>
          <w:b w:val="false"/>
          <w:sz w:val="20"/>
        </w:rPr>
        <w:t>million and $6.1</w:t>
      </w:r>
      <w:r>
        <w:rPr>
          <w:rFonts w:ascii="Times New Roman" w:hAnsi="Times New Roman"/>
          <w:sz w:val="20"/>
        </w:rPr>
        <w:t xml:space="preserve"> </w:t>
      </w:r>
      <w:r>
        <w:rPr>
          <w:rFonts w:ascii="Times New Roman;serif" w:hAnsi="Times New Roman;serif"/>
          <w:b w:val="false"/>
          <w:sz w:val="20"/>
        </w:rPr>
        <w:t>million, respectively. The unrecognized compensation cost is expected to be recognized over a weighted average period of 2.9</w:t>
      </w:r>
      <w:r>
        <w:rPr>
          <w:rFonts w:ascii="Times New Roman" w:hAnsi="Times New Roman"/>
          <w:sz w:val="20"/>
        </w:rPr>
        <w:t xml:space="preserve"> </w:t>
      </w:r>
      <w:r>
        <w:rPr>
          <w:rFonts w:ascii="Times New Roman;serif" w:hAnsi="Times New Roman;serif"/>
          <w:b w:val="false"/>
          <w:sz w:val="20"/>
        </w:rPr>
        <w:t>years and 2.3 years, respectively.</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23</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following table presents the range and weighted-average assumptions, used in the Black-Scholes option pricing model to determine the fair value of stock options:</w:t>
      </w:r>
    </w:p>
    <w:tbl>
      <w:tblPr>
        <w:tblW w:w="7999" w:type="dxa"/>
        <w:jc w:val="left"/>
        <w:tblInd w:w="0" w:type="dxa"/>
        <w:tblCellMar>
          <w:top w:w="28" w:type="dxa"/>
          <w:left w:w="28" w:type="dxa"/>
          <w:bottom w:w="28" w:type="dxa"/>
          <w:right w:w="28" w:type="dxa"/>
        </w:tblCellMar>
      </w:tblPr>
      <w:tblGrid>
        <w:gridCol w:w="2131"/>
        <w:gridCol w:w="146"/>
        <w:gridCol w:w="1501"/>
        <w:gridCol w:w="146"/>
        <w:gridCol w:w="1456"/>
        <w:gridCol w:w="146"/>
        <w:gridCol w:w="826"/>
        <w:gridCol w:w="146"/>
        <w:gridCol w:w="1501"/>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22"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r>
      <w:tr>
        <w:trPr/>
        <w:tc>
          <w:tcPr>
            <w:tcW w:w="2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7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2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64.9% to 65.2%</w:t>
            </w:r>
          </w:p>
        </w:tc>
        <w:tc>
          <w:tcPr>
            <w:tcW w:w="146"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65.1%</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62.5%</w:t>
            </w:r>
          </w:p>
        </w:tc>
        <w:tc>
          <w:tcPr>
            <w:tcW w:w="146"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62.5%</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3.4% to 4.2%</w:t>
            </w:r>
          </w:p>
        </w:tc>
        <w:tc>
          <w:tcPr>
            <w:tcW w:w="146"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w:t>
            </w:r>
          </w:p>
        </w:tc>
        <w:tc>
          <w:tcPr>
            <w:tcW w:w="146"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life (in years)</w:t>
            </w:r>
          </w:p>
        </w:tc>
        <w:tc>
          <w:tcPr>
            <w:tcW w:w="146"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6.0</w:t>
            </w:r>
            <w:r>
              <w:rPr>
                <w:rFonts w:ascii="Times New Roman" w:hAnsi="Times New Roman"/>
                <w:sz w:val="20"/>
              </w:rPr>
              <w:t> </w:t>
            </w:r>
            <w:r>
              <w:rPr>
                <w:rFonts w:ascii="Times New Roman;serif" w:hAnsi="Times New Roman;serif"/>
                <w:b w:val="false"/>
                <w:sz w:val="20"/>
              </w:rPr>
              <w:t>to 10.0</w:t>
            </w:r>
            <w:r>
              <w:rPr>
                <w:rFonts w:ascii="Times New Roman" w:hAnsi="Times New Roman"/>
                <w:sz w:val="20"/>
              </w:rPr>
              <w:t> </w:t>
            </w:r>
            <w:r>
              <w:rPr>
                <w:rFonts w:ascii="Times New Roman;serif" w:hAnsi="Times New Roman;serif"/>
                <w:b w:val="false"/>
                <w:sz w:val="20"/>
              </w:rPr>
              <w:t>years</w:t>
            </w:r>
          </w:p>
        </w:tc>
        <w:tc>
          <w:tcPr>
            <w:tcW w:w="146"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6.0</w:t>
            </w:r>
            <w:r>
              <w:rPr>
                <w:rFonts w:ascii="Times New Roman" w:hAnsi="Times New Roman"/>
                <w:sz w:val="20"/>
              </w:rPr>
              <w:t> </w:t>
            </w:r>
            <w:r>
              <w:rPr>
                <w:rFonts w:ascii="Times New Roman;serif" w:hAnsi="Times New Roman;serif"/>
                <w:b w:val="false"/>
                <w:sz w:val="20"/>
              </w:rPr>
              <w:t>years</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6.0</w:t>
            </w:r>
            <w:r>
              <w:rPr>
                <w:rFonts w:ascii="Times New Roman" w:hAnsi="Times New Roman"/>
                <w:sz w:val="20"/>
              </w:rPr>
              <w:t> </w:t>
            </w:r>
            <w:r>
              <w:rPr>
                <w:rFonts w:ascii="Times New Roman;serif" w:hAnsi="Times New Roman;serif"/>
                <w:b w:val="false"/>
                <w:sz w:val="20"/>
              </w:rPr>
              <w:t>years</w:t>
            </w:r>
          </w:p>
        </w:tc>
        <w:tc>
          <w:tcPr>
            <w:tcW w:w="146"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6.0</w:t>
            </w:r>
            <w:r>
              <w:rPr>
                <w:rFonts w:ascii="Times New Roman" w:hAnsi="Times New Roman"/>
                <w:sz w:val="20"/>
              </w:rPr>
              <w:t> </w:t>
            </w:r>
            <w:r>
              <w:rPr>
                <w:rFonts w:ascii="Times New Roman;serif" w:hAnsi="Times New Roman;serif"/>
                <w:b w:val="false"/>
                <w:sz w:val="20"/>
              </w:rPr>
              <w:t>years</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w:t>
            </w:r>
          </w:p>
        </w:tc>
        <w:tc>
          <w:tcPr>
            <w:tcW w:w="146"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w:t>
            </w:r>
          </w:p>
        </w:tc>
        <w:tc>
          <w:tcPr>
            <w:tcW w:w="146"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 date fair value</w:t>
            </w:r>
          </w:p>
        </w:tc>
        <w:tc>
          <w:tcPr>
            <w:tcW w:w="146"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$12.91</w:t>
            </w:r>
            <w:r>
              <w:rPr>
                <w:rFonts w:ascii="Times New Roman" w:hAnsi="Times New Roman"/>
                <w:sz w:val="20"/>
              </w:rPr>
              <w:t> </w:t>
            </w:r>
            <w:r>
              <w:rPr>
                <w:rFonts w:ascii="Times New Roman;serif" w:hAnsi="Times New Roman;serif"/>
                <w:b w:val="false"/>
                <w:sz w:val="20"/>
              </w:rPr>
              <w:t>to $16.68</w:t>
            </w:r>
          </w:p>
        </w:tc>
        <w:tc>
          <w:tcPr>
            <w:tcW w:w="146"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$14.86</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$12.85</w:t>
            </w:r>
          </w:p>
        </w:tc>
        <w:tc>
          <w:tcPr>
            <w:tcW w:w="146"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$12.85</w:t>
            </w:r>
          </w:p>
        </w:tc>
      </w:tr>
    </w:tbl>
    <w:p>
      <w:pPr>
        <w:pStyle w:val="TextBody"/>
        <w:spacing w:before="120" w:after="160"/>
        <w:jc w:val="left"/>
        <w:rPr>
          <w:rFonts w:ascii="Times New Roman;serif" w:hAnsi="Times New Roman;serif"/>
          <w:b/>
          <w:i/>
          <w:sz w:val="20"/>
        </w:rPr>
      </w:pPr>
      <w:r>
        <w:rPr>
          <w:rFonts w:ascii="Times New Roman;serif" w:hAnsi="Times New Roman;serif"/>
          <w:b/>
          <w:i/>
          <w:sz w:val="20"/>
        </w:rPr>
        <w:t>Common Stock</w:t>
      </w:r>
    </w:p>
    <w:p>
      <w:pPr>
        <w:pStyle w:val="TextBody"/>
        <w:spacing w:before="120" w:after="160"/>
        <w:jc w:val="left"/>
        <w:rPr>
          <w:rFonts w:ascii="Times New Roman" w:hAnsi="Times New Roman"/>
          <w:sz w:val="20"/>
        </w:rPr>
      </w:pPr>
      <w:r>
        <w:rPr>
          <w:rFonts w:ascii="Times New Roman;serif" w:hAnsi="Times New Roman;serif"/>
          <w:b w:val="false"/>
          <w:sz w:val="20"/>
        </w:rPr>
        <w:t>Each share of common stock is entitled to one vote. Common stock reserved for future issuance under the Equity Plans, 2021 ESPP and the at-the-market offering consisted of the following:</w:t>
      </w:r>
      <w:r>
        <w:rPr>
          <w:rFonts w:ascii="Times New Roman" w:hAnsi="Times New Roman"/>
          <w:sz w:val="20"/>
        </w:rPr>
        <w:t xml:space="preserve"> </w:t>
      </w:r>
    </w:p>
    <w:tbl>
      <w:tblPr>
        <w:tblW w:w="9225" w:type="dxa"/>
        <w:jc w:val="left"/>
        <w:tblInd w:w="0" w:type="dxa"/>
        <w:tblCellMar>
          <w:top w:w="28" w:type="dxa"/>
          <w:left w:w="28" w:type="dxa"/>
          <w:bottom w:w="28" w:type="dxa"/>
          <w:right w:w="28" w:type="dxa"/>
        </w:tblCellMar>
      </w:tblPr>
      <w:tblGrid>
        <w:gridCol w:w="5431"/>
        <w:gridCol w:w="146"/>
        <w:gridCol w:w="177"/>
        <w:gridCol w:w="1263"/>
        <w:gridCol w:w="146"/>
        <w:gridCol w:w="146"/>
        <w:gridCol w:w="213"/>
        <w:gridCol w:w="1512"/>
        <w:gridCol w:w="191"/>
      </w:tblGrid>
      <w:tr>
        <w:trPr/>
        <w:tc>
          <w:tcPr>
            <w:tcW w:w="54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51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4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issued and outstanding under the Equity Plans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2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7,349,720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6,339,558</w:t>
            </w:r>
          </w:p>
        </w:tc>
        <w:tc>
          <w:tcPr>
            <w:tcW w:w="191" w:type="dxa"/>
            <w:tcBorders/>
            <w:shd w:fill="auto" w:val="clear"/>
            <w:vAlign w:val="center"/>
          </w:tcPr>
          <w:p>
            <w:pPr>
              <w:pStyle w:val="TableContents"/>
              <w:spacing w:before="0" w:after="0"/>
              <w:ind w:left="0" w:right="0" w:hanging="0"/>
              <w:jc w:val="left"/>
              <w:rPr/>
            </w:pPr>
            <w:r>
              <w:rPr/>
              <w:t> </w:t>
            </w:r>
          </w:p>
        </w:tc>
      </w:tr>
      <w:tr>
        <w:trPr/>
        <w:tc>
          <w:tcPr>
            <w:tcW w:w="54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available for future issuance under the Equity Plans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2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461,796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865,122</w:t>
            </w:r>
          </w:p>
        </w:tc>
        <w:tc>
          <w:tcPr>
            <w:tcW w:w="191" w:type="dxa"/>
            <w:tcBorders/>
            <w:shd w:fill="auto" w:val="clear"/>
            <w:vAlign w:val="center"/>
          </w:tcPr>
          <w:p>
            <w:pPr>
              <w:pStyle w:val="TableContents"/>
              <w:spacing w:before="0" w:after="0"/>
              <w:ind w:left="0" w:right="0" w:hanging="0"/>
              <w:jc w:val="left"/>
              <w:rPr/>
            </w:pPr>
            <w:r>
              <w:rPr/>
              <w:t> </w:t>
            </w:r>
          </w:p>
        </w:tc>
      </w:tr>
      <w:tr>
        <w:trPr/>
        <w:tc>
          <w:tcPr>
            <w:tcW w:w="54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 issued under the 2021 Plan</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2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797,794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492,862</w:t>
            </w:r>
          </w:p>
        </w:tc>
        <w:tc>
          <w:tcPr>
            <w:tcW w:w="191" w:type="dxa"/>
            <w:tcBorders/>
            <w:shd w:fill="auto" w:val="clear"/>
            <w:vAlign w:val="center"/>
          </w:tcPr>
          <w:p>
            <w:pPr>
              <w:pStyle w:val="TableContents"/>
              <w:spacing w:before="0" w:after="0"/>
              <w:ind w:left="0" w:right="0" w:hanging="0"/>
              <w:jc w:val="left"/>
              <w:rPr/>
            </w:pPr>
            <w:r>
              <w:rPr/>
              <w:t> </w:t>
            </w:r>
          </w:p>
        </w:tc>
      </w:tr>
      <w:tr>
        <w:trPr/>
        <w:tc>
          <w:tcPr>
            <w:tcW w:w="54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available for future issuance under 2021 ESPP</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2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664,976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664,976</w:t>
            </w:r>
          </w:p>
        </w:tc>
        <w:tc>
          <w:tcPr>
            <w:tcW w:w="191" w:type="dxa"/>
            <w:tcBorders/>
            <w:shd w:fill="auto" w:val="clear"/>
            <w:vAlign w:val="center"/>
          </w:tcPr>
          <w:p>
            <w:pPr>
              <w:pStyle w:val="TableContents"/>
              <w:spacing w:before="0" w:after="0"/>
              <w:ind w:left="0" w:right="0" w:hanging="0"/>
              <w:jc w:val="left"/>
              <w:rPr/>
            </w:pPr>
            <w:r>
              <w:rPr/>
              <w:t> </w:t>
            </w:r>
          </w:p>
        </w:tc>
      </w:tr>
      <w:tr>
        <w:trPr/>
        <w:tc>
          <w:tcPr>
            <w:tcW w:w="543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Shares available for future sale under the at-the-market offering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1,937,385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3,454,064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shares of common stock reserved</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11,211,671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11,816,582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6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Based on the closing stock price of $16.68</w:t>
      </w:r>
      <w:r>
        <w:rPr>
          <w:rFonts w:ascii="Times New Roman" w:hAnsi="Times New Roman"/>
          <w:sz w:val="20"/>
        </w:rPr>
        <w:t xml:space="preserve"> </w:t>
      </w:r>
      <w:r>
        <w:rPr>
          <w:rFonts w:ascii="Times New Roman;serif" w:hAnsi="Times New Roman;serif"/>
          <w:b w:val="false"/>
          <w:sz w:val="20"/>
        </w:rPr>
        <w:t>as reported on the Nasdaq Global Market on March 31, 2023.</w:t>
      </w:r>
    </w:p>
    <w:p>
      <w:pPr>
        <w:pStyle w:val="TextBody"/>
        <w:spacing w:before="240" w:after="120"/>
        <w:jc w:val="left"/>
        <w:rPr>
          <w:rFonts w:ascii="Times New Roman;serif" w:hAnsi="Times New Roman;serif"/>
          <w:b/>
          <w:sz w:val="20"/>
        </w:rPr>
      </w:pPr>
      <w:r>
        <w:rPr>
          <w:rFonts w:ascii="Times New Roman;serif" w:hAnsi="Times New Roman;serif"/>
          <w:b/>
          <w:sz w:val="20"/>
        </w:rPr>
        <w:t>Note 8 – Leases</w:t>
      </w:r>
    </w:p>
    <w:p>
      <w:pPr>
        <w:pStyle w:val="TextBody"/>
        <w:spacing w:before="120" w:after="160"/>
        <w:jc w:val="left"/>
        <w:rPr>
          <w:rFonts w:ascii="Times New Roman" w:hAnsi="Times New Roman"/>
          <w:sz w:val="20"/>
        </w:rPr>
      </w:pPr>
      <w:r>
        <w:rPr>
          <w:rFonts w:ascii="Times New Roman;serif" w:hAnsi="Times New Roman;serif"/>
          <w:b w:val="false"/>
          <w:sz w:val="20"/>
        </w:rPr>
        <w:t>The Company has operating and finance leases for facilities and certain equipment. Leases with an initial term of 12 months or less are not recorded on the condensed consolidated balance sheets. Lease expense for operating leases is recognized on a straight-line basis over the lease term. The Company does not combine lease and non-lease components in the recognition of lease expense.</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sz w:val="20"/>
        </w:rPr>
        <w:t>As of March 31, 2023</w:t>
      </w:r>
      <w:r>
        <w:rPr>
          <w:rFonts w:ascii="Times New Roman" w:hAnsi="Times New Roman"/>
          <w:sz w:val="20"/>
        </w:rPr>
        <w:t xml:space="preserve"> </w:t>
      </w:r>
      <w:r>
        <w:rPr>
          <w:rFonts w:ascii="Times New Roman;serif" w:hAnsi="Times New Roman;serif"/>
          <w:b w:val="false"/>
          <w:sz w:val="20"/>
        </w:rPr>
        <w:t>the Company held four</w:t>
      </w:r>
      <w:r>
        <w:rPr>
          <w:rFonts w:ascii="Times New Roman" w:hAnsi="Times New Roman"/>
          <w:sz w:val="20"/>
        </w:rPr>
        <w:t xml:space="preserve"> </w:t>
      </w:r>
      <w:r>
        <w:rPr>
          <w:rFonts w:ascii="Times New Roman;serif" w:hAnsi="Times New Roman;serif"/>
          <w:b w:val="false"/>
          <w:sz w:val="20"/>
        </w:rPr>
        <w:t>leases for office, manufacturing and warehouse facilities in Aliso Viejo, California. The four leases are for approximately 121,000</w:t>
      </w:r>
      <w:r>
        <w:rPr>
          <w:rFonts w:ascii="Times New Roman" w:hAnsi="Times New Roman"/>
          <w:sz w:val="20"/>
        </w:rPr>
        <w:t xml:space="preserve"> </w:t>
      </w:r>
      <w:r>
        <w:rPr>
          <w:rFonts w:ascii="Times New Roman;serif" w:hAnsi="Times New Roman;serif"/>
          <w:b w:val="false"/>
          <w:sz w:val="20"/>
        </w:rPr>
        <w:t>square feet in the aggregate and expire between August 31, 2024</w:t>
      </w:r>
      <w:r>
        <w:rPr>
          <w:rFonts w:ascii="Times New Roman" w:hAnsi="Times New Roman"/>
          <w:sz w:val="20"/>
        </w:rPr>
        <w:t xml:space="preserve"> </w:t>
      </w:r>
      <w:r>
        <w:rPr>
          <w:rFonts w:ascii="Times New Roman;serif" w:hAnsi="Times New Roman;serif"/>
          <w:b w:val="false"/>
          <w:sz w:val="20"/>
        </w:rPr>
        <w:t>and January 31, 2026. For one of the facilities operating leases, the lessor provided $900,000</w:t>
      </w:r>
      <w:r>
        <w:rPr>
          <w:rFonts w:ascii="Times New Roman" w:hAnsi="Times New Roman"/>
          <w:sz w:val="20"/>
        </w:rPr>
        <w:t xml:space="preserve"> </w:t>
      </w:r>
      <w:r>
        <w:rPr>
          <w:rFonts w:ascii="Times New Roman;serif" w:hAnsi="Times New Roman;serif"/>
          <w:b w:val="false"/>
          <w:sz w:val="20"/>
        </w:rPr>
        <w:t>in tenant allowances.</w:t>
      </w:r>
      <w:r>
        <w:rPr>
          <w:rFonts w:ascii="Times New Roman" w:hAnsi="Times New Roman"/>
          <w:sz w:val="20"/>
        </w:rPr>
        <w:t xml:space="preserve"> </w:t>
      </w:r>
    </w:p>
    <w:p>
      <w:pPr>
        <w:pStyle w:val="TextBody"/>
        <w:spacing w:before="120" w:after="160"/>
        <w:jc w:val="left"/>
        <w:rPr>
          <w:rFonts w:ascii="Times New Roman" w:hAnsi="Times New Roman"/>
          <w:sz w:val="20"/>
        </w:rPr>
      </w:pPr>
      <w:r>
        <w:rPr>
          <w:rFonts w:ascii="Times New Roman;serif" w:hAnsi="Times New Roman;serif"/>
          <w:b w:val="false"/>
          <w:sz w:val="20"/>
        </w:rPr>
        <w:t>On April 4, 2022, the Company entered into a thirty-four-month</w:t>
      </w:r>
      <w:r>
        <w:rPr>
          <w:rFonts w:ascii="Times New Roman" w:hAnsi="Times New Roman"/>
          <w:sz w:val="20"/>
        </w:rPr>
        <w:t xml:space="preserve"> </w:t>
      </w:r>
      <w:r>
        <w:rPr>
          <w:rFonts w:ascii="Times New Roman;serif" w:hAnsi="Times New Roman;serif"/>
          <w:b w:val="false"/>
          <w:sz w:val="20"/>
        </w:rPr>
        <w:t>sublease agreement for a portion of the 5 Columbia Building, in Aliso Viejo, CA. The sublease commencement date was June 13, 2022 and will expire on March 31, 2025. The base rent receivable is $11,410</w:t>
      </w:r>
      <w:r>
        <w:rPr>
          <w:rFonts w:ascii="Times New Roman" w:hAnsi="Times New Roman"/>
          <w:sz w:val="20"/>
        </w:rPr>
        <w:t xml:space="preserve"> </w:t>
      </w:r>
      <w:r>
        <w:rPr>
          <w:rFonts w:ascii="Times New Roman;serif" w:hAnsi="Times New Roman;serif"/>
          <w:b w:val="false"/>
          <w:sz w:val="20"/>
        </w:rPr>
        <w:t>per month. On January 4, 2023 the Company entered into a second amendment to the sublease agreement adjusting the base rent receivable to $5,319</w:t>
      </w:r>
      <w:r>
        <w:rPr>
          <w:rFonts w:ascii="Times New Roman" w:hAnsi="Times New Roman"/>
          <w:sz w:val="20"/>
        </w:rPr>
        <w:t xml:space="preserve"> </w:t>
      </w:r>
      <w:r>
        <w:rPr>
          <w:rFonts w:ascii="Times New Roman;serif" w:hAnsi="Times New Roman;serif"/>
          <w:b w:val="false"/>
          <w:sz w:val="20"/>
        </w:rPr>
        <w:t>per month.</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24</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following table presents the lease balances within the Condensed Consolidated Balance Sheets as of March 31, 2023 and December 31, 2022 (in thousands):</w:t>
      </w:r>
    </w:p>
    <w:tbl>
      <w:tblPr>
        <w:tblW w:w="7982" w:type="dxa"/>
        <w:jc w:val="left"/>
        <w:tblInd w:w="0" w:type="dxa"/>
        <w:tblCellMar>
          <w:top w:w="28" w:type="dxa"/>
          <w:left w:w="28" w:type="dxa"/>
          <w:bottom w:w="28" w:type="dxa"/>
          <w:right w:w="28" w:type="dxa"/>
        </w:tblCellMar>
      </w:tblPr>
      <w:tblGrid>
        <w:gridCol w:w="1831"/>
        <w:gridCol w:w="146"/>
        <w:gridCol w:w="2941"/>
        <w:gridCol w:w="146"/>
        <w:gridCol w:w="263"/>
        <w:gridCol w:w="712"/>
        <w:gridCol w:w="146"/>
        <w:gridCol w:w="146"/>
        <w:gridCol w:w="339"/>
        <w:gridCol w:w="921"/>
        <w:gridCol w:w="391"/>
      </w:tblGrid>
      <w:tr>
        <w:trPr/>
        <w:tc>
          <w:tcPr>
            <w:tcW w:w="18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8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9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391" w:type="dxa"/>
            <w:tcBorders/>
            <w:shd w:fill="auto" w:val="clear"/>
            <w:vAlign w:val="center"/>
          </w:tcPr>
          <w:p>
            <w:pPr>
              <w:pStyle w:val="TableContents"/>
              <w:spacing w:before="0" w:after="0"/>
              <w:ind w:left="0" w:right="0" w:hanging="0"/>
              <w:jc w:val="center"/>
              <w:rPr/>
            </w:pPr>
            <w:r>
              <w:rPr/>
              <w:t> </w:t>
            </w:r>
          </w:p>
        </w:tc>
      </w:tr>
      <w:tr>
        <w:trPr/>
        <w:tc>
          <w:tcPr>
            <w:tcW w:w="18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Leases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Classification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w:t>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 right-of-use assets</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3,943</w:t>
            </w:r>
          </w:p>
        </w:tc>
        <w:tc>
          <w:tcPr>
            <w:tcW w:w="391" w:type="dxa"/>
            <w:tcBorders/>
            <w:shd w:fill="auto" w:val="clear"/>
            <w:vAlign w:val="center"/>
          </w:tcPr>
          <w:p>
            <w:pPr>
              <w:pStyle w:val="TableContents"/>
              <w:spacing w:before="0" w:after="0"/>
              <w:ind w:left="0" w:right="0" w:hanging="0"/>
              <w:jc w:val="left"/>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w:t>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assets</w:t>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3,677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w:t>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1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w:t>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1,818</w:t>
            </w:r>
          </w:p>
        </w:tc>
        <w:tc>
          <w:tcPr>
            <w:tcW w:w="391" w:type="dxa"/>
            <w:tcBorders/>
            <w:shd w:fill="auto" w:val="clear"/>
            <w:vAlign w:val="center"/>
          </w:tcPr>
          <w:p>
            <w:pPr>
              <w:pStyle w:val="TableContents"/>
              <w:spacing w:before="0" w:after="0"/>
              <w:ind w:left="0" w:right="0" w:firstLine="200"/>
              <w:jc w:val="left"/>
              <w:rPr/>
            </w:pPr>
            <w:r>
              <w:rPr/>
              <w:t> </w:t>
            </w:r>
          </w:p>
        </w:tc>
      </w:tr>
      <w:tr>
        <w:trPr/>
        <w:tc>
          <w:tcPr>
            <w:tcW w:w="1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w:t>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391" w:type="dxa"/>
            <w:tcBorders/>
            <w:shd w:fill="auto" w:val="clear"/>
            <w:vAlign w:val="center"/>
          </w:tcPr>
          <w:p>
            <w:pPr>
              <w:pStyle w:val="TableContents"/>
              <w:spacing w:before="0" w:after="0"/>
              <w:ind w:left="0" w:right="0" w:hanging="0"/>
              <w:jc w:val="left"/>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w:t>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1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w:t>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lease liabilities</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2,813</w:t>
            </w:r>
          </w:p>
        </w:tc>
        <w:tc>
          <w:tcPr>
            <w:tcW w:w="391" w:type="dxa"/>
            <w:tcBorders/>
            <w:shd w:fill="auto" w:val="clear"/>
            <w:vAlign w:val="center"/>
          </w:tcPr>
          <w:p>
            <w:pPr>
              <w:pStyle w:val="TableContents"/>
              <w:spacing w:before="0" w:after="0"/>
              <w:ind w:left="0" w:right="0" w:firstLine="200"/>
              <w:jc w:val="left"/>
              <w:rPr/>
            </w:pPr>
            <w:r>
              <w:rPr/>
              <w:t> </w:t>
            </w:r>
          </w:p>
        </w:tc>
      </w:tr>
      <w:tr>
        <w:trPr/>
        <w:tc>
          <w:tcPr>
            <w:tcW w:w="18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w:t>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lease liabilities</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4,826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For the three months ended March 31, 2023 and 2022, the components of operating and finance lease expenses were as follows (in thousands):</w:t>
      </w:r>
    </w:p>
    <w:p>
      <w:pPr>
        <w:pStyle w:val="TextBody"/>
        <w:spacing w:before="0" w:after="0"/>
        <w:jc w:val="left"/>
        <w:rPr/>
      </w:pPr>
      <w:r>
        <w:rPr/>
        <w:t> </w:t>
      </w:r>
    </w:p>
    <w:tbl>
      <w:tblPr>
        <w:tblW w:w="7968" w:type="dxa"/>
        <w:jc w:val="left"/>
        <w:tblInd w:w="0" w:type="dxa"/>
        <w:tblCellMar>
          <w:top w:w="28" w:type="dxa"/>
          <w:left w:w="28" w:type="dxa"/>
          <w:bottom w:w="28" w:type="dxa"/>
          <w:right w:w="28" w:type="dxa"/>
        </w:tblCellMar>
      </w:tblPr>
      <w:tblGrid>
        <w:gridCol w:w="1756"/>
        <w:gridCol w:w="146"/>
        <w:gridCol w:w="2941"/>
        <w:gridCol w:w="146"/>
        <w:gridCol w:w="378"/>
        <w:gridCol w:w="755"/>
        <w:gridCol w:w="261"/>
        <w:gridCol w:w="261"/>
        <w:gridCol w:w="378"/>
        <w:gridCol w:w="755"/>
        <w:gridCol w:w="191"/>
      </w:tblGrid>
      <w:tr>
        <w:trPr/>
        <w:tc>
          <w:tcPr>
            <w:tcW w:w="1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7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9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Lease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Classification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11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33" w:type="dxa"/>
            <w:gridSpan w:val="2"/>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1133"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61"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91" w:type="dxa"/>
            <w:tcBorders/>
            <w:shd w:fill="auto" w:val="cle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61"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91" w:type="dxa"/>
            <w:tcBorders/>
            <w:shd w:fill="auto" w:val="cle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w:t>
            </w:r>
          </w:p>
        </w:tc>
        <w:tc>
          <w:tcPr>
            <w:tcW w:w="261"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w:t>
            </w:r>
          </w:p>
        </w:tc>
        <w:tc>
          <w:tcPr>
            <w:tcW w:w="191" w:type="dxa"/>
            <w:tcBorders/>
            <w:shd w:fill="auto" w:val="cle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33" w:type="dxa"/>
            <w:gridSpan w:val="2"/>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1133"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cost</w:t>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61"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91" w:type="dxa"/>
            <w:tcBorders/>
            <w:shd w:fill="auto" w:val="cle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61"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91" w:type="dxa"/>
            <w:tcBorders/>
            <w:shd w:fill="auto" w:val="cle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33" w:type="dxa"/>
            <w:gridSpan w:val="2"/>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1133"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cost</w:t>
            </w:r>
          </w:p>
        </w:tc>
        <w:tc>
          <w:tcPr>
            <w:tcW w:w="146" w:type="dxa"/>
            <w:tcBorders/>
            <w:shd w:fill="auto" w:val="clear"/>
            <w:vAlign w:val="center"/>
          </w:tcPr>
          <w:p>
            <w:pPr>
              <w:pStyle w:val="TableContents"/>
              <w:spacing w:before="0" w:after="0"/>
              <w:ind w:left="0" w:right="0" w:hanging="0"/>
              <w:jc w:val="left"/>
              <w:rPr/>
            </w:pPr>
            <w:r>
              <w:rPr/>
              <w:t> </w:t>
            </w:r>
          </w:p>
        </w:tc>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61"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160"/>
        <w:jc w:val="left"/>
        <w:rPr>
          <w:rFonts w:ascii="Times New Roman;serif" w:hAnsi="Times New Roman;serif"/>
          <w:b w:val="false"/>
          <w:sz w:val="20"/>
        </w:rPr>
      </w:pPr>
      <w:r>
        <w:rPr>
          <w:rFonts w:ascii="Times New Roman;serif" w:hAnsi="Times New Roman;serif"/>
          <w:b w:val="false"/>
          <w:sz w:val="20"/>
        </w:rPr>
        <w:t>Maturities of the Company’s operating and finance lease liabilities as of March 31, 2023 were as follows (in thousands):</w:t>
      </w:r>
    </w:p>
    <w:p>
      <w:pPr>
        <w:pStyle w:val="TextBody"/>
        <w:spacing w:before="0" w:after="0"/>
        <w:jc w:val="left"/>
        <w:rPr/>
      </w:pPr>
      <w:r>
        <w:rPr/>
        <w:t> </w:t>
      </w:r>
    </w:p>
    <w:tbl>
      <w:tblPr>
        <w:tblW w:w="5132" w:type="dxa"/>
        <w:jc w:val="left"/>
        <w:tblInd w:w="0" w:type="dxa"/>
        <w:tblCellMar>
          <w:top w:w="28" w:type="dxa"/>
          <w:left w:w="28" w:type="dxa"/>
          <w:bottom w:w="28" w:type="dxa"/>
          <w:right w:w="28" w:type="dxa"/>
        </w:tblCellMar>
      </w:tblPr>
      <w:tblGrid>
        <w:gridCol w:w="2326"/>
        <w:gridCol w:w="146"/>
        <w:gridCol w:w="263"/>
        <w:gridCol w:w="713"/>
        <w:gridCol w:w="166"/>
        <w:gridCol w:w="146"/>
        <w:gridCol w:w="260"/>
        <w:gridCol w:w="521"/>
        <w:gridCol w:w="591"/>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Operating</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1"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Finance</w:t>
            </w:r>
          </w:p>
        </w:tc>
        <w:tc>
          <w:tcPr>
            <w:tcW w:w="591" w:type="dxa"/>
            <w:tcBorders/>
            <w:shd w:fill="auto" w:val="clear"/>
            <w:vAlign w:val="center"/>
          </w:tcPr>
          <w:p>
            <w:pPr>
              <w:pStyle w:val="TableContents"/>
              <w:spacing w:before="0" w:after="0"/>
              <w:ind w:left="0" w:right="0" w:hanging="0"/>
              <w:jc w:val="center"/>
              <w:rPr/>
            </w:pPr>
            <w:r>
              <w:rPr/>
              <w:t> </w:t>
            </w:r>
          </w:p>
        </w:tc>
      </w:tr>
      <w:tr>
        <w:trPr/>
        <w:tc>
          <w:tcPr>
            <w:tcW w:w="2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Year Ended December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Leases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Leases</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center"/>
              <w:rPr/>
            </w:pPr>
            <w:r>
              <w:rPr/>
              <w:t> </w:t>
            </w:r>
          </w:p>
        </w:tc>
      </w:tr>
      <w:tr>
        <w:trPr/>
        <w:tc>
          <w:tcPr>
            <w:tcW w:w="23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2023 (remainder)</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591" w:type="dxa"/>
            <w:tcBorders/>
            <w:shd w:fill="auto" w:val="clear"/>
            <w:vAlign w:val="center"/>
          </w:tcPr>
          <w:p>
            <w:pPr>
              <w:pStyle w:val="TableContents"/>
              <w:spacing w:before="0" w:after="0"/>
              <w:ind w:left="0" w:right="0" w:firstLine="400"/>
              <w:jc w:val="left"/>
              <w:rPr/>
            </w:pPr>
            <w:r>
              <w:rPr/>
              <w:t> </w:t>
            </w:r>
          </w:p>
        </w:tc>
      </w:tr>
      <w:tr>
        <w:trPr/>
        <w:tc>
          <w:tcPr>
            <w:tcW w:w="23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591" w:type="dxa"/>
            <w:tcBorders/>
            <w:shd w:fill="auto" w:val="clear"/>
            <w:vAlign w:val="center"/>
          </w:tcPr>
          <w:p>
            <w:pPr>
              <w:pStyle w:val="TableContents"/>
              <w:spacing w:before="0" w:after="0"/>
              <w:ind w:left="0" w:right="0" w:firstLine="400"/>
              <w:jc w:val="left"/>
              <w:rPr/>
            </w:pPr>
            <w:r>
              <w:rPr/>
              <w:t> </w:t>
            </w:r>
          </w:p>
        </w:tc>
      </w:tr>
      <w:tr>
        <w:trPr/>
        <w:tc>
          <w:tcPr>
            <w:tcW w:w="23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23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23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23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2028</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591" w:type="dxa"/>
            <w:tcBorders/>
            <w:shd w:fill="auto" w:val="clear"/>
            <w:vAlign w:val="center"/>
          </w:tcPr>
          <w:p>
            <w:pPr>
              <w:pStyle w:val="TableContents"/>
              <w:spacing w:before="0" w:after="0"/>
              <w:ind w:left="0" w:right="0" w:firstLine="200"/>
              <w:jc w:val="left"/>
              <w:rPr/>
            </w:pPr>
            <w:r>
              <w:rPr/>
              <w:t> </w:t>
            </w:r>
          </w:p>
        </w:tc>
      </w:tr>
      <w:tr>
        <w:trPr/>
        <w:tc>
          <w:tcPr>
            <w:tcW w:w="23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25</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weighted average remaining lease term and weighted average discount rate used to determine lease liabilities related to the Company’s operating and finance leases as of March 31, 2023 and December 31, 2022 were:</w:t>
      </w:r>
    </w:p>
    <w:tbl>
      <w:tblPr>
        <w:tblW w:w="7215" w:type="dxa"/>
        <w:jc w:val="left"/>
        <w:tblInd w:w="0" w:type="dxa"/>
        <w:tblCellMar>
          <w:top w:w="28" w:type="dxa"/>
          <w:left w:w="28" w:type="dxa"/>
          <w:bottom w:w="28" w:type="dxa"/>
          <w:right w:w="28" w:type="dxa"/>
        </w:tblCellMar>
      </w:tblPr>
      <w:tblGrid>
        <w:gridCol w:w="3901"/>
        <w:gridCol w:w="146"/>
        <w:gridCol w:w="232"/>
        <w:gridCol w:w="743"/>
        <w:gridCol w:w="271"/>
        <w:gridCol w:w="146"/>
        <w:gridCol w:w="300"/>
        <w:gridCol w:w="960"/>
        <w:gridCol w:w="516"/>
      </w:tblGrid>
      <w:tr>
        <w:trPr/>
        <w:tc>
          <w:tcPr>
            <w:tcW w:w="39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39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516" w:type="dxa"/>
            <w:tcBorders/>
            <w:shd w:fill="auto" w:val="clear"/>
            <w:vAlign w:val="center"/>
          </w:tcPr>
          <w:p>
            <w:pPr>
              <w:pStyle w:val="TableContents"/>
              <w:spacing w:before="0" w:after="0"/>
              <w:ind w:left="0" w:right="0" w:hanging="0"/>
              <w:jc w:val="center"/>
              <w:rPr/>
            </w:pPr>
            <w:r>
              <w:rPr/>
              <w:t> </w:t>
            </w:r>
          </w:p>
        </w:tc>
      </w:tr>
      <w:tr>
        <w:trPr/>
        <w:tc>
          <w:tcPr>
            <w:tcW w:w="39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Lease Term and Discount Rate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remaining lease term (years)</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firstLine="200"/>
              <w:jc w:val="left"/>
              <w:rPr/>
            </w:pPr>
            <w:r>
              <w:rPr/>
              <w:t> </w:t>
            </w:r>
          </w:p>
        </w:tc>
      </w:tr>
      <w:tr>
        <w:trPr/>
        <w:tc>
          <w:tcPr>
            <w:tcW w:w="39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516" w:type="dxa"/>
            <w:tcBorders/>
            <w:shd w:fill="auto" w:val="clear"/>
            <w:vAlign w:val="center"/>
          </w:tcPr>
          <w:p>
            <w:pPr>
              <w:pStyle w:val="TableContents"/>
              <w:spacing w:before="0" w:after="0"/>
              <w:ind w:left="0" w:right="0" w:firstLine="200"/>
              <w:jc w:val="left"/>
              <w:rPr/>
            </w:pPr>
            <w:r>
              <w:rPr/>
              <w:t> </w:t>
            </w:r>
          </w:p>
        </w:tc>
      </w:tr>
      <w:tr>
        <w:trPr/>
        <w:tc>
          <w:tcPr>
            <w:tcW w:w="39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 leases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516" w:type="dxa"/>
            <w:tcBorders/>
            <w:shd w:fill="auto" w:val="clear"/>
            <w:vAlign w:val="center"/>
          </w:tcPr>
          <w:p>
            <w:pPr>
              <w:pStyle w:val="TableContents"/>
              <w:spacing w:before="0" w:after="0"/>
              <w:ind w:left="0" w:right="0" w:hanging="0"/>
              <w:jc w:val="left"/>
              <w:rPr/>
            </w:pPr>
            <w:r>
              <w:rPr/>
              <w:t> </w:t>
            </w:r>
          </w:p>
        </w:tc>
      </w:tr>
      <w:tr>
        <w:trPr/>
        <w:tc>
          <w:tcPr>
            <w:tcW w:w="39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discount rate</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firstLine="200"/>
              <w:jc w:val="left"/>
              <w:rPr/>
            </w:pPr>
            <w:r>
              <w:rPr/>
              <w:t> </w:t>
            </w:r>
          </w:p>
        </w:tc>
      </w:tr>
      <w:tr>
        <w:trPr/>
        <w:tc>
          <w:tcPr>
            <w:tcW w:w="39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 leases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40" w:after="0"/>
        <w:jc w:val="left"/>
        <w:rPr>
          <w:rFonts w:ascii="Times New Roman;serif" w:hAnsi="Times New Roman;serif"/>
          <w:b/>
          <w:sz w:val="20"/>
        </w:rPr>
      </w:pPr>
      <w:r>
        <w:rPr>
          <w:rFonts w:ascii="Times New Roman;serif" w:hAnsi="Times New Roman;serif"/>
          <w:b/>
          <w:sz w:val="20"/>
        </w:rPr>
        <w:t>Note 9 – Commitments and Contingencies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i/>
          <w:sz w:val="20"/>
        </w:rPr>
        <w:t>Letter of credit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has a standby letter of credit, expiring September 30, 2024, issued by a financial institution as required security for one operating lease. The aggregate amount of the letter of credit was $260,000</w:t>
      </w:r>
      <w:r>
        <w:rPr>
          <w:rFonts w:ascii="Times New Roman" w:hAnsi="Times New Roman"/>
          <w:sz w:val="20"/>
        </w:rPr>
        <w:t xml:space="preserve"> </w:t>
      </w:r>
      <w:r>
        <w:rPr>
          <w:rFonts w:ascii="Times New Roman;serif" w:hAnsi="Times New Roman;serif"/>
          <w:b w:val="false"/>
          <w:sz w:val="20"/>
        </w:rPr>
        <w:t>as of March 31, 2023 and December 31, 2022.</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Legal Matters</w:t>
      </w:r>
    </w:p>
    <w:p>
      <w:pPr>
        <w:pStyle w:val="TextBody"/>
        <w:spacing w:before="120" w:after="0"/>
        <w:jc w:val="left"/>
        <w:rPr>
          <w:rFonts w:ascii="Times New Roman" w:hAnsi="Times New Roman"/>
          <w:sz w:val="20"/>
        </w:rPr>
      </w:pPr>
      <w:r>
        <w:rPr>
          <w:rFonts w:ascii="Times New Roman;serif" w:hAnsi="Times New Roman;serif"/>
          <w:b w:val="false"/>
          <w:sz w:val="20"/>
        </w:rPr>
        <w:t>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March 31, 2023 and December 31, 2022, there were no</w:t>
      </w:r>
      <w:r>
        <w:rPr>
          <w:rFonts w:ascii="Times New Roman" w:hAnsi="Times New Roman"/>
          <w:sz w:val="20"/>
        </w:rPr>
        <w:t xml:space="preserve"> </w:t>
      </w:r>
      <w:r>
        <w:rPr>
          <w:rFonts w:ascii="Times New Roman;serif" w:hAnsi="Times New Roman;serif"/>
          <w:b w:val="false"/>
          <w:sz w:val="20"/>
        </w:rPr>
        <w:t>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26</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9" w:name="item_2_mda"/>
      <w:bookmarkEnd w:id="9"/>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spacing w:before="120" w:after="0"/>
        <w:jc w:val="left"/>
        <w:rPr>
          <w:rFonts w:ascii="Times New Roman" w:hAnsi="Times New Roman"/>
          <w:sz w:val="20"/>
        </w:rPr>
      </w:pPr>
      <w:r>
        <w:rPr>
          <w:rFonts w:ascii="Times New Roman;serif" w:hAnsi="Times New Roman;serif"/>
          <w:b w:val="false"/>
          <w:i/>
          <w:sz w:val="20"/>
        </w:rPr>
        <w:t>The following discussion and analysis of our financial condition and results of operations should be read in conjunction with our unaudited condensed consolidated financial statements and the related notes to those statements included elsewhere in this report and our audited consolidated financial statements and related notes thereto for the year ended December 31, 2022, included in our Annual Report on Form 10-K filed with the U.S. Securities and Exchange Commission on March 6, 2023.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Part II, Item 1A (“Risk Factors”) of, and elsewhere in, this report. See “Special Note Regarding Forward-Looking Statements.”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commercial-stage medical technology company dedicated to providing high quality customized vision to patients following cataract surgery. Our proprietary RxSight® Light Adjustable Lens system (“RxSight system”) is the first and only commercially available premium cataract technology that enables doctors to customize and optimize visual acuity for patients after surgery. The RxSight system is comprised of our RxSight Light Adjustable Lens® (“LAL”®), RxSight Light Delivery Device (“LDD”) and accessories. Our LAL is a premium intraocular lens (“IOL”) made of proprietary photosensitive material that changes shape in response to specific patterns of ultraviolet (“UV”) light generated by our LDD.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designed our RxSight system to address the shortcomings of competitive premium IOL technologies and provide a solution that doctors can trust to improve visual outcomes and achieve high levels of patient satisfaction. Competitive premium IOLs require patients to specify their visual priorities before surgery and be willing to accept various optical trade-offs associated with those choices. Once a patient has selected a competitive premium IOL, the surgeon must rely on a series of preoperative diagnostic tests and predictive formulae to choose the appropriate lens power. If the doctor’s prediction isn’t exact, the patient may experience suboptimal results that could necessitate a subsequent corneal refractive procedure or certain other compromises in order to reach vision targets.</w:t>
      </w:r>
    </w:p>
    <w:p>
      <w:pPr>
        <w:pStyle w:val="TextBody"/>
        <w:spacing w:before="120" w:after="0"/>
        <w:jc w:val="left"/>
        <w:rPr>
          <w:rFonts w:ascii="Times New Roman" w:hAnsi="Times New Roman"/>
          <w:sz w:val="20"/>
        </w:rPr>
      </w:pPr>
      <w:r>
        <w:rPr>
          <w:rFonts w:ascii="Times New Roman;serif" w:hAnsi="Times New Roman;serif"/>
          <w:b w:val="false"/>
          <w:sz w:val="20"/>
        </w:rPr>
        <w:t>In contrast, with the RxSight system, the surgeon implants the LAL during a standard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increased confidence and peace of mind by eliminating the high-stakes preoperative guesswork common to competitive premium IOLs and allowing patients to iterate their final vision characteristics with customized post-surgical adjustments.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compete in the IOL market in the U.S. The LAL is a premium IOL which is partially reimbursable under Medicare, and in some cases by private payors. Premium IOLs are sold at a higher price point than conventional IOLs, as they provide refractive correction of vision unlike a conventional IOL that only replaces the natural lens with a clear lens (which is the standard for Medicare reimbursement). Our RxSight system is approved in Mexico and Canada for improving uncorrected visual acuity by adjusting the LAL power to correct residual postoperative refractive error. We may selectively pursue commercial expansion in these or other geographies that accept these approvals in the future, with a priority on markets where we see significant potential opportunity. New approvals may also be sought in large cataract markets with more complex regulatory processes such as Asia.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a Delaware corporation headquartered in Aliso Viejo, California with one wholly owned subsidiary located in Amsterdam, Netherlands. The wholly owned subsidiary has a registered branch in the United Kingdom and a wholly owned subsidiary located in Germany.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commercial efforts began in 2019 and have been primarily focused in the United States, where we are building a “razor and razor blade” business model to drive new customer adoption and ongoing LAL volume growth. Our United States commercial organization includes a direct sales team of LDD sales personnel and LAL account managers, as well as clinical specialists, field service engineers and marketing personnel. Our sales efforts are concentrated on the roughly 3,000 U.S. cataract surgeons that perform 70%-80% of all premium IOL procedures. As of March 31, 2023, we had established an installed base of 456 LDDs in ophthalmology practices and, since our inception through March 31, 2023, surgeons have implanted over 52,000 LALs.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believe this business model provides an attractive and concentrated market opportunity addressable with a focused sales force. We intend to continue to make significant investments in our sales and marketing organization. We believe selectively increasing the number of sales representatives, practice development personnel and clinical</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27</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trainers will help facilitate further adoption of our products among existing customer accounts as well as broaden awareness of our products to new accounts. We plan to grow our business primarily by expanding the size of our LDD installed base and driving increased utilization of our LAL through heightened awareness of the superior clinical outcomes that our RxSight system provides patients. To continue to strengthen our competitive position in the premium IOL market, our research and development activities are focused primarily on programs that improve clinical outcomes, improve customer experience, expand our indications for use, reduce manufacturing costs and lifecycle management.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near-term research and development activities are focused on enhancements to the RxSight system to improve the patient and doctor experience, expand the range of patients that can be treated, as well as expand the RxSight system indications and drive adoption. We believe that over time, our adjustable lens solution can be used to address a broad range of cataract surgery patients, including those that would otherwise elect for a conventional cataract procedure today. 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intend to continue to make investments in our sales and marketing organization, primarily sales representatives, clinical applications specialists and technical service personnel to support new customers and upgrades and LAL account managers to facilitate adoption of use of our LALs among existing accounts. We will expand our marketing efforts with additional print and digital, social media and other customer tools to expand their local advertising. We will also continue to make significant investments in research and development and clinical expenses to make enhancements in our current products. As a public company, we will incur costs that we have not previously incurred or have previously incurred at lower rates, including increased costs for employee-related expenses, director and officer insurance premiums, audit and legal fees, investor relations fees, fees to members of our Board and expenses for compliance with public-company reporting requirements. Because of these and other factors, we expect to continue to incur net losses and negative cash flows from operations in the future.</w:t>
      </w:r>
    </w:p>
    <w:p>
      <w:pPr>
        <w:pStyle w:val="TextBody"/>
        <w:spacing w:before="120" w:after="0"/>
        <w:jc w:val="left"/>
        <w:rPr>
          <w:rFonts w:ascii="Times New Roman" w:hAnsi="Times New Roman"/>
          <w:sz w:val="20"/>
        </w:rPr>
      </w:pPr>
      <w:r>
        <w:rPr>
          <w:rFonts w:ascii="Times New Roman;serif" w:hAnsi="Times New Roman;serif"/>
          <w:b w:val="false"/>
          <w:sz w:val="20"/>
        </w:rPr>
        <w:t>We believe that our existing cash and cash equivalents and short-term investments, will enable us to fund our operating expenses and capital expenditure and meet our term loan covenant requirements for at least the next 12 months from the date of filing of this report. Although we do not anticipate the need to raise additional capital or incur additional debt in order to reach profit from operations, as the same may be disclosed in the Company’s future Annual Reports on Form 10-K or Quarterly Reports on Form 10-Q filed with the SEC, we may be required to raise additional capital through public or private equity offerings or debt financings, credit or loan facilities or by entering into partnerships or a combination of one or more of these funding sources in order to meet our liquidity requirements. We may also opportunistically access our at-the-market (“ATM”) facility under advantageous circumstances. If we raise additional funds by issuing equity securities, our stockholders may experience dilution.</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Times New Roman;serif" w:hAnsi="Times New Roman;serif"/>
          <w:b/>
          <w:sz w:val="20"/>
        </w:rPr>
        <w:t>Key business metrics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regularly review several operating and financial metrics to evaluate our business, measure our performance, identify trends affecting our business, formulate our business plan and make strategic decisions. We believe the number of LDDs installed and LALs implanted are indicators of our ability to drive adoption and generate revenue. We believe these are important metrics for our business. We may not yet be able to accurately assess seasonality and other trends, and we will continue to evaluate our business in the future using these and other financial metrics as we observe trends in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the number of LDDs sold in each quarter and our LDD installed base at the end of each period are important metrics as they represent an installed base into which we can sell our LALs.</w:t>
      </w:r>
    </w:p>
    <w:tbl>
      <w:tblPr>
        <w:tblW w:w="7162" w:type="dxa"/>
        <w:jc w:val="left"/>
        <w:tblInd w:w="0" w:type="dxa"/>
        <w:tblCellMar>
          <w:top w:w="28" w:type="dxa"/>
          <w:left w:w="28" w:type="dxa"/>
          <w:bottom w:w="28" w:type="dxa"/>
          <w:right w:w="28" w:type="dxa"/>
        </w:tblCellMar>
      </w:tblPr>
      <w:tblGrid>
        <w:gridCol w:w="2611"/>
        <w:gridCol w:w="146"/>
        <w:gridCol w:w="146"/>
        <w:gridCol w:w="421"/>
        <w:gridCol w:w="146"/>
        <w:gridCol w:w="146"/>
        <w:gridCol w:w="146"/>
        <w:gridCol w:w="421"/>
        <w:gridCol w:w="146"/>
        <w:gridCol w:w="146"/>
        <w:gridCol w:w="146"/>
        <w:gridCol w:w="421"/>
        <w:gridCol w:w="146"/>
        <w:gridCol w:w="211"/>
        <w:gridCol w:w="146"/>
        <w:gridCol w:w="421"/>
        <w:gridCol w:w="146"/>
        <w:gridCol w:w="146"/>
        <w:gridCol w:w="146"/>
        <w:gridCol w:w="421"/>
        <w:gridCol w:w="146"/>
        <w:gridCol w:w="191"/>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9"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2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Q1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Q1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Q2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Q3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Q4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LDDs Sold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Installed Base at End of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 Reduced by one LDD taken out of installed base in Q2 2022.</w:t>
      </w:r>
    </w:p>
    <w:p>
      <w:pPr>
        <w:pStyle w:val="TextBody"/>
        <w:spacing w:before="120" w:after="0"/>
        <w:jc w:val="left"/>
        <w:rPr>
          <w:rFonts w:ascii="Times New Roman" w:hAnsi="Times New Roman"/>
          <w:sz w:val="20"/>
        </w:rPr>
      </w:pPr>
      <w:r>
        <w:rPr>
          <w:rFonts w:ascii="Times New Roman;serif" w:hAnsi="Times New Roman;serif"/>
          <w:b w:val="false"/>
          <w:sz w:val="20"/>
        </w:rPr>
        <w:t>We believe the number of LALs sold (reported as implanted in a patient) in each quarter is an important metric indicative of adoption and utilization of our RxSight system. During the quarter ended March 31, 2023, we had</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28</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increased LDD sales of 16 and increased LAL sales of 6,357 when compared to the quarter ended March 31, 2022 from strong adoption of our RxSight technology by practices and doctors combined with an increased LDD installed base.</w:t>
      </w:r>
      <w:r>
        <w:rPr>
          <w:rFonts w:ascii="Times New Roman" w:hAnsi="Times New Roman"/>
          <w:sz w:val="20"/>
        </w:rPr>
        <w:t xml:space="preserve"> </w:t>
      </w:r>
    </w:p>
    <w:p>
      <w:pPr>
        <w:pStyle w:val="TextBody"/>
        <w:spacing w:before="0" w:after="0"/>
        <w:jc w:val="left"/>
        <w:rPr/>
      </w:pPr>
      <w:r>
        <w:rPr/>
        <w:t> </w:t>
      </w:r>
    </w:p>
    <w:tbl>
      <w:tblPr>
        <w:tblW w:w="6186" w:type="dxa"/>
        <w:jc w:val="left"/>
        <w:tblInd w:w="0" w:type="dxa"/>
        <w:tblCellMar>
          <w:top w:w="28" w:type="dxa"/>
          <w:left w:w="28" w:type="dxa"/>
          <w:bottom w:w="28" w:type="dxa"/>
          <w:right w:w="28" w:type="dxa"/>
        </w:tblCellMar>
      </w:tblPr>
      <w:tblGrid>
        <w:gridCol w:w="991"/>
        <w:gridCol w:w="146"/>
        <w:gridCol w:w="676"/>
        <w:gridCol w:w="146"/>
        <w:gridCol w:w="146"/>
        <w:gridCol w:w="146"/>
        <w:gridCol w:w="571"/>
        <w:gridCol w:w="146"/>
        <w:gridCol w:w="146"/>
        <w:gridCol w:w="146"/>
        <w:gridCol w:w="571"/>
        <w:gridCol w:w="146"/>
        <w:gridCol w:w="146"/>
        <w:gridCol w:w="146"/>
        <w:gridCol w:w="571"/>
        <w:gridCol w:w="146"/>
        <w:gridCol w:w="146"/>
        <w:gridCol w:w="146"/>
        <w:gridCol w:w="571"/>
        <w:gridCol w:w="146"/>
        <w:gridCol w:w="191"/>
      </w:tblGrid>
      <w:tr>
        <w:trPr/>
        <w:tc>
          <w:tcPr>
            <w:tcW w:w="9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991" w:type="dxa"/>
            <w:tcBorders/>
            <w:shd w:fill="auto" w:val="cle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4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Q1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Q1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Q2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Q3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Q4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LALs Sold</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9,123</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sz w:val="20"/>
        </w:rPr>
        <w:t>Components of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Sales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sales consist of the sale of LALs used in cataract surgeries, the LDDs for delivering light to the LALs to adjust the lens post-surgery, as needed, and service and accessories. Revenue is derived from sales of products primarily in the United States. Customers are primarily comprised of ophthalmic practices (LDD sales) and ambulatory surgery centers (LAL sales). We expect revenue to increase in absolute dollars as we expand our sales organization and sales territories, add customers, expand the base of doctors that are trained to use our products, and expand awareness of our products with new and existing customers and as doctors perform more procedures using our products.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LALs are held at customer sites on consignment. The single performance obligation is satisfied, and revenue is recognized for LALs upon customer notification that the LALs have been implanted in a patient.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LDD contracts contain multiple performance obligations bundled into one transaction price, with all obligations generally satisfied within one year. The LDD capital asset and related components revenue is recognized upon installation and customer acceptance, training revenue is recognized upon completion of training by at least one doctor and the initial warranty and service agreement are recognized ratably over the service period. After the first year, service contracts can be purchased separately on a standalone basis. Revenue for such service agreements will be recognized over the term of each contract. We recorded contract liabilities of $1,388,000 and $1,187,000 related to such service agreements as of March 31, 2023 and December 31, 2022, respectively.</w:t>
      </w:r>
    </w:p>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 and 2022, sales from contracts with customers consisted of the following (in thousands):</w:t>
      </w:r>
      <w:r>
        <w:rPr>
          <w:rFonts w:ascii="Times New Roman" w:hAnsi="Times New Roman"/>
          <w:sz w:val="20"/>
        </w:rPr>
        <w:t xml:space="preserve"> </w:t>
      </w:r>
    </w:p>
    <w:p>
      <w:pPr>
        <w:pStyle w:val="TextBody"/>
        <w:spacing w:before="120" w:after="0"/>
        <w:jc w:val="left"/>
        <w:rPr/>
      </w:pPr>
      <w:r>
        <w:rPr/>
        <w:t> </w:t>
      </w:r>
    </w:p>
    <w:tbl>
      <w:tblPr>
        <w:tblW w:w="7517" w:type="dxa"/>
        <w:jc w:val="left"/>
        <w:tblInd w:w="0" w:type="dxa"/>
        <w:tblCellMar>
          <w:top w:w="28" w:type="dxa"/>
          <w:left w:w="28" w:type="dxa"/>
          <w:bottom w:w="28" w:type="dxa"/>
          <w:right w:w="28" w:type="dxa"/>
        </w:tblCellMar>
      </w:tblPr>
      <w:tblGrid>
        <w:gridCol w:w="4246"/>
        <w:gridCol w:w="146"/>
        <w:gridCol w:w="300"/>
        <w:gridCol w:w="962"/>
        <w:gridCol w:w="207"/>
        <w:gridCol w:w="207"/>
        <w:gridCol w:w="300"/>
        <w:gridCol w:w="812"/>
        <w:gridCol w:w="146"/>
        <w:gridCol w:w="191"/>
      </w:tblGrid>
      <w:tr>
        <w:trPr/>
        <w:tc>
          <w:tcPr>
            <w:tcW w:w="4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7" w:type="dxa"/>
            <w:tcBorders/>
            <w:shd w:fill="auto" w:val="clear"/>
            <w:vAlign w:val="center"/>
          </w:tcPr>
          <w:p>
            <w:pPr>
              <w:pStyle w:val="TableContents"/>
              <w:spacing w:before="0" w:after="0"/>
              <w:ind w:left="0" w:right="0" w:hanging="0"/>
              <w:jc w:val="center"/>
              <w:rPr/>
            </w:pPr>
            <w:r>
              <w:rPr/>
              <w:t> </w:t>
            </w:r>
          </w:p>
        </w:tc>
        <w:tc>
          <w:tcPr>
            <w:tcW w:w="11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gridSpan w:val="2"/>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LDD (including training)</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6,475</w:t>
            </w:r>
          </w:p>
        </w:tc>
        <w:tc>
          <w:tcPr>
            <w:tcW w:w="207"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4,569</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LAL</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10,395</w:t>
            </w:r>
          </w:p>
        </w:tc>
        <w:tc>
          <w:tcPr>
            <w:tcW w:w="207"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8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4,105</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warranty, service contracts, and accessories</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619</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3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17,489</w:t>
            </w:r>
          </w:p>
        </w:tc>
        <w:tc>
          <w:tcPr>
            <w:tcW w:w="2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3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8,942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 and 2022 we did not have any one customer who individually accounted for more than 10% of revenue.</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Times New Roman;serif" w:hAnsi="Times New Roman;serif"/>
          <w:b/>
          <w:i/>
          <w:sz w:val="20"/>
        </w:rPr>
        <w:t>Cost of sales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Cost of sales consist of materials, labor and manufacturing overhead internally to produce the Company’s products as well as the cost of shipping and handling. Overhead costs include the cost of quality assurance, material procurement, inventory control, facilities, equipment and operations supervision and management and stock-based compensation. Cost of sales also includes depreciation expense for production equipment and certain direct costs such as shipping costs and royalty and license fee expense. Shipping costs billed to customers are included in sales. We expect cost of sales to increase in absolute dollars as our revenue grows and more of our products are sold. </w:t>
        <w:br/>
      </w:r>
      <w:r>
        <w:rPr>
          <w:rFonts w:ascii="Times New Roman" w:hAnsi="Times New Roman"/>
          <w:sz w:val="20"/>
        </w:rPr>
        <w:t> </w:t>
      </w:r>
    </w:p>
    <w:p>
      <w:pPr>
        <w:pStyle w:val="TextBody"/>
        <w:spacing w:before="120" w:after="0"/>
        <w:jc w:val="left"/>
        <w:rPr>
          <w:rFonts w:ascii="Times New Roman" w:hAnsi="Times New Roman"/>
          <w:sz w:val="20"/>
        </w:rPr>
      </w:pPr>
      <w:r>
        <w:rPr>
          <w:rFonts w:ascii="Times New Roman;serif" w:hAnsi="Times New Roman;serif"/>
          <w:b w:val="false"/>
          <w:sz w:val="20"/>
        </w:rPr>
        <w:t>We calculate gross margin as gross profit/(loss)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29</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fluctuate from quarter to quarter as we introduce new products, and as we adopt new manufacturing processes and technologies.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LDD, as is typical of many medical device capital equipment products, has a low gross margin, as the material cost of the LDD is significant, representing greater than 50% of the total cost to manufacture. In addition, we do not mark up our LDD substantially, as LDDs, as sold, generate LAL procedures. Our LAL gross margin is higher, with low material cost but high fixed overhead costs. As our manufacturing volume of the LAL increases, we expect the gross margin may improve significantly.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Operating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Selling, general and administrative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Selling, general and administrative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and tax fees, board of directors’ expenses, insurance costs, general corporate expenses and facilities-related expenses. We expect SG&amp;A expenses to continue to increase in absolute dollars as we expand our sales and marketing organization and infrastructure to both drive and support the anticipated growth in revenue and due to additional legal, accounting audit and tax fees, insurance and other expenses associated with being a public company.</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 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research and development expenses as a percentage of revenue to vary over time depending on the level and timing of our new product development efforts, as well as our clinical development, clinical trials and registries and other related activities.</w:t>
      </w:r>
    </w:p>
    <w:p>
      <w:pPr>
        <w:pStyle w:val="TextBody"/>
        <w:spacing w:before="160" w:after="0"/>
        <w:jc w:val="left"/>
        <w:rPr>
          <w:rFonts w:ascii="Times New Roman" w:hAnsi="Times New Roman"/>
          <w:sz w:val="20"/>
        </w:rPr>
      </w:pPr>
      <w:r>
        <w:rPr>
          <w:rFonts w:ascii="Times New Roman;serif" w:hAnsi="Times New Roman;serif"/>
          <w:b/>
          <w:i/>
          <w:sz w:val="20"/>
        </w:rPr>
        <w:t>Interest expense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Interest expense consist primarily of interest incurred on our outstanding indebtedness and non-cash interest related to the amortization of debt discount and issuance costs associated with our indebtedness.</w:t>
      </w:r>
      <w:r>
        <w:rPr>
          <w:rFonts w:ascii="Times New Roman" w:hAnsi="Times New Roman"/>
          <w:sz w:val="20"/>
        </w:rPr>
        <w:t xml:space="preserve"> </w:t>
      </w:r>
    </w:p>
    <w:p>
      <w:pPr>
        <w:pStyle w:val="TextBody"/>
        <w:spacing w:before="160" w:after="0"/>
        <w:jc w:val="left"/>
        <w:rPr>
          <w:rFonts w:ascii="Times New Roman;serif" w:hAnsi="Times New Roman;serif"/>
          <w:b/>
          <w:i/>
          <w:sz w:val="20"/>
        </w:rPr>
      </w:pPr>
      <w:r>
        <w:rPr>
          <w:rFonts w:ascii="Times New Roman;serif" w:hAnsi="Times New Roman;serif"/>
          <w:b/>
          <w:i/>
          <w:sz w:val="20"/>
        </w:rPr>
        <w:t>Interest and other income</w:t>
      </w:r>
    </w:p>
    <w:p>
      <w:pPr>
        <w:pStyle w:val="TextBody"/>
        <w:spacing w:before="120" w:after="0"/>
        <w:jc w:val="left"/>
        <w:rPr>
          <w:rFonts w:ascii="Times New Roman" w:hAnsi="Times New Roman"/>
          <w:sz w:val="20"/>
        </w:rPr>
      </w:pPr>
      <w:r>
        <w:rPr>
          <w:rFonts w:ascii="Times New Roman;serif" w:hAnsi="Times New Roman;serif"/>
          <w:b w:val="false"/>
          <w:sz w:val="20"/>
        </w:rPr>
        <w:t>Interest and other income consist primarily of interest income earned on our short-term investments and cash and cash equivalents.</w:t>
      </w:r>
      <w:r>
        <w:rPr>
          <w:rFonts w:ascii="Times New Roman" w:hAnsi="Times New Roman"/>
          <w:sz w:val="20"/>
        </w:rPr>
        <w:t xml:space="preserve"> </w:t>
      </w:r>
    </w:p>
    <w:p>
      <w:pPr>
        <w:pStyle w:val="TextBody"/>
        <w:spacing w:before="160" w:after="0"/>
        <w:jc w:val="left"/>
        <w:rPr>
          <w:rFonts w:ascii="Times New Roman;serif" w:hAnsi="Times New Roman;serif"/>
          <w:b/>
          <w:i/>
          <w:sz w:val="20"/>
        </w:rPr>
      </w:pPr>
      <w:r>
        <w:rPr>
          <w:rFonts w:ascii="Times New Roman;serif" w:hAnsi="Times New Roman;serif"/>
          <w:b/>
          <w:i/>
          <w:sz w:val="20"/>
        </w:rPr>
        <w:t>Comprehensive loss</w:t>
      </w:r>
    </w:p>
    <w:p>
      <w:pPr>
        <w:pStyle w:val="TextBody"/>
        <w:spacing w:before="120" w:after="0"/>
        <w:jc w:val="left"/>
        <w:rPr>
          <w:rFonts w:ascii="Times New Roman" w:hAnsi="Times New Roman"/>
          <w:sz w:val="20"/>
        </w:rPr>
      </w:pPr>
      <w:r>
        <w:rPr>
          <w:rFonts w:ascii="Times New Roman;serif" w:hAnsi="Times New Roman;serif"/>
          <w:b w:val="false"/>
          <w:sz w:val="20"/>
        </w:rPr>
        <w:t>All components of comprehensive loss, including net loss, are reported in the condensed consolidated financial statements in the period in which they are recognized. Comprehensive loss is defined as the change in equity during a period from transactions and other events and circumstances from non-owner sources, including unrealized gains and losses on short-term investments and foreign currency translation adjustments.</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30</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Comparison of the three months ended March 31, 2023 and 2022</w:t>
      </w:r>
      <w:r>
        <w:rPr>
          <w:rFonts w:ascii="Times New Roman" w:hAnsi="Times New Roman"/>
          <w:sz w:val="20"/>
        </w:rPr>
        <w:t xml:space="preserve"> </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three months ended March 31, 2023 and 2022 together with the dollar increase or decrease and percentage change in those items.</w:t>
      </w:r>
    </w:p>
    <w:tbl>
      <w:tblPr>
        <w:tblW w:w="9508" w:type="dxa"/>
        <w:jc w:val="left"/>
        <w:tblInd w:w="0" w:type="dxa"/>
        <w:tblCellMar>
          <w:top w:w="28" w:type="dxa"/>
          <w:left w:w="28" w:type="dxa"/>
          <w:bottom w:w="28" w:type="dxa"/>
          <w:right w:w="28" w:type="dxa"/>
        </w:tblCellMar>
      </w:tblPr>
      <w:tblGrid>
        <w:gridCol w:w="4036"/>
        <w:gridCol w:w="266"/>
        <w:gridCol w:w="931"/>
        <w:gridCol w:w="210"/>
        <w:gridCol w:w="184"/>
        <w:gridCol w:w="266"/>
        <w:gridCol w:w="931"/>
        <w:gridCol w:w="166"/>
        <w:gridCol w:w="146"/>
        <w:gridCol w:w="211"/>
        <w:gridCol w:w="571"/>
        <w:gridCol w:w="166"/>
        <w:gridCol w:w="146"/>
        <w:gridCol w:w="146"/>
        <w:gridCol w:w="721"/>
        <w:gridCol w:w="411"/>
      </w:tblGrid>
      <w:tr>
        <w:trPr/>
        <w:tc>
          <w:tcPr>
            <w:tcW w:w="403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036" w:type="dxa"/>
            <w:tcBorders/>
            <w:shd w:fill="auto" w:val="clear"/>
            <w:vAlign w:val="center"/>
          </w:tcPr>
          <w:p>
            <w:pPr>
              <w:pStyle w:val="TableContents"/>
              <w:spacing w:before="0" w:after="0"/>
              <w:ind w:left="0" w:right="0" w:hanging="0"/>
              <w:jc w:val="left"/>
              <w:rPr/>
            </w:pPr>
            <w:r>
              <w:rPr/>
              <w:t> </w:t>
            </w:r>
          </w:p>
        </w:tc>
        <w:tc>
          <w:tcPr>
            <w:tcW w:w="2788" w:type="dxa"/>
            <w:gridSpan w:val="6"/>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1" w:type="dxa"/>
            <w:gridSpan w:val="6"/>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4036" w:type="dxa"/>
            <w:tcBorders/>
            <w:shd w:fill="auto" w:val="clear"/>
            <w:vAlign w:val="center"/>
          </w:tcPr>
          <w:p>
            <w:pPr>
              <w:pStyle w:val="TableContents"/>
              <w:spacing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 thousands, except percentages)</w:t>
            </w:r>
          </w:p>
        </w:tc>
        <w:tc>
          <w:tcPr>
            <w:tcW w:w="11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4" w:type="dxa"/>
            <w:tcBorders/>
            <w:shd w:fill="auto" w:val="clear"/>
            <w:vAlign w:val="center"/>
          </w:tcPr>
          <w:p>
            <w:pPr>
              <w:pStyle w:val="TableContents"/>
              <w:spacing w:before="0" w:after="0"/>
              <w:ind w:left="0" w:right="0" w:hanging="0"/>
              <w:jc w:val="center"/>
              <w:rPr/>
            </w:pPr>
            <w:r>
              <w:rPr/>
              <w:t> </w:t>
            </w:r>
          </w:p>
        </w:tc>
        <w:tc>
          <w:tcPr>
            <w:tcW w:w="11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17,489</w:t>
            </w:r>
          </w:p>
        </w:tc>
        <w:tc>
          <w:tcPr>
            <w:tcW w:w="210"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95.6</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7,123</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5,181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Gross profit</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10,366</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6,605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197" w:type="dxa"/>
            <w:gridSpan w:val="2"/>
            <w:tcBorders/>
            <w:shd w:fill="auto" w:val="clear"/>
            <w:vAlign w:val="center"/>
          </w:tcPr>
          <w:p>
            <w:pPr>
              <w:pStyle w:val="TableContents"/>
              <w:spacing w:before="0" w:after="0"/>
              <w:ind w:left="0" w:right="0" w:hanging="0"/>
              <w:jc w:val="right"/>
              <w:rPr/>
            </w:pPr>
            <w:r>
              <w:rPr/>
              <w:t> </w:t>
            </w:r>
          </w:p>
        </w:tc>
        <w:tc>
          <w:tcPr>
            <w:tcW w:w="210"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19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26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16,255</w:t>
            </w:r>
          </w:p>
        </w:tc>
        <w:tc>
          <w:tcPr>
            <w:tcW w:w="210"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411" w:type="dxa"/>
            <w:tcBorders/>
            <w:shd w:fill="auto" w:val="clear"/>
            <w:vAlign w:val="center"/>
          </w:tcPr>
          <w:p>
            <w:pPr>
              <w:pStyle w:val="TableContents"/>
              <w:spacing w:before="0" w:after="0"/>
              <w:ind w:left="0" w:right="0" w:firstLine="200"/>
              <w:jc w:val="left"/>
              <w:rPr/>
            </w:pPr>
            <w:r>
              <w:rPr/>
              <w:t> </w:t>
            </w:r>
          </w:p>
        </w:tc>
      </w:tr>
      <w:tr>
        <w:trPr/>
        <w:tc>
          <w:tcPr>
            <w:tcW w:w="4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7,208</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411"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23,463</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2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4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(13,097</w:t>
            </w:r>
          </w:p>
        </w:tc>
        <w:tc>
          <w:tcPr>
            <w:tcW w:w="2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197" w:type="dxa"/>
            <w:gridSpan w:val="2"/>
            <w:tcBorders/>
            <w:shd w:fill="auto" w:val="clear"/>
            <w:vAlign w:val="center"/>
          </w:tcPr>
          <w:p>
            <w:pPr>
              <w:pStyle w:val="TableContents"/>
              <w:spacing w:before="0" w:after="0"/>
              <w:ind w:left="0" w:right="0" w:hanging="0"/>
              <w:jc w:val="right"/>
              <w:rPr/>
            </w:pPr>
            <w:r>
              <w:rPr/>
              <w:t> </w:t>
            </w:r>
          </w:p>
        </w:tc>
        <w:tc>
          <w:tcPr>
            <w:tcW w:w="210"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19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26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(1,507</w:t>
            </w:r>
          </w:p>
        </w:tc>
        <w:tc>
          <w:tcPr>
            <w:tcW w:w="2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w:t>
            </w:r>
          </w:p>
        </w:tc>
        <w:tc>
          <w:tcPr>
            <w:tcW w:w="411" w:type="dxa"/>
            <w:tcBorders/>
            <w:shd w:fill="auto" w:val="clear"/>
            <w:vAlign w:val="center"/>
          </w:tcPr>
          <w:p>
            <w:pPr>
              <w:pStyle w:val="TableContents"/>
              <w:spacing w:before="0" w:after="0"/>
              <w:ind w:left="0" w:right="0" w:firstLine="200"/>
              <w:jc w:val="left"/>
              <w:rPr/>
            </w:pPr>
            <w:r>
              <w:rPr/>
              <w:t> </w:t>
            </w:r>
          </w:p>
        </w:tc>
      </w:tr>
      <w:tr>
        <w:trPr/>
        <w:tc>
          <w:tcPr>
            <w:tcW w:w="4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other income</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1,392</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2,910.1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(expense) income, net:</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(13,212</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4,380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26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210"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(13,212</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197" w:type="dxa"/>
            <w:gridSpan w:val="2"/>
            <w:tcBorders/>
            <w:shd w:fill="auto" w:val="clear"/>
            <w:vAlign w:val="center"/>
          </w:tcPr>
          <w:p>
            <w:pPr>
              <w:pStyle w:val="TableContents"/>
              <w:spacing w:before="0" w:after="0"/>
              <w:ind w:left="0" w:right="0" w:hanging="0"/>
              <w:jc w:val="right"/>
              <w:rPr/>
            </w:pPr>
            <w:r>
              <w:rPr/>
              <w:t> </w:t>
            </w:r>
          </w:p>
        </w:tc>
        <w:tc>
          <w:tcPr>
            <w:tcW w:w="210"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19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short-term investments</w:t>
            </w:r>
          </w:p>
        </w:tc>
        <w:tc>
          <w:tcPr>
            <w:tcW w:w="26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210"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(213.5</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gain (loss)</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comprehensive loss</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(13,126</w:t>
            </w:r>
          </w:p>
        </w:tc>
        <w:tc>
          <w:tcPr>
            <w:tcW w:w="2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(17,674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4,548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shd w:fill="auto" w:val="clear"/>
            <w:vAlign w:val="center"/>
          </w:tcPr>
          <w:p>
            <w:pPr>
              <w:pStyle w:val="TableContents"/>
              <w:spacing w:before="0" w:after="0"/>
              <w:ind w:left="0" w:right="0" w:hanging="0"/>
              <w:jc w:val="left"/>
              <w:rPr/>
            </w:pPr>
            <w:r>
              <w:rPr/>
              <w:t> </w:t>
            </w:r>
          </w:p>
        </w:tc>
        <w:tc>
          <w:tcPr>
            <w:tcW w:w="1197" w:type="dxa"/>
            <w:gridSpan w:val="2"/>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19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bl>
    <w:p>
      <w:pPr>
        <w:pStyle w:val="TextBody"/>
        <w:spacing w:before="40" w:after="0"/>
        <w:jc w:val="left"/>
        <w:rPr>
          <w:rFonts w:ascii="Times New Roman" w:hAnsi="Times New Roman"/>
          <w:sz w:val="20"/>
        </w:rPr>
      </w:pPr>
      <w:r>
        <w:rPr>
          <w:rFonts w:ascii="Times New Roman;serif" w:hAnsi="Times New Roman;serif"/>
          <w:b/>
          <w:i/>
          <w:sz w:val="20"/>
        </w:rPr>
        <w:t>Sales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Sales increased by $8.6 million, or 95.6%, to $17.5 million for the three months ended March 31, 2023, from $8.9 million for the three months ended March 31, 2022. The increase in total sales was primarily due to incremental sales of 6,357 LALs and 16 LDDs from strong adoption of our RxSight technology by practices and doctors.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Cost of sales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Cost of sales increased by $1.9 million, or 37.5%, to $7.1 million for the three months ended March 31, 2023, from $5.2 million for the three months ended March 31, 2022, primarily due to the increase in the number of LALs and LDDs sold during the period. Gross margin increased to 59.3% in the three months ended March 31, 2023, from 42.6% for the three months ended March 31, 2022 primarily due to improved operating leverage from increased sales volumes and favorable product mix.</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SG&amp;A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SG&amp;A expenses increased by $2.7 million, or 19.3%, to $16.3 million for the three months ended March 31, 2023, from $13.6 million for the three months ended March 31, 2022. This increase was primarily attributable to an increase in selling and marketing costs of $2.0 million mainly due to increased salaries from increased headcount of 36, $0.3 million of increased stock-based compensation expense due to increased headcount, and increased travel costs of $0.2 million from increased LDD sales when compared to the three months ended March 31, 2022. General and administrative expenses increased $0.1 million due to increased personnel expenses of $0.3 million primarily due to increased headcount, and increased stock-based compensation of $0.2 million which were partially offset by lower insurance costs of $0.3 million when compared to the three months ended March 31, 2022.</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31</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expenses increased by $0.5 million, or 7.3%, to $7.2 million for the three months ended March 31, 2023, from $6.7 million for the three months ended March 31, 2022. This increase was primarily attributable to increased salaries of $0.5 million from increased headcount and $0.3 million from increased clinical study costs which were partially offset by reduced material costs of $0.2 million.</w:t>
      </w:r>
    </w:p>
    <w:p>
      <w:pPr>
        <w:pStyle w:val="TextBody"/>
        <w:spacing w:before="160" w:after="0"/>
        <w:jc w:val="left"/>
        <w:rPr>
          <w:rFonts w:ascii="Times New Roman" w:hAnsi="Times New Roman"/>
          <w:sz w:val="20"/>
        </w:rPr>
      </w:pPr>
      <w:r>
        <w:rPr>
          <w:rFonts w:ascii="Times New Roman;serif" w:hAnsi="Times New Roman;serif"/>
          <w:b/>
          <w:i/>
          <w:sz w:val="20"/>
        </w:rPr>
        <w:t>Other income (expense), net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Other income (expense), net, decreased by $0.9 million to expense of $0.1 million for the three months ended March 31, 2023 from expense of $1.0 million for the three months ended March 31, 2022 due to an increase in interest expense of $0.5 million on our amended term loan due to increased interest paid from higher interest rates which were offset by increased interest income of $1.3 million from higher interest rates earned on our short-term investments.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Sources of liquidity</w:t>
      </w:r>
    </w:p>
    <w:p>
      <w:pPr>
        <w:pStyle w:val="TextBody"/>
        <w:spacing w:before="120" w:after="0"/>
        <w:jc w:val="left"/>
        <w:rPr>
          <w:rFonts w:ascii="Times New Roman" w:hAnsi="Times New Roman"/>
          <w:sz w:val="20"/>
        </w:rPr>
      </w:pPr>
      <w:r>
        <w:rPr>
          <w:rFonts w:ascii="Times New Roman;serif" w:hAnsi="Times New Roman;serif"/>
          <w:b w:val="false"/>
          <w:sz w:val="20"/>
        </w:rPr>
        <w:t>We have incurred significant operating losses and negative cash flows from operations since our inception, and we anticipate that we will incur significant losses in the future.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we had cash, cash equivalents and short-term investments of $153.9 million. For the three months ended March 31, 2023, and 2022, our loss from operations were $13.1 million and $16.6 million, respectively. We had an accumulated deficit of $559.2 million as of March 31, 2023.</w:t>
      </w:r>
      <w:r>
        <w:rPr>
          <w:rFonts w:ascii="Times New Roman" w:hAnsi="Times New Roman"/>
          <w:sz w:val="20"/>
        </w:rPr>
        <w:t xml:space="preserve"> </w:t>
      </w:r>
    </w:p>
    <w:p>
      <w:pPr>
        <w:pStyle w:val="TextBody"/>
        <w:spacing w:before="160" w:after="0"/>
        <w:jc w:val="left"/>
        <w:rPr>
          <w:rFonts w:ascii="Times New Roman;serif" w:hAnsi="Times New Roman;serif"/>
          <w:b/>
          <w:sz w:val="20"/>
        </w:rPr>
      </w:pPr>
      <w:r>
        <w:rPr>
          <w:rFonts w:ascii="Times New Roman;serif" w:hAnsi="Times New Roman;serif"/>
          <w:b/>
          <w:sz w:val="20"/>
        </w:rPr>
        <w:t>Recent Developments</w:t>
      </w:r>
    </w:p>
    <w:p>
      <w:pPr>
        <w:pStyle w:val="TextBody"/>
        <w:spacing w:before="120" w:after="0"/>
        <w:jc w:val="left"/>
        <w:rPr>
          <w:rFonts w:ascii="Times New Roman" w:hAnsi="Times New Roman"/>
          <w:sz w:val="20"/>
        </w:rPr>
      </w:pPr>
      <w:r>
        <w:rPr>
          <w:rFonts w:ascii="Times New Roman;serif" w:hAnsi="Times New Roman;serif"/>
          <w:b/>
          <w:i/>
          <w:sz w:val="20"/>
        </w:rPr>
        <w:t>Shelf Registration Statement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August 8, 2022, we filed a $200.0 million shelf registration statement which became effective on August 12, 2022. The shelf registration is effective for three years and permits us to sell, from time to time, up to $200.0 million in aggregate value of our common stock, preferred stock, debt securities, warrants, and/or units. The shelf registration statement was intended to provide us with flexibility to access additional capital when market conditions are appropriate. At the time of filing the shelf registration statement, we also filed a prospectus supplement to sell up to an aggregate value of $50.0 million dollars of our common stock through an ATM offering. The ATM shares are offered through BofA Securities, Inc. as sales agent. As of March 31, 2023, a total of 1,355,216 shares of common stock, for total net proceeds of $16.9 million, have been issued and sold through the ATM offering, of which 879,341 shares of common stock, for net proceeds of $10.9 million, were sold during the quarter ended March 31,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February 7, 2023, we entered into an underwriting agreement with BofA Securities, Inc., pursuant to which we agreed to issue and sell 4,000,000 shares of our common stock in a public offering, pursuant to the shelf registration statement. The shares of common stock were sold at a price to the public of $12.50 per share. Under the terms of the underwriting agreement, we also granted the underwriters an option exercisable for 30 days from the date of the underwriting agreement to purchase up to an additional 600,000 shares of common stock on the same terms and conditions. The public offering closed on February 10, 2023. The underwriters' option was exercised in full on February 10, 2023 and closed on February 14, 2023. We received net proceeds of approximately $53.6 million from the public offering, after deducting underwriters' discounts and commissions of $3.5 million and offering expenses of $0.5 million.</w:t>
      </w:r>
    </w:p>
    <w:p>
      <w:pPr>
        <w:pStyle w:val="TextBody"/>
        <w:spacing w:before="120" w:after="0"/>
        <w:jc w:val="left"/>
        <w:rPr>
          <w:rFonts w:ascii="Times New Roman" w:hAnsi="Times New Roman"/>
          <w:sz w:val="20"/>
        </w:rPr>
      </w:pPr>
      <w:r>
        <w:rPr>
          <w:rFonts w:ascii="Times New Roman;serif" w:hAnsi="Times New Roman;serif"/>
          <w:b/>
          <w:i/>
          <w:sz w:val="20"/>
        </w:rPr>
        <w:t>Term Loan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May 3, 2022, we entered into a Second Amendment (“Second Amendment”) to the Term Loan (as amended through the Second Amendment, (“Amended Term Loan”). The Amended Term Loan increased the loan and security agreement to $60.0 million, of which $40.0 million was fully funded as of May 3, 2022 from the original term loan. Under the Amended Term Loan, we may borrow an additional amount of up to $10.0 million through June 30, 2023, upon satisfaction of the applicable drawdown conditions and achievement of sufficient trailing twelve-month sales as provided in the agreement for the measurement period ending March 31, 2023. Subject to the terms and conditions of the Amended Term Loan, we may also borrow an additional amount of up to $10.0 million through September 30, 2023, upon satisfaction of the applicable drawdown conditions and achievement of sufficient trailing twelve-month sales as provided in the agreement for the measurement period ending June 30, 2023. The</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32</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Amended Term Loan bears interest at a rate per annum equal to the greater of (i) 9.25% or (ii) 1-Month Term Secured Overnight Financing Rate (“SOFR”) (or, if greater, 0.16%) plus an applicable margin of 9.09%. If there is an event of default under the Amended Term Loan additional interest of 5% applies. The Amended Term Loan extends the maturity date of the loan and security agreement from October 1, 2025 to February 1, 2027. The Company refers to its $60.0 million Amended Term Loan as its credit facility. See Note 6 - Term Loan in the Notes to the unaudited condensed consolidated financial statements included in this report.</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Standby letter of credit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also have a standby letter of credit, expiring September 30, 2024, issued by a financial institution as a required security for one operating lease. The aggregate amount of the letter of credit was $0.3 million as of March 31, 2023 and December 31, 2022, respectively.</w:t>
      </w:r>
    </w:p>
    <w:p>
      <w:pPr>
        <w:pStyle w:val="TextBody"/>
        <w:spacing w:before="120" w:after="0"/>
        <w:jc w:val="left"/>
        <w:rPr>
          <w:rFonts w:ascii="Times New Roman" w:hAnsi="Times New Roman"/>
          <w:sz w:val="20"/>
        </w:rPr>
      </w:pPr>
      <w:r>
        <w:rPr>
          <w:rFonts w:ascii="Times New Roman;serif" w:hAnsi="Times New Roman;serif"/>
          <w:b/>
          <w:i/>
          <w:sz w:val="20"/>
        </w:rPr>
        <w:t>Funding requirements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future liquidity and capital funding requirements will depend on numerous factors,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sales growth;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research and development efforts;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sales and marketing activities;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working capital investments, primarily in inventories and accounts receivable;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debt service and debt covenant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raise additional funds or borrow on our credit facility to finance our operations;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outcome, costs and timing of any clinical trial results for our current or future products;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emergence and effect of competing or complementary products;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retain our current employees and the need and ability to hire additional management, sales, research and development, scientific and customer support personnel;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terms and timing of any collaborative, licensing or other arrangements that we have or may establish;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operating and finance lease payments for our facilities;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extent to which we acquire or invest in businesses, products or technologies;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impact of the COVID-19 pandemic.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quarter ended March 31, 2023, we sold 879,341 common shares through the ATM offering for $10.9 million in net proceeds after deducting underwriting discounts and commissions. In addition, in February 2023, we sold 4,600,000 common shares in a public offering and received net proceeds of approximately $53.6 million, after deducting underwriters' discounts and commissions of $3.5 million and offering expenses of $0.5 million.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that our current cash, cash equivalents and short-term investments through the date of filing of this report will be sufficient to fund our operations for at least the next 12 months. Although, based on our current planned operations, we do not anticipate the need to raise additional capital or incur additional debt in order to reach profit from operations, as the same may be disclosed in the Company’s future Annual Reports on Form 10-K or Quarterly Reports on Form 10-Q filed with the SEC, we may be required to raise additional capital through public or private equity offerings or debt financings, credit or loan facilities or by entering into partnerships or a combination of one or more of these funding sources in order to meet our liquidity requirements. We may also opportunistically access our ATM facility under advantageous circumstances.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See Part II, Item 1A (“Risk Factors”) of this report for additional risks associated with our substantial capital requirements.</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33</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i/>
          <w:sz w:val="20"/>
        </w:rPr>
        <w:t>Summary statement of cash flows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sets forth the primary sources and uses of cash, cash equivalents, and restricted cash for each of the periods presented below:</w:t>
      </w:r>
      <w:r>
        <w:rPr>
          <w:rFonts w:ascii="Times New Roman" w:hAnsi="Times New Roman"/>
          <w:sz w:val="20"/>
        </w:rPr>
        <w:t xml:space="preserve"> </w:t>
      </w:r>
    </w:p>
    <w:tbl>
      <w:tblPr>
        <w:tblW w:w="8747" w:type="dxa"/>
        <w:jc w:val="left"/>
        <w:tblInd w:w="0" w:type="dxa"/>
        <w:tblCellMar>
          <w:top w:w="28" w:type="dxa"/>
          <w:left w:w="28" w:type="dxa"/>
          <w:bottom w:w="28" w:type="dxa"/>
          <w:right w:w="28" w:type="dxa"/>
        </w:tblCellMar>
      </w:tblPr>
      <w:tblGrid>
        <w:gridCol w:w="4741"/>
        <w:gridCol w:w="146"/>
        <w:gridCol w:w="330"/>
        <w:gridCol w:w="1151"/>
        <w:gridCol w:w="259"/>
        <w:gridCol w:w="228"/>
        <w:gridCol w:w="330"/>
        <w:gridCol w:w="1151"/>
        <w:gridCol w:w="411"/>
      </w:tblGrid>
      <w:tr>
        <w:trPr/>
        <w:tc>
          <w:tcPr>
            <w:tcW w:w="4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7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4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4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(unaudited)</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8" w:type="dxa"/>
            <w:tcBorders/>
            <w:shd w:fill="auto" w:val="clear"/>
            <w:vAlign w:val="center"/>
          </w:tcPr>
          <w:p>
            <w:pPr>
              <w:pStyle w:val="TableContents"/>
              <w:spacing w:before="0" w:after="0"/>
              <w:ind w:left="0" w:right="0" w:hanging="0"/>
              <w:jc w:val="center"/>
              <w:rPr/>
            </w:pPr>
            <w:r>
              <w:rPr/>
              <w:t> </w:t>
            </w:r>
          </w:p>
        </w:tc>
        <w:tc>
          <w:tcPr>
            <w:tcW w:w="14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provided by:</w:t>
            </w:r>
          </w:p>
        </w:tc>
        <w:tc>
          <w:tcPr>
            <w:tcW w:w="146" w:type="dxa"/>
            <w:tcBorders/>
            <w:shd w:fill="auto" w:val="clear"/>
            <w:vAlign w:val="center"/>
          </w:tcPr>
          <w:p>
            <w:pPr>
              <w:pStyle w:val="TableContents"/>
              <w:spacing w:before="0" w:after="0"/>
              <w:ind w:left="0" w:right="0" w:hanging="0"/>
              <w:jc w:val="left"/>
              <w:rPr/>
            </w:pPr>
            <w:r>
              <w:rPr/>
              <w:t> </w:t>
            </w:r>
          </w:p>
        </w:tc>
        <w:tc>
          <w:tcPr>
            <w:tcW w:w="1481" w:type="dxa"/>
            <w:gridSpan w:val="2"/>
            <w:tcBorders/>
            <w:shd w:fill="auto" w:val="clear"/>
            <w:vAlign w:val="center"/>
          </w:tcPr>
          <w:p>
            <w:pPr>
              <w:pStyle w:val="TableContents"/>
              <w:spacing w:before="0" w:after="0"/>
              <w:ind w:left="0" w:right="0" w:hanging="0"/>
              <w:jc w:val="right"/>
              <w:rPr/>
            </w:pPr>
            <w:r>
              <w:rPr/>
              <w:t> </w:t>
            </w:r>
          </w:p>
        </w:tc>
        <w:tc>
          <w:tcPr>
            <w:tcW w:w="259"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481"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7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(17,764</w:t>
            </w:r>
          </w:p>
        </w:tc>
        <w:tc>
          <w:tcPr>
            <w:tcW w:w="2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8"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(14,985</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(48,365</w:t>
            </w:r>
          </w:p>
        </w:tc>
        <w:tc>
          <w:tcPr>
            <w:tcW w:w="2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8"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14,859</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65,305</w:t>
            </w:r>
          </w:p>
        </w:tc>
        <w:tc>
          <w:tcPr>
            <w:tcW w:w="25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Effect of foreign exchange rate on cash, cash equivalents</w:t>
              <w:br/>
              <w:t>   and restricted cash</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(822</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8" w:type="dxa"/>
            <w:tcBorders/>
            <w:shd w:fill="auto" w:val="clear"/>
            <w:vAlign w:val="center"/>
          </w:tcPr>
          <w:p>
            <w:pPr>
              <w:pStyle w:val="TableContents"/>
              <w:spacing w:before="0" w:after="0"/>
              <w:ind w:left="0" w:right="0" w:hanging="0"/>
              <w:jc w:val="lef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sz w:val="20"/>
        </w:rPr>
        <w:t>Cash used in operating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Net cash used in operating activities for the three months ended March 31, 2023, was $17.8 million, consisting primarily of a net loss of $13.2 million and a change in operating assets and liabilities of $7.7 million, partially offset by non-cash stock-based compensation of $3.3 million.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Net cash used in operating activities for the three months ended March 31, 2022, was $15.0 million, consisting primarily of a net loss of $17.6 million and a net increase in operating assets and a net decrease in operating liabilities of $1.2 million, which was partially offset by non-cash stock-based compensation of $2.6 million and depreciation and amortization of $1.0 million.</w:t>
      </w:r>
      <w:r>
        <w:rPr>
          <w:rFonts w:ascii="Times New Roman" w:hAnsi="Times New Roman"/>
          <w:sz w:val="20"/>
        </w:rPr>
        <w:t xml:space="preserve"> </w:t>
      </w:r>
    </w:p>
    <w:p>
      <w:pPr>
        <w:pStyle w:val="TextBody"/>
        <w:spacing w:before="160" w:after="0"/>
        <w:jc w:val="left"/>
        <w:rPr>
          <w:rFonts w:ascii="Times New Roman;serif" w:hAnsi="Times New Roman;serif"/>
          <w:b/>
          <w:sz w:val="20"/>
        </w:rPr>
      </w:pPr>
      <w:r>
        <w:rPr>
          <w:rFonts w:ascii="Times New Roman;serif" w:hAnsi="Times New Roman;serif"/>
          <w:b/>
          <w:sz w:val="20"/>
        </w:rPr>
        <w:t>Cash (used in) provided by investing activities</w:t>
      </w:r>
    </w:p>
    <w:p>
      <w:pPr>
        <w:pStyle w:val="TextBody"/>
        <w:spacing w:before="120" w:after="0"/>
        <w:jc w:val="left"/>
        <w:rPr>
          <w:rFonts w:ascii="Times New Roman" w:hAnsi="Times New Roman"/>
          <w:sz w:val="20"/>
        </w:rPr>
      </w:pPr>
      <w:r>
        <w:rPr>
          <w:rFonts w:ascii="Times New Roman;serif" w:hAnsi="Times New Roman;serif"/>
          <w:b w:val="false"/>
          <w:sz w:val="20"/>
        </w:rPr>
        <w:t>Net cash used in investing activities for the three months ended March 31, 2023, was $48.4 million, consisting primarily of net purchases of short-term investments of $47.6 million and purchases of property and equipment of $0.7 million.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provided by investing activities for the three months ended March 31, 2022, was $14.9 million, consisting primarily of net maturities of short-term investments of $15.2 million.</w:t>
      </w:r>
    </w:p>
    <w:p>
      <w:pPr>
        <w:pStyle w:val="TextBody"/>
        <w:spacing w:before="160" w:after="0"/>
        <w:jc w:val="left"/>
        <w:rPr>
          <w:rFonts w:ascii="Times New Roman" w:hAnsi="Times New Roman"/>
          <w:sz w:val="20"/>
        </w:rPr>
      </w:pPr>
      <w:r>
        <w:rPr>
          <w:rFonts w:ascii="Times New Roman;serif" w:hAnsi="Times New Roman;serif"/>
          <w:b/>
          <w:sz w:val="20"/>
        </w:rPr>
        <w:t>Cash provided by (used in) financing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Net cash provided by financing activities for the three months ended March 31, 2023, was $65.3 million consisting primarily of proceeds from issuances of common stock from our public offering of $54.1 million, proceeds from issuance of common stock for at-the-market offerings of $11.1 million and proceeds from stock options exercised of $0.8 million.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Net cash used in financing activities for the three months ended March 31, 2022, was $0.1 million, primarily consisting of payments for employee taxes related to stock compensation of $0.4 million offset by proceeds from stock options exercised of $0.3 million.</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Contractual obligations and commitments</w:t>
      </w:r>
    </w:p>
    <w:p>
      <w:pPr>
        <w:pStyle w:val="TextBody"/>
        <w:spacing w:before="120" w:after="0"/>
        <w:jc w:val="left"/>
        <w:rPr>
          <w:rFonts w:ascii="Times New Roman" w:hAnsi="Times New Roman"/>
          <w:sz w:val="20"/>
        </w:rPr>
      </w:pPr>
      <w:r>
        <w:rPr>
          <w:rFonts w:ascii="Times New Roman;serif" w:hAnsi="Times New Roman;serif"/>
          <w:b w:val="false"/>
          <w:sz w:val="20"/>
        </w:rPr>
        <w:t>We have a standby letter of credit, expiring September 30, 2024, issued by a financial institution as a required security for one operating lease. The aggregate amount of the letter of credit was $0.3 million as of March 31, 2023 and December 31, 2022.</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Times New Roman;serif" w:hAnsi="Times New Roman;serif"/>
          <w:b/>
          <w:sz w:val="20"/>
        </w:rPr>
        <w:t>Critical accounting policies, significant judgments and use of estimates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management’s discussion and analysis of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34</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 circumstances, the results of which form the basis for making judgments about the carrying value of assets and liabilities that are not readily apparent from other sources. Actual results may differ from these estimates under different assumptions or conditions, which may affect our future financial statement presentation, financial condition, results of operations and cash flows. Our significant accounting policies are more fully described in the notes to our financial statements included in our Annual Report on Form 10-K filed with the SEC on March 6, 2023. We believe that the accounting policies we use are critical to the process of making significant judgments and estimates in the preparation of our financial statements and understanding and evaluating our reported financial results.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that accounting policies we have identified as critical involve a greater degree of judgment and complexity than our other accounting policies. Accordingly, those are the policies we believe are the most critical to understanding and evaluating our consolidated financial condition and results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a summary of our critical accounting policies and estimates, refer to “Management's Discussion and Analysis of Financial Condition and Results of Operations” included in our Annual Report on Form 10-K filed with the SEC on March 6, 2023. There have been no material changes to our critical accounting policies and estimates during the three months ended March 31, 2023.</w:t>
      </w:r>
    </w:p>
    <w:p>
      <w:pPr>
        <w:pStyle w:val="TextBody"/>
        <w:spacing w:before="160" w:after="0"/>
        <w:jc w:val="left"/>
        <w:rPr>
          <w:rFonts w:ascii="Times New Roman" w:hAnsi="Times New Roman"/>
          <w:sz w:val="20"/>
        </w:rPr>
      </w:pPr>
      <w:r>
        <w:rPr>
          <w:rFonts w:ascii="Times New Roman;serif" w:hAnsi="Times New Roman;serif"/>
          <w:b/>
          <w:sz w:val="20"/>
        </w:rPr>
        <w:t>Indemnification agreements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Times New Roman;serif" w:hAnsi="Times New Roman;serif"/>
          <w:b/>
          <w:sz w:val="20"/>
        </w:rPr>
        <w:t>Recent accounting pronouncements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See the section titled “Summary of Significant Accounting Policies—Recent Accounting Pronouncements” in Note 2 to our financial statements included elsewhere in this report for additional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Emerging growth company and smaller reporting company status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an “emerging growth company,” as defined in the Jumpstart Our Business Startups Act of 2012, or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in this report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JOBS Act permits an “emerging growth company” such as us to take advantage of an extended transition period to comply with new or revised accounting standards applicable to public companies. However, we have chosen to irrevocably “opt out” of such extended transition period, and as a result, we will comply with new or revised accounting standards on the relevant dates on which adoption of such standards is required for non-emerging growth companies.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will remain an emerging growth company until the earliest of: (i) the last day of the fiscal year following the fifth anniversary of the consummation of our initial public offering (i.e. December 31, 2026);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35</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spacing w:before="120" w:after="0"/>
        <w:jc w:val="left"/>
        <w:rPr>
          <w:rFonts w:ascii="Times New Roman;serif" w:hAnsi="Times New Roman;serif"/>
          <w:b/>
          <w:sz w:val="20"/>
        </w:rPr>
      </w:pPr>
      <w:r>
        <w:rPr>
          <w:rFonts w:ascii="Times New Roman;serif" w:hAnsi="Times New Roman;serif"/>
          <w:b/>
          <w:sz w:val="20"/>
        </w:rPr>
        <w:t>Supply chain constraints, inflation and COVID-19 pandemic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since the start of the COVID-19 pandemic and resultant supply chain constraints,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particularly in Europe and Asia, related to the COVID-19 pandemic, and COVID related shutdowns in China and the military conflict in Ukraine,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due to these supply chain constraints we will identify and qualify new vendors or substitute components which requires testing, validations and documentation adding to internal costs and diverting engineering resources from other projects. On January 31, 2023, the FDA approved our premarket approval supplement to our lower cost LDD for various modifications that are intended to reduce the cost to manufacture the device. However, we have deferred the introduction of our lower cost-to-manufacture LDD to the market until the second half of 2023, as it is less difficult to procure components and subcomponents for our existing LDD than the lower cost-to-manufacture LDD. Currently, we are procuring materials for both LDD's, which have the same functionality. Management’s expectation is that our gross margin will be impacted by the decision to continue to produce both LDD's, which is necessary to mitigate potential supply chain issues.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pStyle w:val="TextBody"/>
        <w:spacing w:before="160" w:after="0"/>
        <w:jc w:val="left"/>
        <w:rPr>
          <w:rFonts w:ascii="Times New Roman" w:hAnsi="Times New Roman"/>
          <w:sz w:val="20"/>
        </w:rPr>
      </w:pPr>
      <w:r>
        <w:rPr>
          <w:rFonts w:ascii="Times New Roman;serif" w:hAnsi="Times New Roman;serif"/>
          <w:b w:val="false"/>
          <w:sz w:val="20"/>
        </w:rPr>
        <w:t>Uncertain macroeconomic conditions including recent inflationary pressures and the rise in interest rates have created significant uncertainty in the U.S. economy and capital markets, which is expected to continue in 2023 and beyond and could negatively impact our financial results and liquidity.</w:t>
      </w:r>
      <w:r>
        <w:rPr>
          <w:rFonts w:ascii="Times New Roman" w:hAnsi="Times New Roman"/>
          <w:sz w:val="20"/>
        </w:rPr>
        <w:t xml:space="preserve"> </w:t>
      </w:r>
    </w:p>
    <w:p>
      <w:pPr>
        <w:pStyle w:val="TextBody"/>
        <w:spacing w:before="160" w:after="0"/>
        <w:jc w:val="left"/>
        <w:rPr>
          <w:rFonts w:ascii="Times New Roman" w:hAnsi="Times New Roman"/>
          <w:sz w:val="20"/>
        </w:rPr>
      </w:pPr>
      <w:bookmarkStart w:id="10" w:name="item_3_quantitative_qualitative_disclosu"/>
      <w:bookmarkEnd w:id="10"/>
      <w:r>
        <w:rPr>
          <w:rFonts w:ascii="Times New Roman;serif" w:hAnsi="Times New Roman;serif"/>
          <w:b/>
          <w:sz w:val="20"/>
        </w:rPr>
        <w:t>ITEM 3.</w:t>
      </w:r>
      <w:r>
        <w:rPr>
          <w:rFonts w:ascii="Times New Roman" w:hAnsi="Times New Roman"/>
          <w:sz w:val="20"/>
        </w:rPr>
        <w:t xml:space="preserve"> </w:t>
      </w:r>
      <w:r>
        <w:rPr>
          <w:rFonts w:ascii="Times New Roman;serif" w:hAnsi="Times New Roman;serif"/>
          <w:b/>
          <w:sz w:val="20"/>
        </w:rPr>
        <w:t>QUANTITATIVE AND QUALITATIVE DISCLOSURES ABOUT MARKET RISK</w:t>
      </w:r>
    </w:p>
    <w:p>
      <w:pPr>
        <w:pStyle w:val="TextBody"/>
        <w:spacing w:before="120" w:after="0"/>
        <w:jc w:val="left"/>
        <w:rPr>
          <w:rFonts w:ascii="Times New Roman" w:hAnsi="Times New Roman"/>
          <w:sz w:val="20"/>
        </w:rPr>
      </w:pPr>
      <w:r>
        <w:rPr>
          <w:rFonts w:ascii="Times New Roman;serif" w:hAnsi="Times New Roman;serif"/>
          <w:b w:val="false"/>
          <w:sz w:val="20"/>
        </w:rPr>
        <w:t>As a smaller reporting company, we are not required to provide disclosure under this item.</w:t>
      </w:r>
      <w:r>
        <w:rPr>
          <w:rFonts w:ascii="Times New Roman" w:hAnsi="Times New Roman"/>
          <w:sz w:val="20"/>
        </w:rPr>
        <w:t xml:space="preserve"> </w:t>
      </w:r>
    </w:p>
    <w:p>
      <w:pPr>
        <w:pStyle w:val="TextBody"/>
        <w:spacing w:before="160" w:after="0"/>
        <w:jc w:val="left"/>
        <w:rPr>
          <w:rFonts w:ascii="Times New Roman" w:hAnsi="Times New Roman"/>
          <w:sz w:val="20"/>
        </w:rPr>
      </w:pPr>
      <w:bookmarkStart w:id="11" w:name="item_4_controls_procedures"/>
      <w:bookmarkEnd w:id="11"/>
      <w:r>
        <w:rPr>
          <w:rFonts w:ascii="Times New Roman;serif" w:hAnsi="Times New Roman;serif"/>
          <w:b/>
          <w:sz w:val="20"/>
        </w:rPr>
        <w:t>ITEM 4.</w:t>
      </w:r>
      <w:r>
        <w:rPr>
          <w:rFonts w:ascii="Times New Roman" w:hAnsi="Times New Roman"/>
          <w:sz w:val="20"/>
        </w:rPr>
        <w:t xml:space="preserve"> </w:t>
      </w:r>
      <w:r>
        <w:rPr>
          <w:rFonts w:ascii="Times New Roman;serif" w:hAnsi="Times New Roman;serif"/>
          <w:b/>
          <w:sz w:val="20"/>
        </w:rPr>
        <w:t>CONTROLS</w:t>
      </w:r>
      <w:r>
        <w:rPr>
          <w:rFonts w:ascii="Times New Roman" w:hAnsi="Times New Roman"/>
          <w:sz w:val="20"/>
        </w:rPr>
        <w:t xml:space="preserve"> </w:t>
      </w:r>
      <w:r>
        <w:rPr>
          <w:rFonts w:ascii="Times New Roman;serif" w:hAnsi="Times New Roman;serif"/>
          <w:b/>
          <w:sz w:val="20"/>
        </w:rPr>
        <w:t>AND PROCEDURES</w:t>
      </w:r>
    </w:p>
    <w:p>
      <w:pPr>
        <w:pStyle w:val="TextBody"/>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120" w:after="0"/>
        <w:jc w:val="left"/>
        <w:rPr>
          <w:rFonts w:ascii="Times New Roman" w:hAnsi="Times New Roman"/>
          <w:sz w:val="20"/>
        </w:rPr>
      </w:pPr>
      <w:r>
        <w:rPr>
          <w:rFonts w:ascii="Times New Roman;serif" w:hAnsi="Times New Roman;serif"/>
          <w:b w:val="false"/>
          <w:sz w:val="20"/>
        </w:rPr>
        <w:t>As of March 31, 2023,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March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36</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pStyle w:val="TextBody"/>
        <w:spacing w:before="16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(as defined in Rules 13a-15(f) and 15d-15(f) under the Exchange Act) during the quarter ended March 31, 2023 that have materially affected, or are reasonably likely to materially affect, our internal control over financial reporting.</w:t>
      </w:r>
    </w:p>
    <w:p>
      <w:pPr>
        <w:pStyle w:val="TextBody"/>
        <w:spacing w:before="160" w:after="0"/>
        <w:jc w:val="left"/>
        <w:rPr>
          <w:rFonts w:ascii="Times New Roman;serif" w:hAnsi="Times New Roman;serif"/>
          <w:b/>
          <w:i/>
          <w:sz w:val="20"/>
        </w:rPr>
      </w:pPr>
      <w:r>
        <w:rPr>
          <w:rFonts w:ascii="Times New Roman;serif" w:hAnsi="Times New Roman;serif"/>
          <w:b/>
          <w:i/>
          <w:sz w:val="20"/>
        </w:rPr>
        <w:t>Limitations on the Effectiveness of Controls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pStyle w:val="TextBody"/>
        <w:spacing w:before="120" w:after="0"/>
        <w:jc w:val="left"/>
        <w:rPr/>
      </w:pPr>
      <w:r>
        <w:rPr/>
        <w:t> </w:t>
      </w:r>
    </w:p>
    <w:p>
      <w:pPr>
        <w:pStyle w:val="TextBody"/>
        <w:spacing w:before="240" w:after="0"/>
        <w:jc w:val="center"/>
        <w:rPr>
          <w:rFonts w:ascii="Times New Roman" w:hAnsi="Times New Roman"/>
          <w:sz w:val="20"/>
        </w:rPr>
      </w:pPr>
      <w:bookmarkStart w:id="12" w:name="part_ii_or_information"/>
      <w:bookmarkEnd w:id="12"/>
      <w:r>
        <w:rPr>
          <w:rFonts w:ascii="Times New Roman;serif" w:hAnsi="Times New Roman;serif"/>
          <w:b/>
          <w:sz w:val="20"/>
        </w:rPr>
        <w:t>Part II. OTHER</w:t>
      </w:r>
      <w:r>
        <w:rPr>
          <w:rFonts w:ascii="Times New Roman" w:hAnsi="Times New Roman"/>
          <w:sz w:val="20"/>
        </w:rPr>
        <w:t xml:space="preserve"> </w:t>
      </w:r>
      <w:r>
        <w:rPr>
          <w:rFonts w:ascii="Times New Roman;serif" w:hAnsi="Times New Roman;serif"/>
          <w:b/>
          <w:sz w:val="20"/>
        </w:rPr>
        <w:t>INFORMATION</w:t>
      </w:r>
    </w:p>
    <w:p>
      <w:pPr>
        <w:pStyle w:val="TextBody"/>
        <w:spacing w:before="160" w:after="0"/>
        <w:jc w:val="left"/>
        <w:rPr>
          <w:rFonts w:ascii="Times New Roman" w:hAnsi="Times New Roman"/>
          <w:sz w:val="20"/>
        </w:rPr>
      </w:pPr>
      <w:bookmarkStart w:id="13" w:name="item_1_legal_proceedings"/>
      <w:bookmarkEnd w:id="13"/>
      <w:r>
        <w:rPr>
          <w:rFonts w:ascii="Times New Roman;serif" w:hAnsi="Times New Roman;serif"/>
          <w:b/>
          <w:sz w:val="20"/>
        </w:rPr>
        <w:t>Item 1: Legal Proceedings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 Accordingly, the Company cannot determine the final amount, if any, of its liability beyond the amount accrued in the condensed consolidated financial statements as of March 31, 2023, nor is it possible to estimate what litigation-related costs will be in the future; however, the Company believes that the likelihood that claims related to litigation would result in a material loss to the Company, either individually or in the aggregate, is remote.</w:t>
      </w:r>
    </w:p>
    <w:p>
      <w:pPr>
        <w:pStyle w:val="TextBody"/>
        <w:spacing w:before="160" w:after="0"/>
        <w:jc w:val="left"/>
        <w:rPr>
          <w:rFonts w:ascii="Times New Roman;serif" w:hAnsi="Times New Roman;serif"/>
          <w:b/>
          <w:sz w:val="20"/>
        </w:rPr>
      </w:pPr>
      <w:bookmarkStart w:id="14" w:name="risk_factors"/>
      <w:bookmarkEnd w:id="14"/>
      <w:r>
        <w:rPr>
          <w:rFonts w:ascii="Times New Roman;serif" w:hAnsi="Times New Roman;serif"/>
          <w:b/>
          <w:sz w:val="20"/>
        </w:rPr>
        <w:t>Item 1A: Risk Factors</w:t>
      </w:r>
    </w:p>
    <w:p>
      <w:pPr>
        <w:pStyle w:val="TextBody"/>
        <w:spacing w:before="120" w:after="0"/>
        <w:jc w:val="left"/>
        <w:rPr>
          <w:rFonts w:ascii="Times New Roman" w:hAnsi="Times New Roman"/>
          <w:sz w:val="20"/>
        </w:rPr>
      </w:pPr>
      <w:r>
        <w:rPr>
          <w:rFonts w:ascii="Times New Roman;serif" w:hAnsi="Times New Roman;serif"/>
          <w:b w:val="false"/>
          <w:i/>
          <w:sz w:val="20"/>
        </w:rPr>
        <w:t>We operate in a rapidly changing environment that involves numerous uncertainties and risks. In addition to the other information included in this report,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report. The risks and uncertainties described below may not be the only ones we face. If any of the risks or uncertainties we face were to occur, the trading price of our securities could decline, and you may lose all or part of your investment. This report also contains forward-looking statements that involve risks and uncertainties. See the section titled “Special Note Regarding Forward-Looking Statements” appearing elsewhere in this report. Our actual results could differ materially from those anticipated in the forward-looking statements as a result of factors that are described below and elsewhere in this report.</w:t>
      </w:r>
      <w:r>
        <w:rPr>
          <w:rFonts w:ascii="Times New Roman" w:hAnsi="Times New Roman"/>
          <w:sz w:val="20"/>
        </w:rPr>
        <w:t xml:space="preserve"> </w:t>
      </w:r>
    </w:p>
    <w:p>
      <w:pPr>
        <w:pStyle w:val="TextBody"/>
        <w:spacing w:before="0" w:after="0"/>
        <w:jc w:val="left"/>
        <w:rPr/>
      </w:pPr>
      <w:r>
        <w:rPr/>
        <w:t> </w:t>
      </w:r>
    </w:p>
    <w:p>
      <w:pPr>
        <w:pStyle w:val="TextBody"/>
        <w:spacing w:before="0" w:after="120"/>
        <w:jc w:val="left"/>
        <w:rPr>
          <w:rFonts w:ascii="Times New Roman;serif" w:hAnsi="Times New Roman;serif"/>
          <w:b/>
          <w:sz w:val="20"/>
        </w:rPr>
      </w:pPr>
      <w:r>
        <w:rPr>
          <w:rFonts w:ascii="Times New Roman;serif" w:hAnsi="Times New Roman;serif"/>
          <w:b/>
          <w:sz w:val="20"/>
        </w:rPr>
        <w:t>Summary Risk Factors</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Our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37</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20"/>
        <w:jc w:val="left"/>
        <w:rPr>
          <w:rFonts w:ascii="Times New Roman;serif" w:hAnsi="Times New Roman;serif"/>
          <w:b/>
          <w:sz w:val="20"/>
        </w:rPr>
      </w:pPr>
      <w:r>
        <w:rPr>
          <w:rFonts w:ascii="Times New Roman;serif" w:hAnsi="Times New Roman;serif"/>
          <w:b/>
          <w:sz w:val="20"/>
        </w:rPr>
        <w:t>Risks related to our business and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have a limited operating history, and if we fail to effectively train our sales force, increase our sales and marketing capabilities, or develop broad brand awareness in a cost-effective manner, our growth will be impeded, and our business will suffer.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 history of net operating losses, and we expect to continue to incur losses in the future. If we ever achieve profitability, we may not be able to sustain it.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success depends in large part on our RxSight system. If we are unable to successfully market and sell our RxSight system, our business prospects will be significantly harmed, and we may be unable to achieve revenue growth.</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face significant competition, and if we are unable to compete effectively, we may not be able to achieve or maintain significant market penetration or improve our results of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Global economic, political and market conditions, including downgrades of the U.S. credit rating, may adversely affect our business, results of operations and financial condition, including our revenue growth and profitability.</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We currently maintain all of our cash, cash equivalents and short-term investments in a limited number of financial institutions and, therefore, our cash, cash equivalents and short-term investments could be adversely affected if any of the financial institutions in which we hold our cash, cash equivalents and short-term investments fails.</w:t>
      </w:r>
    </w:p>
    <w:p>
      <w:pPr>
        <w:pStyle w:val="TextBody"/>
        <w:spacing w:before="120" w:after="120"/>
        <w:jc w:val="left"/>
        <w:rPr>
          <w:rFonts w:ascii="Times New Roman;serif" w:hAnsi="Times New Roman;serif"/>
          <w:b/>
          <w:sz w:val="20"/>
        </w:rPr>
      </w:pPr>
      <w:r>
        <w:rPr>
          <w:rFonts w:ascii="Times New Roman;serif" w:hAnsi="Times New Roman;serif"/>
          <w:b/>
          <w:sz w:val="20"/>
        </w:rPr>
        <w:t>Risks related to intellectual property: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unable to protect the confidentiality of our trade secrets and other proprietary information, our business and competitive position may be harmed.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We may not be able to protect our intellectual property rights throughout the world, which could impair our business.</w:t>
      </w:r>
    </w:p>
    <w:p>
      <w:pPr>
        <w:pStyle w:val="TextBody"/>
        <w:spacing w:before="120" w:after="120"/>
        <w:jc w:val="left"/>
        <w:rPr>
          <w:rFonts w:ascii="Times New Roman;serif" w:hAnsi="Times New Roman;serif"/>
          <w:b/>
          <w:sz w:val="20"/>
        </w:rPr>
      </w:pPr>
      <w:r>
        <w:rPr>
          <w:rFonts w:ascii="Times New Roman;serif" w:hAnsi="Times New Roman;serif"/>
          <w:b/>
          <w:sz w:val="20"/>
        </w:rPr>
        <w:t>Risks related to government regulation:</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If we fail to obtain and maintain necessary regulatory clearances or approvals for our products, or if clearances or approvals for future products and indications are delayed or not issued, our commercial operations may be harmed.</w:t>
      </w:r>
    </w:p>
    <w:p>
      <w:pPr>
        <w:pStyle w:val="TextBody"/>
        <w:spacing w:before="120" w:after="120"/>
        <w:jc w:val="left"/>
        <w:rPr>
          <w:rFonts w:ascii="Times New Roman;serif" w:hAnsi="Times New Roman;serif"/>
          <w:b/>
          <w:sz w:val="20"/>
        </w:rPr>
      </w:pPr>
      <w:r>
        <w:rPr>
          <w:rFonts w:ascii="Times New Roman;serif" w:hAnsi="Times New Roman;serif"/>
          <w:b/>
          <w:sz w:val="20"/>
        </w:rPr>
        <w:t>Risks related to reliance on third parties: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We depend upon third parties, including single and sole source suppliers, to manufacture certain components and subcomponents of the RxSight system, making us vulnerable to supply disruptions and price fluctuations.</w:t>
      </w:r>
    </w:p>
    <w:p>
      <w:pPr>
        <w:pStyle w:val="TextBody"/>
        <w:spacing w:before="120" w:after="120"/>
        <w:jc w:val="left"/>
        <w:rPr>
          <w:rFonts w:ascii="Times New Roman;serif" w:hAnsi="Times New Roman;serif"/>
          <w:b/>
          <w:sz w:val="20"/>
        </w:rPr>
      </w:pPr>
      <w:r>
        <w:rPr>
          <w:rFonts w:ascii="Times New Roman;serif" w:hAnsi="Times New Roman;serif"/>
          <w:b/>
          <w:sz w:val="20"/>
        </w:rPr>
        <w:t>Risks related to our common stock:</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price of our stock may be volatile, and you could lose all or part of your investment.</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We do not know whether an active, liquid and orderly trading market will exist for our common stock or what the market price of our common stock will be and as a result it may be difficult for you to sell your shares of our common stock.</w:t>
      </w:r>
    </w:p>
    <w:p>
      <w:pPr>
        <w:pStyle w:val="TextBody"/>
        <w:spacing w:before="120" w:after="120"/>
        <w:jc w:val="left"/>
        <w:rPr>
          <w:rFonts w:ascii="Times New Roman;serif" w:hAnsi="Times New Roman;serif"/>
          <w:b/>
          <w:sz w:val="20"/>
        </w:rPr>
      </w:pPr>
      <w:r>
        <w:rPr>
          <w:rFonts w:ascii="Times New Roman;serif" w:hAnsi="Times New Roman;serif"/>
          <w:b/>
          <w:sz w:val="20"/>
        </w:rPr>
        <w:t>General risk factors: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must recruit, retain, manage and motivate qualified executives as we build out the management team, and we are highly dependent on our management team.</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Future litigation proceedings could adversely affect our business.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38</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120"/>
        <w:jc w:val="left"/>
        <w:rPr>
          <w:rFonts w:ascii="Times New Roman;serif" w:hAnsi="Times New Roman;serif"/>
          <w:b/>
          <w:sz w:val="20"/>
        </w:rPr>
      </w:pPr>
      <w:r>
        <w:rPr>
          <w:rFonts w:ascii="Times New Roman;serif" w:hAnsi="Times New Roman;serif"/>
          <w:b/>
          <w:sz w:val="20"/>
        </w:rPr>
        <w:t>Risks related to COVID-19:</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business, financial condition, results of operations and growth have been harmed by the effects of the COVID-19 pandemic and may continue to be harmed.</w:t>
      </w:r>
    </w:p>
    <w:p>
      <w:pPr>
        <w:pStyle w:val="TextBody"/>
        <w:spacing w:before="120" w:after="120"/>
        <w:jc w:val="left"/>
        <w:rPr>
          <w:rFonts w:ascii="Times New Roman;serif" w:hAnsi="Times New Roman;serif"/>
          <w:b/>
          <w:sz w:val="20"/>
        </w:rPr>
      </w:pPr>
      <w:r>
        <w:rPr>
          <w:rFonts w:ascii="Times New Roman;serif" w:hAnsi="Times New Roman;serif"/>
          <w:b/>
          <w:sz w:val="20"/>
        </w:rPr>
        <w:t>Risks related to our business and products</w:t>
      </w:r>
    </w:p>
    <w:p>
      <w:pPr>
        <w:pStyle w:val="TextBody"/>
        <w:spacing w:before="0" w:after="120"/>
        <w:jc w:val="left"/>
        <w:rPr>
          <w:rFonts w:ascii="Times New Roman;serif" w:hAnsi="Times New Roman;serif"/>
          <w:b/>
          <w:i/>
          <w:sz w:val="20"/>
        </w:rPr>
      </w:pPr>
      <w:r>
        <w:rPr>
          <w:rFonts w:ascii="Times New Roman;serif" w:hAnsi="Times New Roman;serif"/>
          <w:b/>
          <w:i/>
          <w:sz w:val="20"/>
        </w:rPr>
        <w:t>We have a limited operating history and if we fail to effectively train our sales force, increase our sales and marketing capabilities or develop broad brand awareness in a cost-effective manner, our growth will be impeded, and our business will suffer.</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were incorporated in March 1997 and began commercializing our products in the second half of 2019, when we initiated a full launch of our LAL and LDD. Accordingly, our limited commercialization experience and limited number of approved or cleared products make it difficult to evaluate our current business and assess our prospects. We also currently have limited sales and marketing experience. 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 including FDA 510(k) 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39</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20"/>
        <w:jc w:val="left"/>
        <w:rPr>
          <w:rFonts w:ascii="Times New Roman;serif" w:hAnsi="Times New Roman;serif"/>
          <w:b/>
          <w:i/>
          <w:sz w:val="20"/>
        </w:rPr>
      </w:pPr>
      <w:r>
        <w:rPr>
          <w:rFonts w:ascii="Times New Roman;serif" w:hAnsi="Times New Roman;serif"/>
          <w:b/>
          <w:i/>
          <w:sz w:val="20"/>
        </w:rPr>
        <w:t>We have a history of net losses, and we expect to continue to incur losses in the future. If we ever achieve profitability, we may not be able to sustain it.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have incurred losses from operations since our inception and expect to continue to incur losses from operations in the future. We reported losses from operations of $63.3 million and $52.8 million for the years ended December 31, 2022 and 2021, respectively and $13.1 million for the three months ended March 31, 2023. As a result of these losses, as of March 31, 2023, we had an accumulated deficit of $559.2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 In addition, we expect our general and administrative expenses to increase due to the costs associated with being a public company.</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net losses that we incur may fluctuate from period to period. We will need to generate significant additional revenue in order to achieve and sustain profitability. Even if we achieve profitability, we cannot be sure that we will remain profitable for any substantial period of time.</w:t>
      </w:r>
    </w:p>
    <w:p>
      <w:pPr>
        <w:pStyle w:val="TextBody"/>
        <w:spacing w:before="0" w:after="120"/>
        <w:jc w:val="left"/>
        <w:rPr>
          <w:rFonts w:ascii="Times New Roman;serif" w:hAnsi="Times New Roman;serif"/>
          <w:b/>
          <w:i/>
          <w:sz w:val="20"/>
        </w:rPr>
      </w:pPr>
      <w:r>
        <w:rPr>
          <w:rFonts w:ascii="Times New Roman;serif" w:hAnsi="Times New Roman;serif"/>
          <w:b/>
          <w:i/>
          <w:sz w:val="20"/>
        </w:rPr>
        <w:t>In order to support our continued operations and the growth of our business, we may seek to raise additional capital, which may not be available to us on acceptable terms, or at all.</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Because of these and other factors, we expect to continue to incur net losses and negative cash flows from operations in the future. Our future liquidity and capital funding requirements will depend on numerous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sales growth;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research and development efforts;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sales and marketing activities;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success in leveraging future strategic partnerships;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working capital investments, primarily in inventories and accounts receivable;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debt service and debt covenant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borrow on our credit facility or raise additional funds through our at-the-market offering to finance our operations;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outcome, costs and timing of any clinical trial results for our current or future products;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emergence and effect of competing or complementary products;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availability and amount of reimbursement for procedures using our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our ability to retain our current employees and the need and ability to hire additional management, sales, research and development, scientific and customer support personnel;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40</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terms and timing of any collaborative, licensing or other arrangements that we have or may establish;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operating and finance lease payments for our facilities;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extent to which we acquire or invest in businesses, products or technologies;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impact of the COVID-19 pandemic. </w:t>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noBreakHyphen/>
        <w:t>19 pandemic, the conflicts in Eastern Europe, and otherwise.</w:t>
      </w:r>
    </w:p>
    <w:p>
      <w:pPr>
        <w:pStyle w:val="TextBody"/>
        <w:spacing w:before="0" w:after="160"/>
        <w:jc w:val="left"/>
        <w:rPr>
          <w:rFonts w:ascii="Times New Roman" w:hAnsi="Times New Roman"/>
          <w:sz w:val="20"/>
        </w:rPr>
      </w:pPr>
      <w:r>
        <w:rPr>
          <w:rFonts w:ascii="Times New Roman;serif" w:hAnsi="Times New Roman;serif"/>
          <w:b w:val="false"/>
          <w:sz w:val="20"/>
        </w:rPr>
        <w:t>As of March 31, 2023 and December 31, 2022, we had $153.9 million and $105.8 million, respectively, in cash, cash equivalents and short-term investments. While we believe that our existing cash, cash equivalents and short-term investments and anticipated cash generated from sales of our products will be sufficient to meet our anticipated cash needs for at least 12 months following the date of this report, we cannot assure you that we will be able to generate sufficient liquidity as and when needed. Further, although we do not anticipate the need to raise additional capital or incur additional debt in order to reach profit from operations, as the same may be disclosed in the Company’s future Annual Reports on Form 10-K or Quarterly Reports on Form 10-Q filed with the SEC (though we may opportunistically access our ATM facility under advantageous circumstances),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 We cannot assure you that we will be able to generate sufficient liquidity as and when needed.</w:t>
      </w:r>
      <w:r>
        <w:rPr>
          <w:rFonts w:ascii="Times New Roman" w:hAnsi="Times New Roman"/>
          <w:sz w:val="20"/>
        </w:rPr>
        <w:t xml:space="preserve"> </w:t>
      </w:r>
    </w:p>
    <w:p>
      <w:pPr>
        <w:pStyle w:val="TextBody"/>
        <w:spacing w:before="0" w:after="160"/>
        <w:jc w:val="left"/>
        <w:rPr>
          <w:rFonts w:ascii="Times New Roman;serif" w:hAnsi="Times New Roman;serif"/>
          <w:b/>
          <w:i/>
          <w:sz w:val="20"/>
        </w:rPr>
      </w:pPr>
      <w:r>
        <w:rPr>
          <w:rFonts w:ascii="Times New Roman;serif" w:hAnsi="Times New Roman;serif"/>
          <w:b/>
          <w:i/>
          <w:sz w:val="20"/>
        </w:rPr>
        <w:t>Global economic, political and market conditions, including downgrades of the U.S. credit rating, may adversely affect our business, results of operations and financial condition, including our revenue growth and profitability.</w:t>
      </w:r>
    </w:p>
    <w:p>
      <w:pPr>
        <w:pStyle w:val="TextBody"/>
        <w:spacing w:before="0" w:after="160"/>
        <w:jc w:val="left"/>
        <w:rPr>
          <w:rFonts w:ascii="Times New Roman" w:hAnsi="Times New Roman"/>
          <w:sz w:val="20"/>
        </w:rPr>
      </w:pPr>
      <w:r>
        <w:rPr>
          <w:rFonts w:ascii="Times New Roman;serif" w:hAnsi="Times New Roman;serif"/>
          <w:b w:val="false"/>
          <w:sz w:val="20"/>
        </w:rPr>
        <w:t>The current worldwide economic and financial environment, as well as various social and political tensions in the U.S. and around the world, may contribute to increased market volatility, may have long-term effects on the U.S. and worldwide financial markets and may cause economic uncertainties or deterioration in the U.S. and worldwide. The impact of downgrades by rating agencies to the U.S. government’s sovereign credit rating or its perceived creditworthiness as well as potential government shutdowns could adversely affect the U.S. and global financial markets and economic conditions. U.S. debt ceiling and budget deficit concerns have increased the possibility of additional credit-rating downgrades and economic slowdowns, or a recession in the U.S. In addition, disagreement over the federal budget has caused the U.S. federal government to shut down for periods of time. Continued adverse</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41</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political and economic conditions could have a material adverse effect on our business, financial condition, results of operations and prospects.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Deterioration in the economic conditions globally resulting in instability in global financial markets, including the following, may pose a risk to our business: inflation and rising interest rates, large sovereign debts and fiscal deficits of several countries in Europe and in emerging markets’ jurisdictions, levels of non-performing loans on the balance sheets of European banks, the effect of the United Kingdom leaving the European Union, instability in the capital markets and the COVID-19 pandemic.</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Various social and political circumstances in the U.S. and around the world (including wars and other forms of conflict, terrorist acts, security operations and catastrophic events such as fires, floods, earthquakes, tornadoes, hurricanes and global health epidemics) may also contribute to increased market volatility and economic uncertainties or deterioration in the U.S. and worldwide and have a material adverse effect on our business, financial conditions, results of operations and prospects.</w:t>
      </w:r>
    </w:p>
    <w:p>
      <w:pPr>
        <w:pStyle w:val="TextBody"/>
        <w:spacing w:before="0" w:after="160"/>
        <w:jc w:val="left"/>
        <w:rPr>
          <w:rFonts w:ascii="Times New Roman;serif" w:hAnsi="Times New Roman;serif"/>
          <w:b/>
          <w:i/>
          <w:sz w:val="20"/>
        </w:rPr>
      </w:pPr>
      <w:r>
        <w:rPr>
          <w:rFonts w:ascii="Times New Roman;serif" w:hAnsi="Times New Roman;serif"/>
          <w:b/>
          <w:i/>
          <w:sz w:val="20"/>
        </w:rPr>
        <w:t>The terms of our amended term loan place restrictions on our operating and financial flexibility, and failure to comply with covenants or to satisfy certain conditions of the agreement governing the term loan may result in acceleration of our repayment obligations and foreclosure on our pledged assets, which could significantly harm our liquidity, financial condition, operating results, business and prospects and cause the price of our securities to decline.</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amended term loan (the “Amended Term Loan”), also referred to as our credit facility, with Oxford Finance, provides for a $60.0 million term-loan facility scheduled to mature on February 1, 2027, of which $40.0 million was fully funded as of May 3, 2022, from the original term loan. Subject to the terms and conditions of the Amended Term Loan, we may borrow up to $10.0 million during the second quarter of 2023 and up to another $10.0 million in the third quarter of 2023.</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payment obligations under the Amended Term Loan reduce cash available to fund working capital, capital expenditures, research and development and general corporate needs. In addition, indebtedness under the Amended Term Loan bears interest at a variable rate, making us vulnerable to increases in market interest rates. If market rates increase, we will have to pay additional interest on this indebtedness, which would further reduce cash available for our other business needs.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obligations under the Amended Term Loan are secured by substantially all of our assets, excluding intellectual property. The security interest granted over our assets could limit our ability to obtain additional debt financing. The Amended Term Loan also requires us to comply with a number of other covenants (affirmative and negative), including restrictive covenants that limit our ability to: incur additional indebtedness; encumber the collateral securing the loan; acquire, own or make investments; repurchase or redeem any class of stock or other equity interest; declare or pay any cash dividend or make a cash distribution on any class of stock or other equity interest; dispose of a portion of our assets; acquire other businesses; and merge or consolidate with or into any other organization or otherwise suffer a change in control, in each case subject to exceptions.</w:t>
      </w:r>
    </w:p>
    <w:p>
      <w:pPr>
        <w:pStyle w:val="TextBody"/>
        <w:spacing w:before="0" w:after="160"/>
        <w:jc w:val="left"/>
        <w:rPr>
          <w:rFonts w:ascii="Times New Roman" w:hAnsi="Times New Roman"/>
          <w:sz w:val="20"/>
        </w:rPr>
      </w:pPr>
      <w:r>
        <w:rPr>
          <w:rFonts w:ascii="Times New Roman;serif" w:hAnsi="Times New Roman;serif"/>
          <w:b w:val="false"/>
          <w:sz w:val="20"/>
        </w:rPr>
        <w:t>In addition to other specified events of default, the lenders could declare an event of default upon the occurrence of any event that they interpret as having a material impairment on their lien on the collateral under the agreement, a material adverse change in our business, operations or condition (financial or otherwise) or a material impairment in the prospect of repayment of our obligations under the agreement. If we default under the credit facility, the lenders may accelerate all of our repayment obligations and, if we are unable to access funds to meet those obligations or to renegotiate our agreement, the lenders could take control of our pledged assets and we would have to immediately cease operations. During the continuance of an event of default, the then-applicable interest rate on the then-outstanding principal balance will increase by 5.0%. Upon an event of default, the lenders could also require us to repay the loan immediately, together with a final payment charge of 5.0% of the total term loan advances we borrowed, together with other fees. If we were to renegotiate the agreement under such circumstances, the terms may be significantly less favorable to us. If we were liquidated, the lenders’ right to repayment would be senior to the rights of our stockholders to receive any proceeds from the liquidation. Any declaration by the lenders</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42</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of an event of default could significantly harm our liquidity, financial condition, operating results, business, and prospects and cause the price of our securities to decline.</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may incur additional indebtedness in the future. The debt instruments governing such indebtedness may contain provisions that are as, or more, restrictive than the provisions governing our existing indebtedness. If we are unable to repay, refinance or restructure our indebtedness when payment is due, the lenders could proceed against the collateral or force us into bankruptcy or liquidation.</w:t>
      </w:r>
    </w:p>
    <w:p>
      <w:pPr>
        <w:pStyle w:val="TextBody"/>
        <w:spacing w:before="0" w:after="160"/>
        <w:jc w:val="left"/>
        <w:rPr>
          <w:rFonts w:ascii="Times New Roman;serif" w:hAnsi="Times New Roman;serif"/>
          <w:b/>
          <w:i/>
          <w:sz w:val="20"/>
        </w:rPr>
      </w:pPr>
      <w:r>
        <w:rPr>
          <w:rFonts w:ascii="Times New Roman;serif" w:hAnsi="Times New Roman;serif"/>
          <w:b/>
          <w:i/>
          <w:sz w:val="20"/>
        </w:rPr>
        <w:t>We currently maintain all of our cash, cash equivalents and short-term investments in a limited number of financial institutions and, therefore, our cash, cash equivalents and short-term investments could be adversely affected if any of the financial institutions in which we hold our cash, cash equivalents and short-term investments fails.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currently maintain all of our cash, cash equivalents and short-term investments with a limited number of financial institutions. At the current time, our cash, cash equivalents and short-term investment balances with such financial institutions are held primarily in U.S. treasury bills with a duration of less than 12 months. A portion of our operating cash is held in accounts in excess of the Federal Deposit Insurance Corporation (“FDIC”) insurance limits. The failure of one or more of the financial institutions in which our cash, cash equivalents and short-term-investments are held, the resulting inability for us to obtain the return of our funds from any of those financial institutions, or any other adverse condition suffered by any of those financial institutions, could impact access to our operating cash and a temporary inability to access our short-term investments in U.S. treasury bills which could have an adverse effect on our business, financial condition and results of operations.</w:t>
      </w:r>
    </w:p>
    <w:p>
      <w:pPr>
        <w:pStyle w:val="TextBody"/>
        <w:spacing w:before="0" w:after="160"/>
        <w:jc w:val="left"/>
        <w:rPr>
          <w:rFonts w:ascii="Times New Roman;serif" w:hAnsi="Times New Roman;serif"/>
          <w:b/>
          <w:i/>
          <w:sz w:val="20"/>
        </w:rPr>
      </w:pPr>
      <w:r>
        <w:rPr>
          <w:rFonts w:ascii="Times New Roman;serif" w:hAnsi="Times New Roman;serif"/>
          <w:b/>
          <w:i/>
          <w:sz w:val="20"/>
        </w:rPr>
        <w:t>Our success depends in large part on our RxSight system. If we are unable to successfully market and sell our RxSight system, our business prospects will be significantly harmed, and we may be unable to achieve revenue growth.</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actual and perceived effectiveness and reliability of our RxSight system, especially relative to alternative products;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prevalence and severity of any adverse patient events involving our RxSight system;</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results of clinical studies and trials relating to our RxSight system;</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ability to sustain meaningful clinical benefits for our patients;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ability to obtain regulatory approval to market our planned or future products for use in the United States or internationally;</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availability, relative cost and perceived advantages and disadvantages of alternative technologies or treatment methods for conditions treated by our products;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degree to which treatments using our products are covered and receive adequate reimbursement from third-party payors, including governmental and private insurers, as well as patient willingness to pay for the additional costs associated with our premium intraocular lens out of pocket;</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degree to which doctors adopt our RxSight system;</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43</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ability to obtain, maintain, protect and enforce our intellectual property rights in and to our RxSight system;</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degree to which patients value the customized vision delivered by the RxSight system and are satisfied with their results;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achieving and maintaining compliance with regulatory requirements applicable to our products;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extent to which we are successful in educating doctors about IOLs in general, and the benefits of our RxSight system;</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reputation among doctors;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strength of our marketing and commercial organization;</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effectiveness of our marketing and sales efforts in the United States, including our efforts to build out our sales team;</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ability to expand the commercialization of our products into international markets;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ability to continue to develop, validate and maintain a commercially viable manufacturing process that is compliant with the Quality Systems Regulations (“QSR”), and other applicable foreign, federal and state regulatory requirements;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success of our ongoing or future clinical trials;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whether we are required by the FDA or comparable non-U.S. regulatory authorities to conduct additional clinical trials for current or future indications.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Adoption of our products depends upon appropriate training for doctors, and inadequate training may lead to negative patient outcomes, affect adoption of our products and adversely affect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pStyle w:val="TextBody"/>
        <w:spacing w:before="0" w:after="160"/>
        <w:jc w:val="left"/>
        <w:rPr>
          <w:rFonts w:ascii="Times New Roman" w:hAnsi="Times New Roman"/>
          <w:sz w:val="20"/>
        </w:rPr>
      </w:pPr>
      <w:r>
        <w:rPr>
          <w:rFonts w:ascii="Times New Roman;serif" w:hAnsi="Times New Roman;serif"/>
          <w:b w:val="false"/>
          <w:sz w:val="20"/>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44</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product liability claims. The use or misuse of our products may in the future result in complications and potentially lead to product liability claims.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commercial success of our RxSight system will depend upon attaining significant market acceptance of these products among patients and doctors.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a limited number of customers who have adopted our RxSight system. Our future growth and profitability largely depend on our ability to increase doctors’ awareness of our RxSight system and our products and on the willingness of patients and doctors to adopt them. These parties may not adopt our products unless they are able to determine, based on experience, clinical data, medical society recommendations and other analyses, that our products are safe, effective and, with respect to providers, cost-effective, on a stand-alone basis and relative to competitors’ products. Patients and 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long-standing relationships with competing companies and distributors that sell other products;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competitive response and negative selling efforts from providers of alternative products;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lack of experience with our products and concerns that we are relatively new to market;</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lack or perceived lack of sufficient clinical evidence, including long-term data, supporting safety or clinical benefits;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time commitment and skill development that may be required to gain familiarity and proficiency with our products;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patient confusion regarding the wide range of commercially available premium IOL offerings and their ability to deliver promised results at near, middle and far distances without reliance on glasses;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patient reticence to select a premium IOL due to nonperformance and adverse side effects associated with competing products in the market;</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 inability to generate patient referral due to dissatisfaction with results obtained through treatment with our products, the out-of-pocket cost of treatments using our products or otherwise.</w:t>
      </w:r>
    </w:p>
    <w:p>
      <w:pPr>
        <w:pStyle w:val="TextBody"/>
        <w:spacing w:before="0" w:after="160"/>
        <w:jc w:val="left"/>
        <w:rPr>
          <w:rFonts w:ascii="Times New Roman" w:hAnsi="Times New Roman"/>
          <w:sz w:val="20"/>
        </w:rPr>
      </w:pPr>
      <w:r>
        <w:rPr>
          <w:rFonts w:ascii="Times New Roman;serif" w:hAnsi="Times New Roman;serif"/>
          <w:b w:val="false"/>
          <w:sz w:val="20"/>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br/>
      </w:r>
      <w:r>
        <w:rPr>
          <w:rFonts w:ascii="Times New Roman" w:hAnsi="Times New Roman"/>
          <w:sz w:val="20"/>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pStyle w:val="TextBody"/>
        <w:spacing w:before="0" w:after="160"/>
        <w:jc w:val="left"/>
        <w:rPr>
          <w:rFonts w:ascii="Times New Roman" w:hAnsi="Times New Roman"/>
          <w:sz w:val="20"/>
        </w:rPr>
      </w:pPr>
      <w:r>
        <w:rPr>
          <w:rFonts w:ascii="Times New Roman;serif" w:hAnsi="Times New Roman;serif"/>
          <w:b w:val="false"/>
          <w:sz w:val="20"/>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45</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RxSight system involves surgical risks and is contraindicated in certain patients, which may limit adoption.</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pStyle w:val="TextBody"/>
        <w:spacing w:before="0" w:after="120"/>
        <w:jc w:val="left"/>
        <w:rPr>
          <w:rFonts w:ascii="Times New Roman;serif" w:hAnsi="Times New Roman;serif"/>
          <w:b/>
          <w:i/>
          <w:sz w:val="20"/>
        </w:rPr>
      </w:pPr>
      <w:r>
        <w:rPr>
          <w:rFonts w:ascii="Times New Roman;serif" w:hAnsi="Times New Roman;serif"/>
          <w:b/>
          <w:i/>
          <w:sz w:val="20"/>
        </w:rPr>
        <w:t>We face significant competition, and if we are unable to compete effectively, we may not be able to achieve or maintain significant market penetration or improve our results of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medical device industry is intensely competitive, subject to rapid change and significantly affected by new product introductions and other market activities of industry participants. We compete with manufacturers and distributors of premium and conventional IOLs. Our most significant competitors in the IOL field include Alcon, Johnson &amp; Johnson Vision and Bausch + Lomb. Many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glasses until final lock-in which is approximately four to five weeks after surgery. They will also be required to return for an additional two to three clinic visits compared to traditional monofocal cataract surgery. The additional clinic visits are non-surgical but do require the patient’s eyes to be dilated. Due to these additional requirements, market acceptance of the LAL may be impacted. We believe the principal competitive factors in our markets include:</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quality of patient outcomes, oftentimes measured by visual acuity, and adverse event rates;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Patient experience, including patient recovery time and level of discomfort;</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Acceptance by treating doctors and referral sources;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Doctor learning curves and willingness to adopt new technologies;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Ease-of-use and reliability;</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Economic benefits and cost savings;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Strength of clinical evidence;</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Effective distribution and marketing to surgeons and potential patients;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Product price and qualification for coverage and reimbursement.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compete primarily on the basis that our products are designed to enable more doctors to treat more patients more efficiently and effectively. Our continued success depends on our ability to:</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continue to develop innovative, proprietary products that address significant clinical needs in a manner that is safe and effective for patients and easy-to-use for doctors;</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46</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obtain and maintain regulatory clearances or approvals;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demonstrate safety and effectiveness in our sponsored and third-party clinical trials;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expand our sales force across key markets to increase doctors’ awareness;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obtain and maintain coverage and adequate reimbursement for procedures using our products;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attract and retain skilled research, development, sales and clinical personnel;</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cost-effectively manufacture, market and sell our products;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provide doctors with a sufficient return on investment as compared to alternative premium IOL procedures that justifies the upfront cost of our LDD;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obtain, maintain, enforce and defend our intellectual property rights and operate our business without infringing, misappropriating or otherwise violating the intellectual property rights of others.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currently maintain our research and development, manufacturing and administrative operations in Aliso Viejo, California, and we do not have redundant facilities. We operate in four separate facilities, designated as a single manufacturing facility, and should any one of these facilities be significantly damaged or destroyed by natural or man-made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pStyle w:val="TextBody"/>
        <w:spacing w:before="0" w:after="160"/>
        <w:jc w:val="left"/>
        <w:rPr>
          <w:rFonts w:ascii="Times New Roman" w:hAnsi="Times New Roman"/>
          <w:sz w:val="20"/>
        </w:rPr>
      </w:pPr>
      <w:r>
        <w:rPr>
          <w:rFonts w:ascii="Times New Roman;serif" w:hAnsi="Times New Roman;serif"/>
          <w:b w:val="false"/>
          <w:sz w:val="20"/>
        </w:rPr>
        <w:t>Furthermore, the current leases on our four facilities expire, respectively, on (i) September 30, 2024, with one option to extend for five years; (ii) January 31, 2026, with three options to extend for five years each; (iii) March 31, 2023 with two options to extend for five years each, and (iv) August 31, 2024, with one option to extend for five years. We may be unable to renew our leases or find a new facility on commercially reasonable terms, or at all. If we</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47</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pStyle w:val="TextBody"/>
        <w:spacing w:before="0" w:after="120"/>
        <w:jc w:val="left"/>
        <w:rPr>
          <w:rFonts w:ascii="Times New Roman;serif" w:hAnsi="Times New Roman;serif"/>
          <w:b/>
          <w:i/>
          <w:sz w:val="20"/>
        </w:rPr>
      </w:pPr>
      <w:r>
        <w:rPr>
          <w:rFonts w:ascii="Times New Roman;serif" w:hAnsi="Times New Roman;serif"/>
          <w:b/>
          <w:i/>
          <w:sz w:val="20"/>
        </w:rPr>
        <w:t>Technological change may adversely affect sales of our products and may cause our products to become obsolete.</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We have limited data and experience regarding the safety and efficacy of our RxSight system. 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pStyle w:val="TextBody"/>
        <w:spacing w:before="0" w:after="120"/>
        <w:jc w:val="left"/>
        <w:rPr>
          <w:rFonts w:ascii="Times New Roman;serif" w:hAnsi="Times New Roman;serif"/>
          <w:b/>
          <w:i/>
          <w:sz w:val="20"/>
        </w:rPr>
      </w:pPr>
      <w:r>
        <w:rPr>
          <w:rFonts w:ascii="Times New Roman;serif" w:hAnsi="Times New Roman;serif"/>
          <w:b/>
          <w:i/>
          <w:sz w:val="20"/>
        </w:rPr>
        <w:t>If our clinical trials are unsuccessful or significantly delayed, or if we do not complete our clinical trials, our business may be harmed.</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pStyle w:val="TextBody"/>
        <w:spacing w:before="0" w:after="160"/>
        <w:jc w:val="left"/>
        <w:rPr>
          <w:rFonts w:ascii="Times New Roman" w:hAnsi="Times New Roman"/>
          <w:sz w:val="20"/>
        </w:rPr>
      </w:pPr>
      <w:r>
        <w:rPr>
          <w:rFonts w:ascii="Times New Roman;serif" w:hAnsi="Times New Roman;serif"/>
          <w:b w:val="false"/>
          <w:sz w:val="20"/>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br/>
      </w:r>
      <w:r>
        <w:rPr>
          <w:rFonts w:ascii="Times New Roman" w:hAnsi="Times New Roman"/>
          <w:sz w:val="20"/>
        </w:rPr>
        <w:t>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48</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successful and timely completion of nonclinical studies or clinical development of our products, as well as the associated costs, including any unforeseen costs we may incur as a result of clinical trial delays due to the COVID-19 pandemic or other causes;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enrollment in our clinical trials may be slower than we anticipate, or we may experience high screen failure rates in our clinical trials, resulting in significant delays;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clinical trials may produce negative or inconclusive results, and we may decide, or regulators may require us, to conduct additional clinical and/or preclinical testing which may be expensive and time-consuming;</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trial results may not meet the level of statistical significance required by the FDA or other regulatory authorities;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FDA or similar foreign regulatory authorities may find that one or more of our products is not sufficiently safe for investigational use in humans;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FDA or similar foreign regulatory authorities may interpret data from preclinical testing and clinical trials in different ways than we do;</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there may be delays or failure in obtaining approval of our clinical trial protocols from the FDA or other regulatory authorities;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there may be delays in obtaining institutional review board approvals or governmental approvals to conduct clinical trials at prospective sites;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FDA or similar foreign regulatory authorities may find our or our suppliers’ manufacturing processes or facilities unsatisfactory;</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FDA or similar foreign regulatory authorities may change their review policies or adopt new regulations that may negatively affect or delay our ability to bring a product to market or receive approvals or clearances to treat new indications;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may have trouble in managing multiple clinical sites;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may have trouble finding patients to enroll in our trials;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may experience delays in agreeing on acceptable terms with third-party research organizations and trial sites that may help us conduct the clinical trials;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or regulators, may suspend or terminate our clinical trials because the participating patients are being exposed to unacceptable health risks.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Failures or perceived failures in our clinical trials will delay and may prevent our product development and regulatory approval process, damage our business prospects and negatively affect our reputation and competitive position.</w:t>
      </w:r>
    </w:p>
    <w:p>
      <w:pPr>
        <w:pStyle w:val="TextBody"/>
        <w:spacing w:before="0" w:after="120"/>
        <w:jc w:val="left"/>
        <w:rPr>
          <w:rFonts w:ascii="Times New Roman;serif" w:hAnsi="Times New Roman;serif"/>
          <w:b/>
          <w:i/>
          <w:sz w:val="20"/>
        </w:rPr>
      </w:pPr>
      <w:r>
        <w:rPr>
          <w:rFonts w:ascii="Times New Roman;serif" w:hAnsi="Times New Roman;serif"/>
          <w:b/>
          <w:i/>
          <w:sz w:val="20"/>
        </w:rPr>
        <w:t>Unauthorized third parties may seek to access our devices or other products and services, or related devices, products, and services, and modify or use them in a way inconsistent with our FDA clearances and approvals, which may create risks to users.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Medical devices are increasingly connected to the internet, hospital networks, and other medical devices to provide features that improve healthcare and increase the ability of healthcare providers to treat patients and patients to manage their conditions. While currently bidirectional connectivity and interoperability of our RxSight system with other devices, local networks and the internet is not enabled, this may change in the future. Enablement of such features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49</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20"/>
        <w:jc w:val="left"/>
        <w:rPr>
          <w:rFonts w:ascii="Times New Roman;serif" w:hAnsi="Times New Roman;serif"/>
          <w:b/>
          <w:i/>
          <w:sz w:val="20"/>
        </w:rPr>
      </w:pPr>
      <w:r>
        <w:rPr>
          <w:rFonts w:ascii="Times New Roman;serif" w:hAnsi="Times New Roman;serif"/>
          <w:b/>
          <w:i/>
          <w:sz w:val="20"/>
        </w:rPr>
        <w:t>We may expend our limited resources to pursue a particular product or indication and fail to capitalize on products or indications that may be more profitable or for which there is a greater likelihood of success.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pStyle w:val="TextBody"/>
        <w:spacing w:before="0" w:after="120"/>
        <w:jc w:val="left"/>
        <w:rPr>
          <w:rFonts w:ascii="Times New Roman;serif" w:hAnsi="Times New Roman;serif"/>
          <w:b/>
          <w:i/>
          <w:sz w:val="20"/>
        </w:rPr>
      </w:pPr>
      <w:r>
        <w:rPr>
          <w:rFonts w:ascii="Times New Roman;serif" w:hAnsi="Times New Roman;serif"/>
          <w:b/>
          <w:i/>
          <w:sz w:val="20"/>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pStyle w:val="TextBody"/>
        <w:spacing w:before="0" w:after="160"/>
        <w:jc w:val="left"/>
        <w:rPr>
          <w:rFonts w:ascii="Times New Roman" w:hAnsi="Times New Roman"/>
          <w:sz w:val="20"/>
        </w:rPr>
      </w:pPr>
      <w:r>
        <w:rPr>
          <w:rFonts w:ascii="Times New Roman;serif" w:hAnsi="Times New Roman;serif"/>
          <w:b w:val="false"/>
          <w:sz w:val="20"/>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50</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pStyle w:val="TextBody"/>
        <w:spacing w:before="0" w:after="160"/>
        <w:jc w:val="left"/>
        <w:rPr>
          <w:rFonts w:ascii="Times New Roman;serif" w:hAnsi="Times New Roman;serif"/>
          <w:b/>
          <w:i/>
          <w:sz w:val="20"/>
        </w:rPr>
      </w:pPr>
      <w:r>
        <w:rPr>
          <w:rFonts w:ascii="Times New Roman;serif" w:hAnsi="Times New Roman;serif"/>
          <w:b/>
          <w:i/>
          <w:sz w:val="20"/>
        </w:rPr>
        <w:t>If we fail to identify, acquire and develop other products, we may be unable to grow our business.</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If we are unable to develop suitable potential products through internal research programs or by obtaining rights from third parties, it could have a material adverse effect on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spacing w:before="0" w:after="120"/>
        <w:jc w:val="left"/>
        <w:rPr>
          <w:rFonts w:ascii="Times New Roman;serif" w:hAnsi="Times New Roman;serif"/>
          <w:b/>
          <w:i/>
          <w:sz w:val="20"/>
        </w:rPr>
      </w:pPr>
      <w:r>
        <w:rPr>
          <w:rFonts w:ascii="Times New Roman;serif" w:hAnsi="Times New Roman;serif"/>
          <w:b/>
          <w:i/>
          <w:sz w:val="20"/>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pStyle w:val="TextBody"/>
        <w:spacing w:before="0" w:after="160"/>
        <w:jc w:val="left"/>
        <w:rPr>
          <w:rFonts w:ascii="Times New Roman" w:hAnsi="Times New Roman"/>
          <w:sz w:val="20"/>
        </w:rPr>
      </w:pPr>
      <w:r>
        <w:rPr>
          <w:rFonts w:ascii="Times New Roman;serif" w:hAnsi="Times New Roman;serif"/>
          <w:b w:val="false"/>
          <w:sz w:val="20"/>
        </w:rPr>
        <w:t>In both U.S. and non-U.S. markets, our ability to successfully commercialize and achieve market acceptance of our products depends, in significant part, on the availability of adequate financial remuneration to doctor practices</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51</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Furthermore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pStyle w:val="TextBody"/>
        <w:spacing w:before="0" w:after="120"/>
        <w:jc w:val="left"/>
        <w:rPr>
          <w:rFonts w:ascii="Times New Roman;serif" w:hAnsi="Times New Roman;serif"/>
          <w:b/>
          <w:i/>
          <w:sz w:val="20"/>
        </w:rPr>
      </w:pPr>
      <w:r>
        <w:rPr>
          <w:rFonts w:ascii="Times New Roman;serif" w:hAnsi="Times New Roman;serif"/>
          <w:b/>
          <w:i/>
          <w:sz w:val="20"/>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52</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decreased demand for our products;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injury to our reputation;</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initiation of investigations by regulators;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costs to defend the related litigation;</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 diversion of management’s time and our resources;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substantial monetary awards to trial participants or patients;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product recalls, withdrawals or labeling, marketing or promotional restrictions;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loss of revenue;</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exhaustion of any available insurance and our capital resources;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inability to market and sell our products.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pStyle w:val="TextBody"/>
        <w:spacing w:before="0" w:after="120"/>
        <w:jc w:val="left"/>
        <w:rPr>
          <w:rFonts w:ascii="Times New Roman;serif" w:hAnsi="Times New Roman;serif"/>
          <w:b/>
          <w:i/>
          <w:sz w:val="20"/>
        </w:rPr>
      </w:pPr>
      <w:r>
        <w:rPr>
          <w:rFonts w:ascii="Times New Roman;serif" w:hAnsi="Times New Roman;serif"/>
          <w:b/>
          <w:i/>
          <w:sz w:val="20"/>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differing regulatory requirements and reimbursement regimes in foreign countries, including changes to regulatory requirements and implementation of new regulations in foreign countries;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difficulties in compliance with non-U.S. laws and regulations;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unexpected changes in tariffs, trade barriers, price and exchange controls and other regulatory requirements;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trade protection measures, import or export licensing requirements, or other restrictive actions by U.S. or non-U.S. governments;</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53</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economic weakness, including inflation, or political instability in particular foreign economies and markets;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compliance with tax, employment, immigration and labor laws for employees living or traveling abroad;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foreign taxes, including withholding of payroll taxes;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foreign currency fluctuations, which could result in increased operating expenses and reduced revenue, and other obligations incident to doing business in another country;</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difficulties staffing and managing foreign operations;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workforce uncertainty in countries where labor unrest is more common than in the United States;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potential liability under the FCPA or comparable foreign regulations;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challenges enforcing our contractual and intellectual property rights, especially in those foreign countries that do not respect and protect intellectual property rights to the same extent as the United States;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production shortages resulting from any events affecting raw material supply or manufacturing capabilities abroad;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business interruptions resulting from geo-political actions, including war and terrorism.</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Further, our products may be subject to U.S. and foreign export controls, trade sanctions and import laws and regulations. Governmental regulation of the import or export of our products, or our failure to obtain any required import or export authorization for our products, where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United States, or in any 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54</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20"/>
        <w:jc w:val="left"/>
        <w:rPr>
          <w:rFonts w:ascii="Times New Roman;serif" w:hAnsi="Times New Roman;serif"/>
          <w:b/>
          <w:i/>
          <w:sz w:val="20"/>
        </w:rPr>
      </w:pPr>
      <w:r>
        <w:rPr>
          <w:rFonts w:ascii="Times New Roman;serif" w:hAnsi="Times New Roman;serif"/>
          <w:b/>
          <w:i/>
          <w:sz w:val="20"/>
        </w:rPr>
        <w:t>We may not be able to achieve or maintain satisfactory pricing and margins for our products.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The sizes of the markets for our current and future products have not been established with precision and may be smaller than we estimate.</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pStyle w:val="TextBody"/>
        <w:spacing w:before="0" w:after="120"/>
        <w:jc w:val="left"/>
        <w:rPr>
          <w:rFonts w:ascii="Times New Roman;serif" w:hAnsi="Times New Roman;serif"/>
          <w:b/>
          <w:i/>
          <w:sz w:val="20"/>
        </w:rPr>
      </w:pPr>
      <w:r>
        <w:rPr>
          <w:rFonts w:ascii="Times New Roman;serif" w:hAnsi="Times New Roman;serif"/>
          <w:b/>
          <w:i/>
          <w:sz w:val="20"/>
        </w:rPr>
        <w:t>Changes to state regulations and interpretation of the practice of optometry, for public health insurance coverage and government reimbursement rates for our products and related procedures and/or medical or professional malpractice insurance coverage for doctors who perform procedures using our products could affect the adoption of our products and our future revenue.</w:t>
      </w:r>
    </w:p>
    <w:p>
      <w:pPr>
        <w:pStyle w:val="TextBody"/>
        <w:spacing w:before="0" w:after="160"/>
        <w:jc w:val="left"/>
        <w:rPr>
          <w:rFonts w:ascii="Times New Roman" w:hAnsi="Times New Roman"/>
          <w:sz w:val="20"/>
        </w:rPr>
      </w:pPr>
      <w:r>
        <w:rPr>
          <w:rFonts w:ascii="Times New Roman;serif" w:hAnsi="Times New Roman;serif"/>
          <w:b w:val="false"/>
          <w:sz w:val="20"/>
        </w:rPr>
        <w:t>States regulate the practice of optometry, including the types of procedures optometrists are authorized to perform in each state. To the extent states change or narrow the scope of the practice of optometry or their interpretation of the scope of optometry with respect to those who are qualified to perform LDD procedures involving our RxSight system, such state regulation or policy can have a material impact on which doctors may use our RxSight system, our customer base and market share, and the adoption of our RxSight system. Additionally, payor restrictions on the coverage and/or reimbursement levels for procedures using our RxSight system can negatively impact the adoption of our products and the pricing of our products, which can have a material impact on our profitability. Changes to medical or professional malpractice insurance coverage policies for doctors who perform procedures using our products, including refusal to cover malpractice liability insurance related to the use of our products can have a material impact on the adoption of our products and our business operations. We can provide no assurance on the impact of current and future federal and state legislative, executive, and administrative actions, including measures implemented by state boards of examiners in optometry, as well as policies of malpractice insurance carriers and payors on us, our business operations, and the business of our customers. The implementation of cost containment measures or other policy and regulatory changes may prevent us from being able to generate revenue, attain profitability, or commercialize our products.</w:t>
      </w:r>
      <w:r>
        <w:rPr>
          <w:rFonts w:ascii="Times New Roman" w:hAnsi="Times New Roman"/>
          <w:sz w:val="20"/>
        </w:rPr>
        <w:t xml:space="preserve"> </w:t>
      </w:r>
    </w:p>
    <w:p>
      <w:pPr>
        <w:pStyle w:val="TextBody"/>
        <w:spacing w:before="0" w:after="160"/>
        <w:jc w:val="left"/>
        <w:rPr>
          <w:rFonts w:ascii="Times New Roman" w:hAnsi="Times New Roman"/>
          <w:sz w:val="20"/>
        </w:rPr>
      </w:pPr>
      <w:r>
        <w:rPr>
          <w:rFonts w:ascii="Times New Roman;serif" w:hAnsi="Times New Roman;serif"/>
          <w:b w:val="false"/>
          <w:sz w:val="20"/>
        </w:rPr>
        <w:t>The federal government is considering ways to change, and has changed, the manner in which healthcare services are paid for in the United States.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55</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pStyle w:val="TextBody"/>
        <w:spacing w:before="0" w:after="120"/>
        <w:jc w:val="left"/>
        <w:rPr>
          <w:rFonts w:ascii="Times New Roman;serif" w:hAnsi="Times New Roman;serif"/>
          <w:b/>
          <w:i/>
          <w:sz w:val="20"/>
        </w:rPr>
      </w:pPr>
      <w:r>
        <w:rPr>
          <w:rFonts w:ascii="Times New Roman;serif" w:hAnsi="Times New Roman;serif"/>
          <w:b/>
          <w:i/>
          <w:sz w:val="20"/>
        </w:rPr>
        <w:t>Our quarterly and annual results may fluctuate significantly and may not fully reflect the underlying performance of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pStyle w:val="TextBody"/>
        <w:spacing w:before="0" w:after="120"/>
        <w:jc w:val="left"/>
        <w:rPr>
          <w:rFonts w:ascii="Times New Roman;serif" w:hAnsi="Times New Roman;serif"/>
          <w:b/>
          <w:i/>
          <w:sz w:val="20"/>
        </w:rPr>
      </w:pPr>
      <w:r>
        <w:rPr>
          <w:rFonts w:ascii="Times New Roman;serif" w:hAnsi="Times New Roman;serif"/>
          <w:b/>
          <w:i/>
          <w:sz w:val="20"/>
        </w:rPr>
        <w:t>We expect to significantly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have and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pStyle w:val="TextBody"/>
        <w:spacing w:before="0" w:after="120"/>
        <w:jc w:val="left"/>
        <w:rPr>
          <w:rFonts w:ascii="Times New Roman;serif" w:hAnsi="Times New Roman;serif"/>
          <w:b/>
          <w:i/>
          <w:sz w:val="20"/>
        </w:rPr>
      </w:pPr>
      <w:r>
        <w:rPr>
          <w:rFonts w:ascii="Times New Roman;serif" w:hAnsi="Times New Roman;serif"/>
          <w:b/>
          <w:i/>
          <w:sz w:val="20"/>
        </w:rPr>
        <w:t>Certain of our operating results and financial metrics may be difficult to predict as a result of seasonality.</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While we have not yet experienced significant seasonality in our results, 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pStyle w:val="TextBody"/>
        <w:spacing w:before="0" w:after="120"/>
        <w:jc w:val="left"/>
        <w:rPr>
          <w:rFonts w:ascii="Times New Roman;serif" w:hAnsi="Times New Roman;serif"/>
          <w:b/>
          <w:i/>
          <w:sz w:val="20"/>
        </w:rPr>
      </w:pPr>
      <w:r>
        <w:rPr>
          <w:rFonts w:ascii="Times New Roman;serif" w:hAnsi="Times New Roman;serif"/>
          <w:b/>
          <w:i/>
          <w:sz w:val="20"/>
        </w:rPr>
        <w:t>Our ability to use our net operating loss carryforwards and certain other tax attributes to offset future taxable income may be subject to certain limitations.</w:t>
      </w:r>
    </w:p>
    <w:p>
      <w:pPr>
        <w:pStyle w:val="TextBody"/>
        <w:spacing w:before="0" w:after="160"/>
        <w:jc w:val="left"/>
        <w:rPr>
          <w:rFonts w:ascii="Times New Roman" w:hAnsi="Times New Roman"/>
          <w:sz w:val="20"/>
        </w:rPr>
      </w:pPr>
      <w:r>
        <w:rPr>
          <w:rFonts w:ascii="Times New Roman;serif" w:hAnsi="Times New Roman;serif"/>
          <w:b w:val="false"/>
          <w:sz w:val="20"/>
        </w:rPr>
        <w:t>As of March 31, 2023, we had federal net operating loss carryforwards (“NOLs”) of approximately $300.4 million, which will begin to expire in various years ranging from 2023 to 2037. Our NOLs could expire unused and be unavailable to offset future income tax liabilities because of their limited duration or because of restrictions under U.S. tax law. Under the Tax Cuts and Jobs Act (“Tax Act”), as modified by the Coronavirus Aid, Relief, and Economic Security Act, or the CARES Act, our federal NOLs generated in tax years ending after December 31, 2017 may be carried forward indefinitely, but the deductibility of such federal NOLs in tax years beginning after December 31, 2020 is limited to 80% of taxable income. It is uncertain if and to what extent various states will conform to the Tax Act, as modified by the CARES Act.</w:t>
      </w:r>
      <w:r>
        <w:rPr>
          <w:rFonts w:ascii="Times New Roman" w:hAnsi="Times New Roman"/>
          <w:sz w:val="20"/>
        </w:rPr>
        <w:t xml:space="preserve"> </w:t>
      </w:r>
    </w:p>
    <w:p>
      <w:pPr>
        <w:pStyle w:val="TextBody"/>
        <w:spacing w:before="0" w:after="160"/>
        <w:jc w:val="left"/>
        <w:rPr>
          <w:rFonts w:ascii="Times New Roman" w:hAnsi="Times New Roman"/>
          <w:sz w:val="20"/>
        </w:rPr>
      </w:pPr>
      <w:r>
        <w:rPr>
          <w:rFonts w:ascii="Times New Roman;serif" w:hAnsi="Times New Roman;serif"/>
          <w:b w:val="false"/>
          <w:sz w:val="20"/>
        </w:rPr>
        <w:t>In addition, under Sections 382 and 383 of the Internal Revenue Code of 1986, as amended (the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56</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be limited. 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pStyle w:val="TextBody"/>
        <w:spacing w:before="0" w:after="160"/>
        <w:jc w:val="left"/>
        <w:rPr>
          <w:rFonts w:ascii="Times New Roman;serif" w:hAnsi="Times New Roman;serif"/>
          <w:b/>
          <w:sz w:val="20"/>
        </w:rPr>
      </w:pPr>
      <w:r>
        <w:rPr>
          <w:rFonts w:ascii="Times New Roman;serif" w:hAnsi="Times New Roman;serif"/>
          <w:b/>
          <w:sz w:val="20"/>
        </w:rPr>
        <w:t>Risks related to intellectual property</w:t>
      </w:r>
    </w:p>
    <w:p>
      <w:pPr>
        <w:pStyle w:val="TextBody"/>
        <w:spacing w:before="0" w:after="120"/>
        <w:jc w:val="left"/>
        <w:rPr>
          <w:rFonts w:ascii="Times New Roman;serif" w:hAnsi="Times New Roman;serif"/>
          <w:b/>
          <w:i/>
          <w:sz w:val="20"/>
        </w:rPr>
      </w:pPr>
      <w:r>
        <w:rPr>
          <w:rFonts w:ascii="Times New Roman;serif" w:hAnsi="Times New Roman;serif"/>
          <w:b/>
          <w:i/>
          <w:sz w:val="20"/>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pStyle w:val="TextBody"/>
        <w:spacing w:before="0" w:after="160"/>
        <w:jc w:val="left"/>
        <w:rPr>
          <w:rFonts w:ascii="Times New Roman" w:hAnsi="Times New Roman"/>
          <w:sz w:val="20"/>
        </w:rPr>
      </w:pPr>
      <w:r>
        <w:rPr>
          <w:rFonts w:ascii="Times New Roman;serif" w:hAnsi="Times New Roman;serif"/>
          <w:b w:val="false"/>
          <w:sz w:val="20"/>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w:t>
      </w:r>
      <w:r>
        <w:rPr>
          <w:rFonts w:ascii="Times New Roman" w:hAnsi="Times New Roman"/>
          <w:sz w:val="20"/>
        </w:rPr>
        <w:t xml:space="preserve"> </w:t>
      </w:r>
      <w:r>
        <w:rPr>
          <w:rFonts w:ascii="Times New Roman;serif" w:hAnsi="Times New Roman;serif"/>
          <w:b w:val="false"/>
          <w:sz w:val="20"/>
        </w:rPr>
        <w:t>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pStyle w:val="TextBody"/>
        <w:spacing w:before="0" w:after="160"/>
        <w:jc w:val="left"/>
        <w:rPr>
          <w:rFonts w:ascii="Times New Roman" w:hAnsi="Times New Roman"/>
          <w:sz w:val="20"/>
        </w:rPr>
      </w:pPr>
      <w:r>
        <w:rPr>
          <w:rFonts w:ascii="Times New Roman;serif" w:hAnsi="Times New Roman;serif"/>
          <w:b w:val="false"/>
          <w:sz w:val="20"/>
        </w:rPr>
        <w:t>The issuance of a patent is not conclusive as to its inventorship, scope, validity or enforceability and our owned and in-licensed issued patents may be challenged in courts or patent offices in the United States and abroad.</w:t>
      </w:r>
      <w:r>
        <w:rPr>
          <w:rFonts w:ascii="Times New Roman" w:hAnsi="Times New Roman"/>
          <w:sz w:val="20"/>
        </w:rPr>
        <w:t xml:space="preserve"> </w:t>
      </w:r>
      <w:r>
        <w:rPr>
          <w:rFonts w:ascii="Times New Roman;serif" w:hAnsi="Times New Roman;serif"/>
          <w:b w:val="false"/>
          <w:sz w:val="20"/>
        </w:rPr>
        <w:t>For example, we may be subject to a third-party submission of prior art to the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pStyle w:val="TextBody"/>
        <w:spacing w:before="0" w:after="160"/>
        <w:jc w:val="left"/>
        <w:rPr>
          <w:rFonts w:ascii="Times New Roman" w:hAnsi="Times New Roman"/>
          <w:sz w:val="20"/>
        </w:rPr>
      </w:pPr>
      <w:r>
        <w:rPr>
          <w:rFonts w:ascii="Times New Roman;serif" w:hAnsi="Times New Roman;serif"/>
          <w:b w:val="false"/>
          <w:sz w:val="20"/>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57</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technologies.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pStyle w:val="TextBody"/>
        <w:spacing w:before="0" w:after="160"/>
        <w:jc w:val="left"/>
        <w:rPr>
          <w:rFonts w:ascii="Times New Roman" w:hAnsi="Times New Roman"/>
          <w:sz w:val="20"/>
        </w:rPr>
      </w:pPr>
      <w:r>
        <w:rPr>
          <w:rFonts w:ascii="Times New Roman;serif" w:hAnsi="Times New Roman;serif"/>
          <w:b w:val="false"/>
          <w:sz w:val="20"/>
        </w:rPr>
        <w:t>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 of any</w:t>
      </w:r>
      <w:r>
        <w:rPr>
          <w:rFonts w:ascii="Times New Roman" w:hAnsi="Times New Roman"/>
          <w:sz w:val="20"/>
        </w:rPr>
        <w:t xml:space="preserve"> </w:t>
      </w:r>
      <w:r>
        <w:rPr>
          <w:rFonts w:ascii="Times New Roman;serif" w:hAnsi="Times New Roman;serif"/>
          <w:b w:val="false"/>
          <w:sz w:val="20"/>
        </w:rPr>
        <w:t>issued patents will provide sufficient protection from competitors. As a result, the issuance, scope, validity, enforceability and commercial value of our patent rights are highly uncertain.</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Given that patent applications are confidential for a period of time after filing, we cannot be certain that we were the first to file any patent application related to our products. Competitors may also contest our patents, if issued, by showing the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pStyle w:val="TextBody"/>
        <w:spacing w:before="0" w:after="160"/>
        <w:jc w:val="left"/>
        <w:rPr>
          <w:rFonts w:ascii="Times New Roman" w:hAnsi="Times New Roman"/>
          <w:sz w:val="20"/>
        </w:rPr>
      </w:pPr>
      <w:r>
        <w:rPr>
          <w:rFonts w:ascii="Times New Roman;serif" w:hAnsi="Times New Roman;serif"/>
          <w:b w:val="false"/>
          <w:sz w:val="20"/>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58</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parties may also adopt trademarks similar to ours, which could harm our brand identity and lead to market confusion.</w:t>
      </w:r>
    </w:p>
    <w:p>
      <w:pPr>
        <w:pStyle w:val="TextBody"/>
        <w:spacing w:before="0" w:after="160"/>
        <w:jc w:val="left"/>
        <w:rPr>
          <w:rFonts w:ascii="Times New Roman" w:hAnsi="Times New Roman"/>
          <w:sz w:val="20"/>
        </w:rPr>
      </w:pPr>
      <w:r>
        <w:rPr>
          <w:rFonts w:ascii="Times New Roman;serif" w:hAnsi="Times New Roman;serif"/>
          <w:b w:val="false"/>
          <w:sz w:val="20"/>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w:t>
      </w:r>
      <w:r>
        <w:rPr>
          <w:rFonts w:ascii="Times New Roman" w:hAnsi="Times New Roman"/>
          <w:sz w:val="20"/>
        </w:rPr>
        <w:t xml:space="preserve"> </w:t>
      </w:r>
      <w:r>
        <w:rPr>
          <w:rFonts w:ascii="Times New Roman;serif" w:hAnsi="Times New Roman;serif"/>
          <w:b w:val="false"/>
          <w:sz w:val="20"/>
        </w:rPr>
        <w:t>parties who may have contributed to our intellectual property, nor can we be certain that our agreements with such parties will be upheld in the face of a potential challenge, or that they will not be breached, for which we may not have an adequate remedy.</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Furthermore, our owned and in-licensed patents may be subject to a reservation of rights by one or more third parties. For example, this could arise if the research resulting in certain of our owned or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pStyle w:val="TextBody"/>
        <w:spacing w:before="0" w:after="120"/>
        <w:jc w:val="left"/>
        <w:rPr>
          <w:rFonts w:ascii="Times New Roman;serif" w:hAnsi="Times New Roman;serif"/>
          <w:b/>
          <w:i/>
          <w:sz w:val="20"/>
        </w:rPr>
      </w:pPr>
      <w:r>
        <w:rPr>
          <w:rFonts w:ascii="Times New Roman;serif" w:hAnsi="Times New Roman;serif"/>
          <w:b/>
          <w:i/>
          <w:sz w:val="20"/>
        </w:rPr>
        <w:t>Patent terms may be inadequate to protect our competitive position on technology for an adequate amount of time.</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59</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20"/>
        <w:jc w:val="left"/>
        <w:rPr>
          <w:rFonts w:ascii="Times New Roman;serif" w:hAnsi="Times New Roman;serif"/>
          <w:b/>
          <w:i/>
          <w:sz w:val="20"/>
        </w:rPr>
      </w:pPr>
      <w:r>
        <w:rPr>
          <w:rFonts w:ascii="Times New Roman;serif" w:hAnsi="Times New Roman;serif"/>
          <w:b/>
          <w:i/>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pStyle w:val="TextBody"/>
        <w:spacing w:before="0" w:after="120"/>
        <w:jc w:val="left"/>
        <w:rPr>
          <w:rFonts w:ascii="Times New Roman;serif" w:hAnsi="Times New Roman;serif"/>
          <w:b/>
          <w:i/>
          <w:sz w:val="20"/>
        </w:rPr>
      </w:pPr>
      <w:r>
        <w:rPr>
          <w:rFonts w:ascii="Times New Roman;serif" w:hAnsi="Times New Roman;serif"/>
          <w:b/>
          <w:i/>
          <w:sz w:val="20"/>
        </w:rPr>
        <w:t>We may not identify relevant third-party patents or may incorrectly interpret the relevance, scope or expiration of a third-party patent, which might adversely affect our ability to develop and market our products.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pStyle w:val="TextBody"/>
        <w:spacing w:before="0" w:after="120"/>
        <w:jc w:val="left"/>
        <w:rPr>
          <w:rFonts w:ascii="Times New Roman;serif" w:hAnsi="Times New Roman;serif"/>
          <w:b/>
          <w:i/>
          <w:sz w:val="20"/>
        </w:rPr>
      </w:pPr>
      <w:r>
        <w:rPr>
          <w:rFonts w:ascii="Times New Roman;serif" w:hAnsi="Times New Roman;serif"/>
          <w:b/>
          <w:i/>
          <w:sz w:val="20"/>
        </w:rPr>
        <w:t>Our future reliance on third parties may require us to share our trade secrets, which increases the possibility that a competitor will discover them or that our trade secrets will be misappropriated or disclosed.</w:t>
      </w:r>
    </w:p>
    <w:p>
      <w:pPr>
        <w:pStyle w:val="TextBody"/>
        <w:spacing w:before="0" w:after="160"/>
        <w:jc w:val="left"/>
        <w:rPr>
          <w:rFonts w:ascii="Times New Roman" w:hAnsi="Times New Roman"/>
          <w:sz w:val="20"/>
        </w:rPr>
      </w:pPr>
      <w:r>
        <w:rPr>
          <w:rFonts w:ascii="Times New Roman;serif" w:hAnsi="Times New Roman;serif"/>
          <w:b w:val="false"/>
          <w:sz w:val="20"/>
        </w:rPr>
        <w:t>Because we expect to rely on a third party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w:t>
      </w:r>
      <w:r>
        <w:rPr>
          <w:rFonts w:ascii="Times New Roman" w:hAnsi="Times New Roman"/>
          <w:sz w:val="20"/>
        </w:rPr>
        <w:t xml:space="preserve"> </w:t>
      </w:r>
      <w:r>
        <w:rPr>
          <w:rFonts w:ascii="Times New Roman;serif" w:hAnsi="Times New Roman;serif"/>
          <w:b w:val="false"/>
          <w:sz w:val="20"/>
        </w:rPr>
        <w:t>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pStyle w:val="TextBody"/>
        <w:spacing w:before="0" w:after="160"/>
        <w:jc w:val="left"/>
        <w:rPr>
          <w:rFonts w:ascii="Times New Roman" w:hAnsi="Times New Roman"/>
          <w:sz w:val="20"/>
        </w:rPr>
      </w:pPr>
      <w:r>
        <w:rPr>
          <w:rFonts w:ascii="Times New Roman;serif" w:hAnsi="Times New Roman;serif"/>
          <w:b w:val="false"/>
          <w:sz w:val="20"/>
        </w:rPr>
        <w:t>In addition, these agreements typically restrict the ability of our advisors, employees, third-party contractors, CMOs, CROs, other service providers and consultants to publish data potentially relating to our trade secrets,</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60</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pStyle w:val="TextBody"/>
        <w:spacing w:before="0" w:after="120"/>
        <w:jc w:val="left"/>
        <w:rPr>
          <w:rFonts w:ascii="Times New Roman;serif" w:hAnsi="Times New Roman;serif"/>
          <w:b/>
          <w:i/>
          <w:sz w:val="20"/>
        </w:rPr>
      </w:pPr>
      <w:r>
        <w:rPr>
          <w:rFonts w:ascii="Times New Roman;serif" w:hAnsi="Times New Roman;serif"/>
          <w:b/>
          <w:i/>
          <w:sz w:val="20"/>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pStyle w:val="TextBody"/>
        <w:spacing w:before="0" w:after="160"/>
        <w:jc w:val="left"/>
        <w:rPr>
          <w:rFonts w:ascii="Times New Roman" w:hAnsi="Times New Roman"/>
          <w:sz w:val="20"/>
        </w:rPr>
      </w:pPr>
      <w:r>
        <w:rPr>
          <w:rFonts w:ascii="Times New Roman;serif" w:hAnsi="Times New Roman;serif"/>
          <w:b w:val="false"/>
          <w:sz w:val="20"/>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Such</w:t>
      </w:r>
      <w:r>
        <w:rPr>
          <w:rFonts w:ascii="Times New Roman" w:hAnsi="Times New Roman"/>
          <w:sz w:val="20"/>
        </w:rPr>
        <w:t xml:space="preserve"> </w:t>
      </w:r>
      <w:r>
        <w:rPr>
          <w:rFonts w:ascii="Times New Roman;serif" w:hAnsi="Times New Roman;serif"/>
          <w:b w:val="false"/>
          <w:sz w:val="20"/>
        </w:rPr>
        <w:t>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61</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20"/>
        <w:jc w:val="left"/>
        <w:rPr>
          <w:rFonts w:ascii="Times New Roman;serif" w:hAnsi="Times New Roman;serif"/>
          <w:b/>
          <w:i/>
          <w:sz w:val="20"/>
        </w:rPr>
      </w:pPr>
      <w:r>
        <w:rPr>
          <w:rFonts w:ascii="Times New Roman;serif" w:hAnsi="Times New Roman;serif"/>
          <w:b/>
          <w:i/>
          <w:sz w:val="20"/>
        </w:rPr>
        <w:t>We may become a party to intellectual property litigation or administrative proceedings that could be costly and could interfere with our ability to sell and market our products.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 Conversely, the patent owner need only prove infringement by a preponderance of the evidence, which is a lower burden of proof.</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pStyle w:val="TextBody"/>
        <w:spacing w:before="0" w:after="160"/>
        <w:jc w:val="left"/>
        <w:rPr>
          <w:rFonts w:ascii="Times New Roman" w:hAnsi="Times New Roman"/>
          <w:sz w:val="20"/>
        </w:rPr>
      </w:pPr>
      <w:r>
        <w:rPr>
          <w:rFonts w:ascii="Times New Roman;serif" w:hAnsi="Times New Roman;serif"/>
          <w:b w:val="false"/>
          <w:sz w:val="20"/>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62</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pStyle w:val="TextBody"/>
        <w:spacing w:before="0" w:after="160"/>
        <w:jc w:val="left"/>
        <w:rPr>
          <w:rFonts w:ascii="Times New Roman" w:hAnsi="Times New Roman"/>
          <w:sz w:val="20"/>
        </w:rPr>
      </w:pPr>
      <w:r>
        <w:rPr>
          <w:rFonts w:ascii="Times New Roman;serif" w:hAnsi="Times New Roman;serif"/>
          <w:b w:val="false"/>
          <w:sz w:val="20"/>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In any such</w:t>
      </w:r>
      <w:r>
        <w:rPr>
          <w:rFonts w:ascii="Times New Roman" w:hAnsi="Times New Roman"/>
          <w:sz w:val="20"/>
        </w:rPr>
        <w:t xml:space="preserve"> </w:t>
      </w:r>
      <w:r>
        <w:rPr>
          <w:rFonts w:ascii="Times New Roman;serif" w:hAnsi="Times New Roman;serif"/>
          <w:b w:val="false"/>
          <w:sz w:val="20"/>
        </w:rPr>
        <w:t>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pStyle w:val="TextBody"/>
        <w:spacing w:before="0" w:after="160"/>
        <w:jc w:val="left"/>
        <w:rPr>
          <w:rFonts w:ascii="Times New Roman" w:hAnsi="Times New Roman"/>
          <w:sz w:val="20"/>
        </w:rPr>
      </w:pPr>
      <w:r>
        <w:rPr>
          <w:rFonts w:ascii="Times New Roman;serif" w:hAnsi="Times New Roman;serif"/>
          <w:b w:val="false"/>
          <w:sz w:val="20"/>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63</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the event of litigation. Uncertainties resulting from the initiation and continuation of patent and other intellectual property litigation or other proceedings could have a material adverse effect on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Because of the expense and uncertainty of litigation, we may not be in a position to enforce our intellectual property rights against third parties.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pStyle w:val="TextBody"/>
        <w:spacing w:before="0" w:after="120"/>
        <w:jc w:val="left"/>
        <w:rPr>
          <w:rFonts w:ascii="Times New Roman;serif" w:hAnsi="Times New Roman;serif"/>
          <w:b/>
          <w:i/>
          <w:sz w:val="20"/>
        </w:rPr>
      </w:pPr>
      <w:r>
        <w:rPr>
          <w:rFonts w:ascii="Times New Roman;serif" w:hAnsi="Times New Roman;serif"/>
          <w:b/>
          <w:i/>
          <w:sz w:val="20"/>
        </w:rPr>
        <w:t>Our rights to develop and commercialize our products are subject, in part, to the terms and conditions of licenses granted to us by others.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rely, in part, upon licenses to certain patent rights, proprietary technology and other intellectual property from third parties that are important or necessary to the development of our products and technology. Further development and commercialization of our current products, and development of any future products, may require us to enter into additional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Additionally,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pStyle w:val="TextBody"/>
        <w:spacing w:before="0" w:after="160"/>
        <w:jc w:val="left"/>
        <w:rPr>
          <w:rFonts w:ascii="Times New Roman" w:hAnsi="Times New Roman"/>
          <w:sz w:val="20"/>
        </w:rPr>
      </w:pPr>
      <w:r>
        <w:rPr>
          <w:rFonts w:ascii="Times New Roman;serif" w:hAnsi="Times New Roman;serif"/>
          <w:b w:val="false"/>
          <w:sz w:val="20"/>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64</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successfully develop and commercialize the affected products. Any of these events could materially and adversely affect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Disputes may arise between us and our future licensors regarding intellectual property subject to a license agreement, including:</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scope of rights granted under the license agreement and other interpretation-related issues;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whether and the extent to which our technology and processes infringe on intellectual property of the licensor that is not subject to the licensing agreement;</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right to sublicense patents and other rights to third parties;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diligence obligations with respect to the use of the licensed technology in relation to our development and commercialization of our products, and what activities satisfy those diligence obligations;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right to transfer or assign the license;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ownership of inventions and know-how resulting from the joint creation or use of intellectual property by any of our future licensors and us and our partners.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65</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pStyle w:val="TextBody"/>
        <w:spacing w:before="0" w:after="120"/>
        <w:jc w:val="left"/>
        <w:rPr>
          <w:rFonts w:ascii="Times New Roman;serif" w:hAnsi="Times New Roman;serif"/>
          <w:b/>
          <w:i/>
          <w:sz w:val="20"/>
        </w:rPr>
      </w:pPr>
      <w:r>
        <w:rPr>
          <w:rFonts w:ascii="Times New Roman;serif" w:hAnsi="Times New Roman;serif"/>
          <w:b/>
          <w:i/>
          <w:sz w:val="20"/>
        </w:rPr>
        <w:t>We may not be successful in obtaining necessary rights to any products we may develop through acquisitions and in-licenses.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Any collaboration or partnership arrangements that we may enter into in the future may not be successful, which could adversely affect our ability to develop and commercialize our products.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collaborators have significant discretion in determining the efforts and resources that they will apply to collaborations;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collaborators could independently develop, or develop with third parties, products that compete directly or indirectly with our current and future products;</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66</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 collaborator with marketing, manufacturing and distribution rights to one or more products may not commit sufficient resources to or otherwise not perform satisfactorily in carrying out these activities;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could grant exclusive rights to our collaborators that would prevent us from collaborating with others;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collaborations may be terminated, and, if terminated, may result in a need for additional capital to pursue further development or commercialization of the applicable current or future products;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 collaborator’s sales and marketing activities or other operations may not be in compliance with applicable laws resulting in civil or criminal proceedings.</w:t>
      </w:r>
    </w:p>
    <w:p>
      <w:pPr>
        <w:pStyle w:val="TextBody"/>
        <w:spacing w:before="0" w:after="120"/>
        <w:jc w:val="left"/>
        <w:rPr>
          <w:rFonts w:ascii="Times New Roman;serif" w:hAnsi="Times New Roman;serif"/>
          <w:b/>
          <w:i/>
          <w:sz w:val="20"/>
        </w:rPr>
      </w:pPr>
      <w:r>
        <w:rPr>
          <w:rFonts w:ascii="Times New Roman;serif" w:hAnsi="Times New Roman;serif"/>
          <w:b/>
          <w:i/>
          <w:sz w:val="20"/>
        </w:rPr>
        <w:t>We may be subject to claims challenging the inventorship of our patents and other intellectual property.</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If we are unable to protect the confidentiality of our trade secrets and other proprietary information, our business and competitive position may be harmed.</w:t>
      </w:r>
    </w:p>
    <w:p>
      <w:pPr>
        <w:pStyle w:val="TextBody"/>
        <w:spacing w:before="0" w:after="160"/>
        <w:jc w:val="left"/>
        <w:rPr>
          <w:rFonts w:ascii="Times New Roman" w:hAnsi="Times New Roman"/>
          <w:sz w:val="20"/>
        </w:rPr>
      </w:pPr>
      <w:r>
        <w:rPr>
          <w:rFonts w:ascii="Times New Roman;serif" w:hAnsi="Times New Roman;serif"/>
          <w:b w:val="false"/>
          <w:sz w:val="20"/>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67</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pStyle w:val="TextBody"/>
        <w:spacing w:before="0" w:after="120"/>
        <w:jc w:val="left"/>
        <w:rPr>
          <w:rFonts w:ascii="Times New Roman;serif" w:hAnsi="Times New Roman;serif"/>
          <w:b/>
          <w:i/>
          <w:sz w:val="20"/>
        </w:rPr>
      </w:pPr>
      <w:r>
        <w:rPr>
          <w:rFonts w:ascii="Times New Roman;serif" w:hAnsi="Times New Roman;serif"/>
          <w:b/>
          <w:i/>
          <w:sz w:val="20"/>
        </w:rPr>
        <w:t>Changes in United States patent law or the patent law of other countries or jurisdictions could diminish the value of patents in general, thereby impairing our ability to protect our products.</w:t>
      </w:r>
    </w:p>
    <w:p>
      <w:pPr>
        <w:pStyle w:val="TextBody"/>
        <w:spacing w:before="0" w:after="160"/>
        <w:jc w:val="left"/>
        <w:rPr>
          <w:rFonts w:ascii="Times New Roman" w:hAnsi="Times New Roman"/>
          <w:sz w:val="20"/>
        </w:rPr>
      </w:pPr>
      <w:r>
        <w:rPr>
          <w:rFonts w:ascii="Times New Roman;serif" w:hAnsi="Times New Roman;serif"/>
          <w:b w:val="false"/>
          <w:sz w:val="20"/>
        </w:rPr>
        <w:t>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68</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pStyle w:val="TextBody"/>
        <w:spacing w:before="0" w:after="120"/>
        <w:jc w:val="left"/>
        <w:rPr>
          <w:rFonts w:ascii="Times New Roman;serif" w:hAnsi="Times New Roman;serif"/>
          <w:b/>
          <w:i/>
          <w:sz w:val="20"/>
        </w:rPr>
      </w:pPr>
      <w:r>
        <w:rPr>
          <w:rFonts w:ascii="Times New Roman;serif" w:hAnsi="Times New Roman;serif"/>
          <w:b/>
          <w:i/>
          <w:sz w:val="20"/>
        </w:rPr>
        <w:t>We may not be able to protect our intellectual property rights throughout the world, which could impair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69</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No earlier than June 1, 2023, European 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of any litigation. RxSight will consider its options on a case-by-case basis regarding UPC and will coordinate with foreign counsel in a timely manner.</w:t>
      </w:r>
    </w:p>
    <w:p>
      <w:pPr>
        <w:pStyle w:val="TextBody"/>
        <w:spacing w:before="0" w:after="120"/>
        <w:jc w:val="left"/>
        <w:rPr>
          <w:rFonts w:ascii="Times New Roman;serif" w:hAnsi="Times New Roman;serif"/>
          <w:b/>
          <w:i/>
          <w:sz w:val="20"/>
        </w:rPr>
      </w:pPr>
      <w:r>
        <w:rPr>
          <w:rFonts w:ascii="Times New Roman;serif" w:hAnsi="Times New Roman;serif"/>
          <w:b/>
          <w:i/>
          <w:sz w:val="20"/>
        </w:rPr>
        <w:t>Intellectual property rights do not necessarily address all potential threats to our competitive advantage.</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others may be able to make a product that is similar to our current products and future products we intend to commercialize and that is not covered by the patents that we own or exclusively in-license and have the right to enforce;</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and any of our current or future licensors or collaborators might not have been the first to make the inventions covered by the issued patents or pending patent applications that we own, license or may own or license in the future;</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or any of our current or future licensors or collaborators might not have been the first to file patent applications covering certain of our inventions;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others may independently develop similar or alternative technologies or duplicate any of our technologies without infringing, misappropriating or otherwise violating our intellectual property rights;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it is possible that our current or future owned or in-licensed patent applications will not lead to issued patents;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issued patents that we own or in-license may not provide us with any competitive advantages, or may be held invalid or unenforceable as a result of legal challenges, including as a result of legal challenges by our competitors;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may not develop additional proprietary technologies that are patentable;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may choose not to file a patent for certain trade secrets or know-how, and a third party may subsequently file a patent covering such intellectual property.</w:t>
      </w:r>
    </w:p>
    <w:p>
      <w:pPr>
        <w:pStyle w:val="TextBody"/>
        <w:spacing w:before="0" w:after="120"/>
        <w:jc w:val="left"/>
        <w:rPr>
          <w:rFonts w:ascii="Times New Roman;serif" w:hAnsi="Times New Roman;serif"/>
          <w:b/>
          <w:i/>
          <w:sz w:val="20"/>
        </w:rPr>
      </w:pPr>
      <w:r>
        <w:rPr>
          <w:rFonts w:ascii="Times New Roman;serif" w:hAnsi="Times New Roman;serif"/>
          <w:b/>
          <w:i/>
          <w:sz w:val="20"/>
        </w:rPr>
        <w:t>Our future use of “open source” software could subject our proprietary software to general release, adversely affect our ability to sell our products and subject us to possible litigation.</w:t>
      </w:r>
    </w:p>
    <w:p>
      <w:pPr>
        <w:pStyle w:val="TextBody"/>
        <w:spacing w:before="0" w:after="120"/>
        <w:jc w:val="left"/>
        <w:rPr>
          <w:rFonts w:ascii="Times New Roman" w:hAnsi="Times New Roman"/>
          <w:sz w:val="20"/>
        </w:rPr>
      </w:pPr>
      <w:r>
        <w:rPr>
          <w:rFonts w:ascii="Times New Roman;serif" w:hAnsi="Times New Roman;serif"/>
          <w:b w:val="false"/>
          <w:sz w:val="20"/>
        </w:rPr>
        <w:t>We intend to incorporate open source software in future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70</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If our trademarks, service marks and tradenames are not adequately protected, then we may not be able to build name recognition in our markets and our business may be adversely affected.</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pStyle w:val="TextBody"/>
        <w:spacing w:before="0" w:after="120"/>
        <w:jc w:val="left"/>
        <w:rPr>
          <w:rFonts w:ascii="Times New Roman;serif" w:hAnsi="Times New Roman;serif"/>
          <w:b/>
          <w:sz w:val="20"/>
        </w:rPr>
      </w:pPr>
      <w:r>
        <w:rPr>
          <w:rFonts w:ascii="Times New Roman;serif" w:hAnsi="Times New Roman;serif"/>
          <w:b/>
          <w:sz w:val="20"/>
        </w:rPr>
        <w:t>Risks related to government regulation</w:t>
      </w:r>
    </w:p>
    <w:p>
      <w:pPr>
        <w:pStyle w:val="TextBody"/>
        <w:spacing w:before="0" w:after="120"/>
        <w:jc w:val="left"/>
        <w:rPr>
          <w:rFonts w:ascii="Times New Roman;serif" w:hAnsi="Times New Roman;serif"/>
          <w:b/>
          <w:i/>
          <w:sz w:val="20"/>
        </w:rPr>
      </w:pPr>
      <w:r>
        <w:rPr>
          <w:rFonts w:ascii="Times New Roman;serif" w:hAnsi="Times New Roman;serif"/>
          <w:b/>
          <w:i/>
          <w:sz w:val="20"/>
        </w:rPr>
        <w:t>If we fail to obtain and maintain necessary regulatory clearances or approvals for our products, or if clearances or approvals for future products and indications are delayed or not issued, our commercial operations would be harmed.</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product design, development and manufacture;</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laboratory, preclinical and clinical testing, labeling, packaging, storage and distribution;</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premarketing clearance or approval;</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record keeping;</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product safety and effective;</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product changes;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product marketing, promotion and advertising, sales and distribution; and</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71</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post marketing surveillance, including reporting of deaths or serious injuries and recalls and correction and removals.</w:t>
      </w:r>
    </w:p>
    <w:p>
      <w:pPr>
        <w:pStyle w:val="TextBody"/>
        <w:spacing w:before="0" w:after="160"/>
        <w:jc w:val="left"/>
        <w:rPr>
          <w:rFonts w:ascii="Times New Roman" w:hAnsi="Times New Roman"/>
          <w:sz w:val="20"/>
        </w:rPr>
      </w:pPr>
      <w:r>
        <w:rPr>
          <w:rFonts w:ascii="Times New Roman;serif" w:hAnsi="Times New Roman;serif"/>
          <w:b w:val="false"/>
          <w:sz w:val="20"/>
        </w:rPr>
        <w:t>Before a new medical device, or a new intended use for an existing product, can be marketed in the United States, a company must first submit and receive either 510(k) clearance pursuant to Section 510(k) of the FDCA, or approval of a premarket approval, or PMA, application from the FDA, unless an exemption applies.</w:t>
      </w:r>
      <w:r>
        <w:rPr>
          <w:rFonts w:ascii="Times New Roman" w:hAnsi="Times New Roman"/>
          <w:sz w:val="20"/>
        </w:rPr>
        <w:t xml:space="preserve">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FDA can delay, limit or deny clearance or approval of a device for many reasons, including:</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inability to demonstrate to the satisfaction of the FDA or the applicable regulatory entity or notified body that our products are safe or effective for their intended uses;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disagreement of the FDA or the applicable foreign regulatory body with the design, conduct or implementation of our clinical trials or the analyses or interpretation of data from pre-clinical studies or clinical trials;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serious and unexpected adverse device effects experienced by participants in our clinical trials;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data from our pre-clinical studies and clinical trials may be insufficient to support clearance or approval, where required;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inability to demonstrate that the clinical and other benefits of the device outweigh the risks;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applicable regulatory authority may identify significant deficiencies in our manufacturing processes, facilities or analytical methods or those of our third-party contract manufacturers;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potential for approval policies or regulations of the FDA or applicable foreign regulatory bodies to change significantly in a manner rendering our clinical data or regulatory filings insufficient for clearance or approval;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FDA or foreign regulatory authorities may audit our clinical trial data and conclude that the data is not sufficiently reliable to support approval or clearance.</w:t>
      </w:r>
    </w:p>
    <w:p>
      <w:pPr>
        <w:pStyle w:val="TextBody"/>
        <w:spacing w:before="0" w:after="160"/>
        <w:jc w:val="left"/>
        <w:rPr>
          <w:rFonts w:ascii="Times New Roman" w:hAnsi="Times New Roman"/>
          <w:sz w:val="20"/>
        </w:rPr>
      </w:pPr>
      <w:r>
        <w:rPr>
          <w:rFonts w:ascii="Times New Roman;serif" w:hAnsi="Times New Roman;serif"/>
          <w:b w:val="false"/>
          <w:sz w:val="20"/>
        </w:rPr>
        <w:t>Similarly, regulators may determine that our financial relationships with our principal investigators resulted in a perceived or actual conflict of interest that may have affected the interpretation of a study, the integrity of the data</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72</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generated at the applicable clinical trial site or the utility of the clinical trial itself. Even if we are granted regulatory 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addition, we are required to timely file various reports with the FDA, including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FDA and state authorities have broad enforcement powers. Our failure to comply with applicable regulatory requirements could result in enforcement action by the FDA or state agencies, which may include any of the following sanctions: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adverse publicity, warning letters, fines, injunctions, consent decrees and civil penalties;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repair, replacement, refunds, recalls, termination of distribution, administrative detention or seizure of our products;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operating restrictions, partial suspension or total shutdown of production;</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denial of our requests for 510(k) clearance or PMA of new products, new intended uses or modifications to existing products;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withdrawal of 510(k) clearance or PMAs that have already been granted;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criminal prosecution.</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73</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20"/>
        <w:jc w:val="left"/>
        <w:rPr>
          <w:rFonts w:ascii="Times New Roman;serif" w:hAnsi="Times New Roman;serif"/>
          <w:b/>
          <w:i/>
          <w:sz w:val="20"/>
        </w:rPr>
      </w:pPr>
      <w:r>
        <w:rPr>
          <w:rFonts w:ascii="Times New Roman;serif" w:hAnsi="Times New Roman;serif"/>
          <w:b/>
          <w:i/>
          <w:sz w:val="20"/>
        </w:rPr>
        <w:t>Our products and operations are subject to extensive government regulation and oversight in the United States.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Medical devices regulated by the FDA are subject to “general controls” which include: registration with the FDA; listing commercially distributed products with the FDA; complying with all applicable requirements under the QSR;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Promotional communications with respect to devices are subject to a variety of legal and regulatory restrictions and must be consistent with the information in the products’ cleared or approved labeling. As such, we may not promote our products 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We also received a 510(k) clearance for our contact lens, which is indicated for visualization and treatment in the anterior segment of the eye.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pStyle w:val="TextBody"/>
        <w:spacing w:before="0" w:after="160"/>
        <w:jc w:val="left"/>
        <w:rPr>
          <w:rFonts w:ascii="Times New Roman" w:hAnsi="Times New Roman"/>
          <w:sz w:val="20"/>
        </w:rPr>
      </w:pPr>
      <w:r>
        <w:rPr>
          <w:rFonts w:ascii="Times New Roman;serif" w:hAnsi="Times New Roman;serif"/>
          <w:b w:val="false"/>
          <w:sz w:val="20"/>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74</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If we fail to comply with applicable regulatory requirements, a regulatory agency or enforcement authority may, among other things: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subject our facility to an adverse inspectional finding or Form 483, or other compliance or enforcement notice, communication or correspondence;</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issue warning or untitled letters that would result in adverse publicity or may require corrective advertising;</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impose civil or criminal penalties;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suspend or withdraw regulatory clearances or approvals;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refuse to clear or approve pending applications or supplements to approved applications submitted by us;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impose restrictions on our operations, including closing our sub-assembly suppliers’ facilities;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seize or detain products; or</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require a product recall.</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addition, violations of the FDCA relating to the promotion of approved products may lead to investigations alleging violations of federal and state healthcare fraud and abuse and other laws, as well as state consumer protection laws.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Material modifications to our products may require new 510(k) clearances or pre-market approvals or may require us to recall or cease marketing our products until clearances or approvals are obtained.</w:t>
      </w:r>
    </w:p>
    <w:p>
      <w:pPr>
        <w:pStyle w:val="TextBody"/>
        <w:spacing w:before="0" w:after="160"/>
        <w:jc w:val="left"/>
        <w:rPr>
          <w:rFonts w:ascii="Times New Roman" w:hAnsi="Times New Roman"/>
          <w:sz w:val="20"/>
        </w:rPr>
      </w:pPr>
      <w:r>
        <w:rPr>
          <w:rFonts w:ascii="Times New Roman;serif" w:hAnsi="Times New Roman;serif"/>
          <w:b w:val="false"/>
          <w:sz w:val="20"/>
        </w:rPr>
        <w:t>Modifications that could significantly affect the safety and effectiveness of our approved or cleared products, such as changes to the intended use or technological characteristics of our products, will require new 510(k) clearances or PMAs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75</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pStyle w:val="TextBody"/>
        <w:spacing w:before="0" w:after="120"/>
        <w:jc w:val="left"/>
        <w:rPr>
          <w:rFonts w:ascii="Times New Roman;serif" w:hAnsi="Times New Roman;serif"/>
          <w:b/>
          <w:i/>
          <w:sz w:val="20"/>
        </w:rPr>
      </w:pPr>
      <w:r>
        <w:rPr>
          <w:rFonts w:ascii="Times New Roman;serif" w:hAnsi="Times New Roman;serif"/>
          <w:b/>
          <w:i/>
          <w:sz w:val="20"/>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must be approved for reimbursement before it can be approved for sale in that jurisdiction. In some cases, the price that we intend to charge for our products is also subject to approval.</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RxSight system is approved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in Canada and in Mexico. Obtaining additional foreign regulatory approvals and establishing and maintaining compliance with foreign regulatory requirements in jurisdictions where we conduct business currently or in the future, such as requirements under the EU MDR,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(2) 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products not receiving approval or clearance for commercialization in the applicable jurisdiction.</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76</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20"/>
        <w:jc w:val="left"/>
        <w:rPr>
          <w:rFonts w:ascii="Times New Roman;serif" w:hAnsi="Times New Roman;serif"/>
          <w:b/>
          <w:i/>
          <w:sz w:val="20"/>
        </w:rPr>
      </w:pPr>
      <w:r>
        <w:rPr>
          <w:rFonts w:ascii="Times New Roman;serif" w:hAnsi="Times New Roman;serif"/>
          <w:b/>
          <w:i/>
          <w:sz w:val="20"/>
        </w:rPr>
        <w:t>Our products may be subject to recalls after receiving FDA or foreign approval or clearance, which could divert managerial and financial resources, harm our reputation and adversely affect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If we, or our suppliers, fail to comply with the FDA’s QSR or applicable foreign regulations, our manufacturing or distribution operations could be delayed or shut down and our revenue could suffer.</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manufacturing and design processes and those of our third-party component suppliers are required to comply with the FDA’s Quality System Regulation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If we fail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pStyle w:val="TextBody"/>
        <w:spacing w:before="0" w:after="160"/>
        <w:jc w:val="left"/>
        <w:rPr>
          <w:rFonts w:ascii="Times New Roman" w:hAnsi="Times New Roman"/>
          <w:sz w:val="20"/>
        </w:rPr>
      </w:pPr>
      <w:r>
        <w:rPr>
          <w:rFonts w:ascii="Times New Roman;serif" w:hAnsi="Times New Roman;serif"/>
          <w:b w:val="false"/>
          <w:sz w:val="20"/>
        </w:rPr>
        <w:t>We can provide no assurance that we will continue to remain in material compliance with the QSR. If the FDA, CDPH, or any applicable notified body in the European Union or United Kingdom inspects any of our facilities and</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77</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pStyle w:val="TextBody"/>
        <w:spacing w:before="0" w:after="120"/>
        <w:jc w:val="left"/>
        <w:rPr>
          <w:rFonts w:ascii="Times New Roman;serif" w:hAnsi="Times New Roman;serif"/>
          <w:b/>
          <w:i/>
          <w:sz w:val="20"/>
        </w:rPr>
      </w:pPr>
      <w:r>
        <w:rPr>
          <w:rFonts w:ascii="Times New Roman;serif" w:hAnsi="Times New Roman;serif"/>
          <w:b/>
          <w:i/>
          <w:sz w:val="20"/>
        </w:rPr>
        <w:t>Healthcare reform initiatives and other administrative and legislative proposals may adversely affect our business, financial condition, results of operations and cash flows in our key markets.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For example, in the United States, in March 2010, the Patient Protection and Affordable Care Act, as amended by the Health Care and Education Reconciliation Act of 2010, together, the Affordable Care Act (“ACA”), was enacted. The ACA is a sweeping measure intended to expand healthcare coverage within the United States,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 Biden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2031, with the exception of a temporary suspension implemented under various COVID-19 relief legislation from May 1, 2020 through March 31, 2022, unless additional congressional action is taken. Under current legislation, the actual reduction in Medicare payments can vary from 1% in 2022 to up to 4% in the final fiscal year of this sequester.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 as amended in the future, will not harm our business and financial results, and we cannot predict how future federal or state legislative or administrative changes relating to healthcare reform will affect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ability to set a price that we believe is fair for our products;</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78</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ability to generate revenue and achieve or maintain profitability;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availability of capital.</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Further, recently there has been heightened governmental scrutiny over the manner in which manufacturers set prices for their marketed products, which has resulted in several United States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If we fail to comply with United States federal and state fraud and abuse and other healthcare laws and regulations, we could face substantial penalties and our business operations and financial condition could be adversely affected.</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civil False Claims Act;</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 xml:space="preserve">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79</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decrease or conceal an obligation to pay money to the federal government, and/or impose exclusions from federal health care programs and/or penalties for parties who engage in such prohibited conduct;</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 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pStyle w:val="TextBody"/>
        <w:spacing w:before="0" w:after="160"/>
        <w:jc w:val="left"/>
        <w:rPr>
          <w:rFonts w:ascii="Times New Roman" w:hAnsi="Times New Roman"/>
          <w:sz w:val="20"/>
        </w:rPr>
      </w:pPr>
      <w:r>
        <w:rPr>
          <w:rFonts w:ascii="Times New Roman;serif" w:hAnsi="Times New Roman;serif"/>
          <w:b w:val="false"/>
          <w:sz w:val="20"/>
        </w:rPr>
        <w:t>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80</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Changes in the CMS fee schedules may harm our revenue and operating results.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Government payers, such as CMS as well as insurers, have increased their efforts to control the cost, utilization and delivery of healthcare services. From time to time, the United States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Legislative or regulatory reforms may make it more difficult and costly for us to obtain regulatory clearance or approval of our planned or future products and to manufacture, market and distribute our products after clearance or approval is obtained.</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81</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20"/>
        <w:jc w:val="left"/>
        <w:rPr>
          <w:rFonts w:ascii="Times New Roman;serif" w:hAnsi="Times New Roman;serif"/>
          <w:b/>
          <w:i/>
          <w:sz w:val="20"/>
        </w:rPr>
      </w:pPr>
      <w:r>
        <w:rPr>
          <w:rFonts w:ascii="Times New Roman;serif" w:hAnsi="Times New Roman;serif"/>
          <w:b/>
          <w:i/>
          <w:sz w:val="20"/>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2017, the European Union (“EU”) published the new EU Medical Device Regulation (“MDR”) (2017/745), the application of which was postponed until May 26, 2021 for class I devices (lowest risk) and May 26, 2024 for all other class devices (higher risk devices). In February 2023, EU Parliament voted to extend the MDR transition timelines, which postpones application until December 2027 for higher-risk Class III and implantable IIb devices and until December 2028 for lower-risk Class I and IIa devices. The new regulations replace predecessor directives and emphasize a global convergence of regulations. With the transition from the Medical Devices Directive (“MDD”), to the MDR, notified bodies are required to seek designation to operate as conformity assessment authorities under the new law. While we are currently in compliance with the MDR and in process of transferring certification from MDD to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reclassification of some products;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greater emphasis on clinical data;</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data transparency, including publication of clinical trial data and safety summaries;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defined content and structure for technical files to support registration;</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unique device identification system;</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greater burden on post-market surveillance and clinical follow-up;</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reduction of adverse event reporting time from 30 to 15 days after the event;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more power to notified bodies.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 Marketing authorization timelines will become more protracted and the costs of operating in Europe will increase. A significantly more costly path to regulatory compliance is anticipated.</w:t>
      </w:r>
    </w:p>
    <w:p>
      <w:pPr>
        <w:pStyle w:val="TextBody"/>
        <w:spacing w:before="0" w:after="120"/>
        <w:jc w:val="left"/>
        <w:rPr>
          <w:rFonts w:ascii="Times New Roman;serif" w:hAnsi="Times New Roman;serif"/>
          <w:b/>
          <w:i/>
          <w:sz w:val="20"/>
        </w:rPr>
      </w:pPr>
      <w:r>
        <w:rPr>
          <w:rFonts w:ascii="Times New Roman;serif" w:hAnsi="Times New Roman;serif"/>
          <w:b/>
          <w:i/>
          <w:sz w:val="20"/>
        </w:rPr>
        <w:t>Our clinical trials may fail to demonstrate competent and reliable evidence of the safety and effectiveness of our products, which would prevent or delay commercialization of our products in development.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products. Even if regulatory approval is secured for any of our products, the terms of such approval may limit the scope and use of our products, which may also limit their commercial potential.</w:t>
      </w:r>
    </w:p>
    <w:p>
      <w:pPr>
        <w:pStyle w:val="TextBody"/>
        <w:spacing w:before="0" w:after="120"/>
        <w:jc w:val="left"/>
        <w:rPr>
          <w:rFonts w:ascii="Times New Roman;serif" w:hAnsi="Times New Roman;serif"/>
          <w:b/>
          <w:i/>
          <w:sz w:val="20"/>
        </w:rPr>
      </w:pPr>
      <w:r>
        <w:rPr>
          <w:rFonts w:ascii="Times New Roman;serif" w:hAnsi="Times New Roman;serif"/>
          <w:b/>
          <w:i/>
          <w:sz w:val="20"/>
        </w:rPr>
        <w:t>Defects or failures associated with our products could lead to recalls, safety alerts or litigation, as well as significant costs and negative publicity.</w:t>
      </w:r>
    </w:p>
    <w:p>
      <w:pPr>
        <w:pStyle w:val="TextBody"/>
        <w:spacing w:before="0" w:after="160"/>
        <w:jc w:val="left"/>
        <w:rPr>
          <w:rFonts w:ascii="Times New Roman" w:hAnsi="Times New Roman"/>
          <w:sz w:val="20"/>
        </w:rPr>
      </w:pPr>
      <w:r>
        <w:rPr>
          <w:rFonts w:ascii="Times New Roman;serif" w:hAnsi="Times New Roman;serif"/>
          <w:b w:val="false"/>
          <w:sz w:val="20"/>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82</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are required to file adverse event reports under Medical Device Reporting, or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Our employees, independent contractors, consultants, commercial partners, distributors and vendors may engage in misconduct or other improper activities, including noncompliance with regulatory standards and requirements.</w:t>
      </w:r>
    </w:p>
    <w:p>
      <w:pPr>
        <w:pStyle w:val="TextBody"/>
        <w:spacing w:before="0" w:after="160"/>
        <w:jc w:val="left"/>
        <w:rPr>
          <w:rFonts w:ascii="Times New Roman" w:hAnsi="Times New Roman"/>
          <w:sz w:val="20"/>
        </w:rPr>
      </w:pPr>
      <w:r>
        <w:rPr>
          <w:rFonts w:ascii="Times New Roman;serif" w:hAnsi="Times New Roman;serif"/>
          <w:b w:val="false"/>
          <w:sz w:val="20"/>
        </w:rPr>
        <w:t>We are exposed to the risk that our employees, independent contractors, consultants, commercial partners, distributors and vendors may engage in fraudulent or illegal activity. Misconduct by these parties could include</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83</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Environmental health and safety laws may result in liabilities, expenses and restrictions on our operations. Failure to comply with environmental laws and regulations could subject us to significant liability.</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pStyle w:val="TextBody"/>
        <w:spacing w:before="0" w:after="160"/>
        <w:jc w:val="left"/>
        <w:rPr>
          <w:rFonts w:ascii="Times New Roman" w:hAnsi="Times New Roman"/>
          <w:sz w:val="20"/>
        </w:rPr>
      </w:pPr>
      <w:r>
        <w:rPr>
          <w:rFonts w:ascii="Times New Roman;serif" w:hAnsi="Times New Roman;serif"/>
          <w:b w:val="false"/>
          <w:sz w:val="20"/>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84</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pStyle w:val="TextBody"/>
        <w:spacing w:before="0" w:after="120"/>
        <w:jc w:val="left"/>
        <w:rPr>
          <w:rFonts w:ascii="Times New Roman;serif" w:hAnsi="Times New Roman;serif"/>
          <w:b/>
          <w:i/>
          <w:sz w:val="20"/>
        </w:rPr>
      </w:pPr>
      <w:r>
        <w:rPr>
          <w:rFonts w:ascii="Times New Roman;serif" w:hAnsi="Times New Roman;serif"/>
          <w:b/>
          <w:i/>
          <w:sz w:val="20"/>
        </w:rPr>
        <w:t>We face risks related to our collection and use of data, which could result in investigations, inquiries, litigation, fines, legislative and regulatory action and negative press about our privacy and data protection practices.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could be subject to attacks on our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data or prevent use of their accounts. Data breaches could result in a violation of applicable United States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This risk is enhanced in certain jurisdictions and, as we expand our operations domestically and internationally, we may be subject to additional laws in other jurisdictions. Any failure, or perceived failure, by us to comply with privacy and data protection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Additionally, in the United States, California adopted CCPA in January 2020, which requires certain companies that process information of California consumers to, among other things, provide new disclosures to California consumers and afford such consumers new 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loss of personal information. It remains unclear how various provisions of the CCPA will be interpreted and enforced. Furthermore, in November 2020, California voters passed the CPRA, which became effective January 1, 2023. The CPRA imposes additional obligations on covered companies and significantly modifies the CCPA, including by expanding California residents’ rights with respect to certain sensitive personal information. Other states have passed, or plan to pass, data privacy laws that are similar to the CCPA and CPRA, further complicating the legal landscape. In addition, laws in all 50 states require businesses to provide notice to consumers whose personal information has been accessed or acquired as a result of a data breach (and, in some cases, to regulators). The effects of the CCPA, CPRA and other such privacy laws are potentially significant, and may require us to modify our data processing practices and policies and to incur substantial costs and expenses in an effort to comply.</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addition, we are subject to international laws, regulations and standards in many jurisdictions, which apply broadly to the collection, use, retention, security, disclosure, transfer and other processing of personal information. For example, the GDPR, which was adopted by the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85</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GDPR is subject to significant penalties, including fines of up to €20 million or 4% of total worldwide revenue, whichever is greater. Interpretations of the GDPR by local data protection authorities in EU member states, along with the complexity of the regime itself, create uncertainty regarding the interpretation and enforcement of the law, with potential inconsistencies across EU member states. Other jurisdictions outside the EU are similarly introducing or enhancing laws and regulations relating to privacy and data security, which enhances risks relating to compliance with such laws. Further, the United Kingdom’s decision to leave the European Union has created uncertainty with regard to data protection regulation in the United Kingdom. We are subject to the UK General Data Protection Regulation and UK Data Protection Act of 2018, which retains the GDPR in the United Kingdom’s national law and provides for a penalty structure similar to the GDPR. These recent developments have required us to review and modify the legal means by which we process personal data and may require us to make other modifications. The implementation and enforcement of the GDPR and other evolving legislation may subject us to enforcement risk and requirements to change certain of our data collection, processing and other policies and practices. We could incur significant costs investigating and defending such claims and, if we are found liable, significant damages. If any of these events were to occur, our business and financial results could be adversely affected.</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Additionally, we are subject to laws and regulations regarding cross-border transfers of personal data, including laws relating to transfer of personal data outside of the European Economic Area (“EEA”), Switzerland, and the United Kingdom. We rely on transfer mechanisms permitted under these laws, including EU Standard Contractual Clauses (“SCCs”). Such mechanisms have received heightened regulatory and judicial scrutiny in recent years. The Court of Justice of the European Union (“CJEU”) issued a decision in 2020 invalidating a transfer of personal data from the EEA and Switzerland to the U.S. and imposing additional obligations on companies using the SCCs. The European Commission has adopted new SCCs that are required to be implemented over time, and the United Kingdom has adopted new standard contractual clauses that also are required to be implemented over time. In June 2021, the European Commission issued an adequacy decision in respect of the United Kingdom’s data protection framework, enabling data transfers from EU member states to the United Kingdom to continue without requiring contractual or other additional measures. While it is intended to last for at least four years, the European Commission may revoke the adequacy decision at any point, and if this occurs it could lead to additional costs and increase our overall risk exposure. These developments and other regulatory guidance or developments may impose additional obligations with respect to the transfer of personal data from the EEA, Switzerland, and the United Kingdom,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Switzerland, and the United Kingdom to the U.S. This could adversely affect the manner in which we provide our services and thus materially affect our operations and financial results.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If our practices are not consistent, or are viewed as not consistent, with changes in laws, regulations and standards or new interpretations or applications of existing laws, regulations and standards, we may also become subject to fines, audits, inquiries, whistleblower complaints, adverse media coverage, investigations, lawsuits, loss of export privileges, severe criminal or civil sanction or other penalties.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concerns about our data privacy and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pStyle w:val="TextBody"/>
        <w:spacing w:before="0" w:after="120"/>
        <w:jc w:val="left"/>
        <w:rPr>
          <w:rFonts w:ascii="Times New Roman" w:hAnsi="Times New Roman"/>
          <w:sz w:val="20"/>
        </w:rPr>
      </w:pPr>
      <w:r>
        <w:rPr>
          <w:rFonts w:ascii="Times New Roman;serif" w:hAnsi="Times New Roman;serif"/>
          <w:b/>
          <w:i/>
          <w:sz w:val="20"/>
        </w:rPr>
        <w:t>Inadequate funding for the FDA and other government agencies could hinder their ability to hire and retain key leadership and other personnel, prevent new products and services from being developed or commercialized in a</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86</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20"/>
        <w:jc w:val="left"/>
        <w:rPr>
          <w:rFonts w:ascii="Times New Roman;serif" w:hAnsi="Times New Roman;serif"/>
          <w:b/>
          <w:i/>
          <w:sz w:val="20"/>
        </w:rPr>
      </w:pPr>
      <w:r>
        <w:rPr>
          <w:rFonts w:ascii="Times New Roman;serif" w:hAnsi="Times New Roman;serif"/>
          <w:b/>
          <w:i/>
          <w:sz w:val="20"/>
        </w:rPr>
        <w:t>timely manner or otherwise prevent those agencies from performing normal business functions on which the operation of our business may rely, which could negatively impact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Disruptions at the FDA and other agencies, including delays or disruptions due to the COVID-19 pandemic, travel restrictions, and staffing shortages, may also slow the time necessary for new medical devices to be reviewed and/or approved by necessary government agencies, which would adversely affect our business. For example, in 2018 and 2019, the U.S. government shut down several times and certain regulatory agencies such as the FDA had to furlough critical employees and stop critical activities. Separately, in response to the COVID-19 pandemic, since March 2020 when foreign and domestic inspections of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inspection pace or may be unable to complete required inspections during the review period, which can delay clinical development and result in a complete response letter. Regulatory authorities outside the U.S. may adopt similar restrictions or other policy measures in response to the COVID-19 pandemic and may experience delays in their regulatory activities. Recently, President Biden announced that the administration intends to end the COVID-19 national and public health emergencies on May 11, 2023. The full impact of the termination of the public health emergencies on the FDA and other regulatory policies and operations is unclear. Disruptions to the FDA could significantly impact the ability of the FDA to timely review and process our regulatory submissions, which could have a material adverse effect on our business. Further, future government shutdowns, if any, could impact our ability to access the public markets and obtain necessary capital in order to properly capitalize and continue our operations.</w:t>
      </w:r>
    </w:p>
    <w:p>
      <w:pPr>
        <w:pStyle w:val="TextBody"/>
        <w:spacing w:before="0" w:after="160"/>
        <w:jc w:val="left"/>
        <w:rPr>
          <w:rFonts w:ascii="Times New Roman;serif" w:hAnsi="Times New Roman;serif"/>
          <w:b/>
          <w:i/>
          <w:sz w:val="20"/>
        </w:rPr>
      </w:pPr>
      <w:r>
        <w:rPr>
          <w:rFonts w:ascii="Times New Roman;serif" w:hAnsi="Times New Roman;serif"/>
          <w:b/>
          <w:i/>
          <w:sz w:val="20"/>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have commercialized the RxSight system outside of the United States, and each component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privacy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pStyle w:val="TextBody"/>
        <w:spacing w:before="0" w:after="160"/>
        <w:jc w:val="left"/>
        <w:rPr>
          <w:rFonts w:ascii="Times New Roman" w:hAnsi="Times New Roman"/>
          <w:sz w:val="20"/>
        </w:rPr>
      </w:pPr>
      <w:r>
        <w:rPr>
          <w:rFonts w:ascii="Times New Roman;serif" w:hAnsi="Times New Roman;serif"/>
          <w:b w:val="false"/>
          <w:sz w:val="20"/>
        </w:rPr>
        <w:t>Our operations outside of the United States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87</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investigations, loss of export privileges, severe criminal or civil sanctions and, in the case of the FCPA, suspension or debarment from U.S. government contracts, which could have a material and adverse effect on our business, financial condition and results of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pStyle w:val="TextBody"/>
        <w:spacing w:before="0" w:after="120"/>
        <w:jc w:val="left"/>
        <w:rPr>
          <w:rFonts w:ascii="Times New Roman;serif" w:hAnsi="Times New Roman;serif"/>
          <w:b/>
          <w:sz w:val="20"/>
        </w:rPr>
      </w:pPr>
      <w:r>
        <w:rPr>
          <w:rFonts w:ascii="Times New Roman;serif" w:hAnsi="Times New Roman;serif"/>
          <w:b/>
          <w:sz w:val="20"/>
        </w:rPr>
        <w:t>Risks related to reliance on third parties</w:t>
      </w:r>
    </w:p>
    <w:p>
      <w:pPr>
        <w:pStyle w:val="TextBody"/>
        <w:spacing w:before="0" w:after="120"/>
        <w:jc w:val="left"/>
        <w:rPr>
          <w:rFonts w:ascii="Times New Roman;serif" w:hAnsi="Times New Roman;serif"/>
          <w:b/>
          <w:i/>
          <w:sz w:val="20"/>
        </w:rPr>
      </w:pPr>
      <w:r>
        <w:rPr>
          <w:rFonts w:ascii="Times New Roman;serif" w:hAnsi="Times New Roman;serif"/>
          <w:b/>
          <w:i/>
          <w:sz w:val="20"/>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pStyle w:val="TextBody"/>
        <w:spacing w:before="0" w:after="120"/>
        <w:jc w:val="left"/>
        <w:rPr>
          <w:rFonts w:ascii="Times New Roman;serif" w:hAnsi="Times New Roman;serif"/>
          <w:b/>
          <w:i/>
          <w:sz w:val="20"/>
        </w:rPr>
      </w:pPr>
      <w:r>
        <w:rPr>
          <w:rFonts w:ascii="Times New Roman;serif" w:hAnsi="Times New Roman;serif"/>
          <w:b/>
          <w:i/>
          <w:sz w:val="20"/>
        </w:rPr>
        <w:t>We and our component suppliers may not meet regulatory quality standards applicable to our manufacturing processes, which could have an adverse effect on our business, financial condition and results of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We cannot 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pStyle w:val="TextBody"/>
        <w:spacing w:before="0" w:after="160"/>
        <w:jc w:val="left"/>
        <w:rPr>
          <w:rFonts w:ascii="Times New Roman" w:hAnsi="Times New Roman"/>
          <w:sz w:val="20"/>
        </w:rPr>
      </w:pPr>
      <w:r>
        <w:rPr>
          <w:rFonts w:ascii="Times New Roman;serif" w:hAnsi="Times New Roman;serif"/>
          <w:b w:val="false"/>
          <w:sz w:val="20"/>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BSI, to obtain and maintain these certifications. If we fail these inspections or fail to meet</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88</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these regulatory standards, it could have a material adverse effect on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We depend upon third parties, including single and sole source suppliers, to manufacture certain components and subcomponents of the RxSight system making us vulnerable to supply disruptions and price fluctuations.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since the start of the COVID-19 pandemic and resultant supply chain constraints,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particularly in Europe and Asia, related to the COVID-19 pandemic, and COVID related shutdowns in China and the military conflict in Ukraine,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due to these supply chain constraints we will identify and qualify new vendors or substitute components which requires testing, validations and documentation adding to internal costs and diverting engineering resources from other projects. On January 31, 2023, the FDA approved our premarket approval supplement to our lower cost LDD for various modifications that are intended to reduce the cost to manufacture the device. However, we have deferred the introduction of our lower cost-to-manufacture LDD to the market until the second half of 2023, as it is less difficult to procure components and subcomponents for our existing LDD than the lower cost-to-manufacture LDD. Currently, we are procuring materials for both LDD's, which have the same functionality. Management’s expectation is that our gross margin will be impacted by the decision to continue to produce both LDD's, which is necessary to mitigate potential supply chain issues.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The failure of third parties to meet their contractual, regulatory, and other obligations could adversely affect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have a material adverse effect on our business, financial condition and results of operations.</w:t>
      </w:r>
    </w:p>
    <w:p>
      <w:pPr>
        <w:pStyle w:val="TextBody"/>
        <w:spacing w:before="0" w:after="120"/>
        <w:jc w:val="left"/>
        <w:rPr>
          <w:rFonts w:ascii="Times New Roman;serif" w:hAnsi="Times New Roman;serif"/>
          <w:b/>
          <w:sz w:val="20"/>
        </w:rPr>
      </w:pPr>
      <w:r>
        <w:rPr>
          <w:rFonts w:ascii="Times New Roman;serif" w:hAnsi="Times New Roman;serif"/>
          <w:b/>
          <w:sz w:val="20"/>
        </w:rPr>
        <w:t>Risks related to our common stock</w:t>
      </w:r>
    </w:p>
    <w:p>
      <w:pPr>
        <w:pStyle w:val="TextBody"/>
        <w:spacing w:before="0" w:after="120"/>
        <w:jc w:val="left"/>
        <w:rPr>
          <w:rFonts w:ascii="Times New Roman;serif" w:hAnsi="Times New Roman;serif"/>
          <w:b/>
          <w:i/>
          <w:sz w:val="20"/>
        </w:rPr>
      </w:pPr>
      <w:r>
        <w:rPr>
          <w:rFonts w:ascii="Times New Roman;serif" w:hAnsi="Times New Roman;serif"/>
          <w:b/>
          <w:i/>
          <w:sz w:val="20"/>
        </w:rPr>
        <w:t>The price of our stock may be volatile, and you could lose all or part of your investment.</w:t>
      </w:r>
    </w:p>
    <w:p>
      <w:pPr>
        <w:pStyle w:val="TextBody"/>
        <w:spacing w:before="0" w:after="160"/>
        <w:jc w:val="left"/>
        <w:rPr>
          <w:rFonts w:ascii="Times New Roman" w:hAnsi="Times New Roman"/>
          <w:sz w:val="20"/>
        </w:rPr>
      </w:pPr>
      <w:r>
        <w:rPr>
          <w:rFonts w:ascii="Times New Roman;serif" w:hAnsi="Times New Roman;serif"/>
          <w:b w:val="false"/>
          <w:sz w:val="20"/>
        </w:rPr>
        <w:t>The trading price of our common stock has been and may continue to be highly volatile and could be subject to wide fluctuations in response to various factors, some of which we cannot control. From the date of our initial public offering through May 1, 2023, our common stock has traded at a low of $8.80 and a high of $19.67 on the Nasdaq Global Market. The stock market in general has experienced extreme price and volume fluctuations that have often been unrelated or disproportionate to the operating performance of these companies. Broad market and industry</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89</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factors may negatively affect the market price of our common stock, regardless of our actual operating performance. In addition to the factors discussed in Part II, Item 1A, “Risk Factors,” and elsewhere in this report, these factors include:</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timing and results of preclinical studies and clinical trials of our current and future products or those of our competitors;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success of competitive products or announcements by potential competitors of their product development efforts;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regulatory actions with respect to our products or our competitors’ products;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actual or anticipated changes in our growth rate relative to our competitors;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regulatory or legal developments in the United States and other countries;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developments or disputes concerning patent applications, issued patents or other intellectual property or proprietary rights;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recruitment or departure of key personnel;</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announcements by us or our competitors of significant acquisitions, strategic collaborations, joint ventures, collaborations or capital commitments;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actual or anticipated changes in estimates as to financial results, development timelines or recommendations by securities analysts;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fluctuations in the valuation of companies perceived by investors to be comparable to us;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market conditions in the medical device sector;</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changes in the structure of healthcare payment systems;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share price and volume fluctuations attributable to inconsistent trading volume levels of our shares;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announcement or expectation of additional financing efforts;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sales of our common stock by us, our insiders or our other stockholders;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general economic, industry and market conditions, including global and national events, such as the conflicts in Eastern Europe, and general economic downturns;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impact of the COVID-19 pandemic.</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realization of any of the above risks or any of a broad range of other risks, including those described in this Part II, Item 1A, “Risk Factors,” could have a dramatic and adverse impact on the market price of our common stock.</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spacing w:before="0" w:after="120"/>
        <w:jc w:val="left"/>
        <w:rPr>
          <w:rFonts w:ascii="Times New Roman;serif" w:hAnsi="Times New Roman;serif"/>
          <w:b/>
          <w:i/>
          <w:sz w:val="20"/>
        </w:rPr>
      </w:pPr>
      <w:r>
        <w:rPr>
          <w:rFonts w:ascii="Times New Roman;serif" w:hAnsi="Times New Roman;serif"/>
          <w:b/>
          <w:i/>
          <w:sz w:val="20"/>
        </w:rPr>
        <w:t>If securities or industry analysts do not publish research or publish unfavorable research about our business, our stock price and trading volume could decline.</w:t>
      </w:r>
    </w:p>
    <w:p>
      <w:pPr>
        <w:pStyle w:val="TextBody"/>
        <w:spacing w:before="0" w:after="160"/>
        <w:jc w:val="left"/>
        <w:rPr>
          <w:rFonts w:ascii="Times New Roman" w:hAnsi="Times New Roman"/>
          <w:sz w:val="20"/>
        </w:rPr>
      </w:pPr>
      <w:r>
        <w:rPr>
          <w:rFonts w:ascii="Times New Roman;serif" w:hAnsi="Times New Roman;serif"/>
          <w:b w:val="false"/>
          <w:sz w:val="20"/>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90</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company or fails to publish reports on us regularly, demand for our stock could decrease, which in turn could cause our stock price or trading volume to decline.</w:t>
      </w:r>
    </w:p>
    <w:p>
      <w:pPr>
        <w:pStyle w:val="TextBody"/>
        <w:spacing w:before="0" w:after="120"/>
        <w:jc w:val="left"/>
        <w:rPr>
          <w:rFonts w:ascii="Times New Roman;serif" w:hAnsi="Times New Roman;serif"/>
          <w:b/>
          <w:i/>
          <w:sz w:val="20"/>
        </w:rPr>
      </w:pPr>
      <w:r>
        <w:rPr>
          <w:rFonts w:ascii="Times New Roman;serif" w:hAnsi="Times New Roman;serif"/>
          <w:b/>
          <w:i/>
          <w:sz w:val="20"/>
        </w:rPr>
        <w:t>We do not know whether an active, liquid and orderly trading market will exist for our common stock or what the market price of our common stock will be and as a result it may be difficult for you to sell your shares of our common stock.</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common stock is currently traded on Nasdaq Global Market, but we can provide no assurance that we will be able to maintain an active trading market on Nasdaq Global Market or any other exchange in the future. If an active trading market does not develop, or is not maintained, or if we fail to satisfy the continued listing standards of the Nasdaq Global Market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pStyle w:val="TextBody"/>
        <w:spacing w:before="0" w:after="120"/>
        <w:jc w:val="left"/>
        <w:rPr>
          <w:rFonts w:ascii="Times New Roman;serif" w:hAnsi="Times New Roman;serif"/>
          <w:b/>
          <w:i/>
          <w:sz w:val="20"/>
        </w:rPr>
      </w:pPr>
      <w:r>
        <w:rPr>
          <w:rFonts w:ascii="Times New Roman;serif" w:hAnsi="Times New Roman;serif"/>
          <w:b/>
          <w:i/>
          <w:sz w:val="20"/>
        </w:rPr>
        <w:t>Sales of a substantial number of shares of our common stock in the public market could cause our stock price to fall.</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As of March 31, 2023, we had 33,966,697 shares of common stock issued and outstanding. All of these shares are available for sale in the public market, subject to limitations under Rule 144 with respect to affiliates of our company.</w:t>
      </w:r>
    </w:p>
    <w:p>
      <w:pPr>
        <w:pStyle w:val="TextBody"/>
        <w:spacing w:before="0" w:after="160"/>
        <w:jc w:val="left"/>
        <w:rPr>
          <w:rFonts w:ascii="Times New Roman" w:hAnsi="Times New Roman"/>
          <w:sz w:val="20"/>
        </w:rPr>
      </w:pPr>
      <w:r>
        <w:rPr>
          <w:rFonts w:ascii="Times New Roman;serif" w:hAnsi="Times New Roman;serif"/>
          <w:b w:val="false"/>
          <w:sz w:val="20"/>
        </w:rPr>
        <w:t>We have filed registration statements on Form S-8 under the Securities Act registering the offer and sale of up to an aggregate of 9,216,217 shares of common stock pursuant to our Equity Incentive Plans and an aggregate of 757,694 shares of common stock pursuant to our 2021 ESPP. Our 2021 Plan and 2021 ESPP each contain an evergreen provision that may increase the number of shares available for issuance pursuant to such plans on the first day of each fiscal year. See Note 7 – Stock-Based Compensation Expense in the Notes to the unaudited condensed consolidated financial statements included in this report.</w:t>
      </w:r>
      <w:r>
        <w:rPr>
          <w:rFonts w:ascii="Times New Roman" w:hAnsi="Times New Roman"/>
          <w:sz w:val="20"/>
        </w:rPr>
        <w:t xml:space="preserve">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On August 8, 2022, we filed a $200.0 million shelf registration statement which became effective on August 12, 2022. The shelf registration statement is effective for three years and permits us to sell, from time to time, up to $200.0 million in aggregate value of our common stock, preferred stock, debt securities, warrants, and/or units. The shelf registration statement is intended to provide us with flexibility to access additional capital when market conditions are appropriate. At the time of filing of the shelf registration statement, we also filed a prospectus supplement to sell up to an aggregate value of $50.0 million dollars of our common stock through an “at-the-market” (the “ATM”) offering. The shares are being offered through BofA Securities, Inc. as sales agent. As of March 31, 2023, a total of 1,355,216 shares of common stock, for total net proceeds of $16.9 million, have been issued and sold through the ATM offering, of which 879,341 shares of common stock, for net proceeds of $10.9 million, were sold during the quarter ended March 31, 2023.</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In addition, 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pStyle w:val="TextBody"/>
        <w:spacing w:before="0" w:after="120"/>
        <w:jc w:val="left"/>
        <w:rPr>
          <w:rFonts w:ascii="Times New Roman" w:hAnsi="Times New Roman"/>
          <w:sz w:val="20"/>
        </w:rPr>
      </w:pPr>
      <w:r>
        <w:rPr>
          <w:rFonts w:ascii="Times New Roman;serif" w:hAnsi="Times New Roman;serif"/>
          <w:b w:val="false"/>
          <w:sz w:val="20"/>
        </w:rPr>
        <w:br/>
      </w:r>
      <w:r>
        <w:rPr>
          <w:rFonts w:ascii="Times New Roman;serif" w:hAnsi="Times New Roman;serif"/>
          <w:b/>
          <w:i/>
          <w:sz w:val="20"/>
        </w:rPr>
        <w:t>Our principal stockholders and management own a significant percentage of our stock and will be able to exert significant control over matters subject to stockholder approval.</w:t>
      </w:r>
    </w:p>
    <w:p>
      <w:pPr>
        <w:pStyle w:val="TextBody"/>
        <w:spacing w:before="0" w:after="160"/>
        <w:jc w:val="left"/>
        <w:rPr>
          <w:rFonts w:ascii="Times New Roman" w:hAnsi="Times New Roman"/>
          <w:sz w:val="20"/>
        </w:rPr>
      </w:pPr>
      <w:r>
        <w:rPr>
          <w:rFonts w:ascii="Times New Roman;serif" w:hAnsi="Times New Roman;serif"/>
          <w:b w:val="false"/>
          <w:sz w:val="20"/>
        </w:rPr>
        <w:t>As of March 31, 2023, our executive officers, directors, holders of 5% or more of our common stock and their respective affiliates beneficially owned approximately 40% of our voting common stock. As a result, this group of stockholders will have the ability to control us through this ownership position. These stockholders may be able to determine all matters requiring stockholder approval. For example, these stockholders may be able to control</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91</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spacing w:before="0" w:after="120"/>
        <w:jc w:val="left"/>
        <w:rPr>
          <w:rFonts w:ascii="Times New Roman;serif" w:hAnsi="Times New Roman;serif"/>
          <w:b/>
          <w:i/>
          <w:sz w:val="20"/>
        </w:rPr>
      </w:pPr>
      <w:r>
        <w:rPr>
          <w:rFonts w:ascii="Times New Roman;serif" w:hAnsi="Times New Roman;serif"/>
          <w:b/>
          <w:i/>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not being required to comply with the auditor attestation requirements of Section 404 of the Sarbanes-Oxley Act;</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reduced disclosure obligations regarding executive compensation in our periodic reports and proxy statements;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exemptions from the requirements of holding nonbinding advisory stockholder votes on executive compensation and stockholder approval of any golden parachute payments not previously approved.</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will remain an emerging growth company until the earliest of: (i) the last day of the fiscal year following the fifth anniversary of the consummation of our initial public offering (i.e. December 31, 2026); (ii) the last day of the fiscal year in which we have total annual gross revenue of at least $1.235 billion; (iii) the date on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spacing w:before="0" w:after="120"/>
        <w:jc w:val="left"/>
        <w:rPr>
          <w:rFonts w:ascii="Times New Roman" w:hAnsi="Times New Roman"/>
          <w:sz w:val="20"/>
        </w:rPr>
      </w:pPr>
      <w:r>
        <w:rPr>
          <w:rFonts w:ascii="Times New Roman;serif" w:hAnsi="Times New Roman;serif"/>
          <w:b/>
          <w:i/>
          <w:sz w:val="20"/>
        </w:rPr>
        <w:t>We have incurred increased costs as a result of operating as a public company, and our management devotes substantial time to new compliance initiatives and corporate governance practices. Additionally, if we fail to</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92</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20"/>
        <w:jc w:val="left"/>
        <w:rPr>
          <w:rFonts w:ascii="Times New Roman;serif" w:hAnsi="Times New Roman;serif"/>
          <w:b/>
          <w:i/>
          <w:sz w:val="20"/>
        </w:rPr>
      </w:pPr>
      <w:r>
        <w:rPr>
          <w:rFonts w:ascii="Times New Roman;serif" w:hAnsi="Times New Roman;serif"/>
          <w:b/>
          <w:i/>
          <w:sz w:val="20"/>
        </w:rPr>
        <w:t>maintain proper and effective internal controls, our ability to produce accurate financial statements on a timely basis could be impaired.</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As a public company we incur significant legal, accounting and other expenses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addition, as a public company we are required to incur additional costs and obligations in order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if we are an accelerated filer or large accelerated filer.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pStyle w:val="TextBody"/>
        <w:spacing w:before="0" w:after="120"/>
        <w:jc w:val="left"/>
        <w:rPr>
          <w:rFonts w:ascii="Times New Roman;serif" w:hAnsi="Times New Roman;serif"/>
          <w:b/>
          <w:i/>
          <w:sz w:val="20"/>
        </w:rPr>
      </w:pPr>
      <w:r>
        <w:rPr>
          <w:rFonts w:ascii="Times New Roman;serif" w:hAnsi="Times New Roman;serif"/>
          <w:b/>
          <w:i/>
          <w:sz w:val="20"/>
        </w:rPr>
        <w:t>We do not intend to pay dividends on our common stock so any returns will be limited to the value of our stock.</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93</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20"/>
        <w:jc w:val="left"/>
        <w:rPr>
          <w:rFonts w:ascii="Times New Roman;serif" w:hAnsi="Times New Roman;serif"/>
          <w:b/>
          <w:i/>
          <w:sz w:val="20"/>
        </w:rPr>
      </w:pPr>
      <w:r>
        <w:rPr>
          <w:rFonts w:ascii="Times New Roman;serif" w:hAnsi="Times New Roman;serif"/>
          <w:b/>
          <w:i/>
          <w:sz w:val="20"/>
        </w:rPr>
        <w:t>Provisions in our certificate of incorporation, bylaws and Delaware law might discourage, delay or prevent a change in control of our company or changes in our management and, therefore, depress the market price of our common stock.</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establish a classified Board of Directors so that not all members of our board are elected at one time;</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permit only the Board of Directors to establish the number of directors and fill vacancies on the board;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provide that directors may only be removed “for cause” and only with the approval of two-thirds of our stockholders;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authorize the issuance of “blank check” preferred stock that our board could use to implement a stockholder rights plan (also known as a poison pill);</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eliminate the ability of our stockholders to call special meetings of stockholders;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prohibit stockholder action by written consent, which requires all stockholder actions to be taken at a meeting of our stockholders;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prohibit cumulative voting;</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authorize our Board of Directors to amend the bylaws;</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establish advance notice requirements for nominations for election to our board or for proposing matters that can be acted upon by stockholders at annual stockholder meetings;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require a super-majority vote of stockholders to amend some provisions described above.</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spacing w:before="0" w:after="120"/>
        <w:jc w:val="left"/>
        <w:rPr>
          <w:rFonts w:ascii="Times New Roman;serif" w:hAnsi="Times New Roman;serif"/>
          <w:b/>
          <w:i/>
          <w:sz w:val="20"/>
        </w:rPr>
      </w:pPr>
      <w:r>
        <w:rPr>
          <w:rFonts w:ascii="Times New Roman;serif" w:hAnsi="Times New Roman;serif"/>
          <w:b/>
          <w:i/>
          <w:sz w:val="20"/>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is the exclusive forum for:</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any derivative action or proceeding brought on our behalf;</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any action asserting a claim of breach of fiduciary duty;</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any action asserting a claim against us arising under the DGCL, our amended and restated certificate of incorporation or our bylaws; and</w:t>
      </w:r>
    </w:p>
    <w:p>
      <w:pPr>
        <w:pStyle w:val="TextBody"/>
        <w:spacing w:before="0" w:after="160"/>
        <w:jc w:val="left"/>
        <w:rPr/>
      </w:pPr>
      <w:r>
        <w:rPr/>
        <w:t>•</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any action asserting a claim against us that is governed by the internal-affairs doctrine.</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94</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bylaws provide that, unless we consent in writing to the selection of an alternative forum, the federal district courts of the United States of America will be the exclusive forum for resolving any complaint asserting a cause of action arising under the Securities Act of 1933, as amended against any person in connection with any offering of the Company’s securities, including but not limited to any auditor, underwriter,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This Delaware forum provision does not apply to actions arising under the Securities Exchange Act of 1934 because the federal courts have exclusive jurisdiction over such claims.</w:t>
      </w:r>
    </w:p>
    <w:p>
      <w:pPr>
        <w:pStyle w:val="TextBody"/>
        <w:spacing w:before="0" w:after="120"/>
        <w:jc w:val="left"/>
        <w:rPr>
          <w:rFonts w:ascii="Times New Roman;serif" w:hAnsi="Times New Roman;serif"/>
          <w:b/>
          <w:i/>
          <w:sz w:val="20"/>
        </w:rPr>
      </w:pPr>
      <w:r>
        <w:rPr>
          <w:rFonts w:ascii="Times New Roman;serif" w:hAnsi="Times New Roman;serif"/>
          <w:b/>
          <w:i/>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pStyle w:val="TextBody"/>
        <w:spacing w:before="0" w:after="120"/>
        <w:jc w:val="left"/>
        <w:rPr>
          <w:rFonts w:ascii="Times New Roman;serif" w:hAnsi="Times New Roman;serif"/>
          <w:b/>
          <w:i/>
          <w:sz w:val="20"/>
        </w:rPr>
      </w:pPr>
      <w:r>
        <w:rPr>
          <w:rFonts w:ascii="Times New Roman;serif" w:hAnsi="Times New Roman;serif"/>
          <w:b/>
          <w:i/>
          <w:sz w:val="20"/>
        </w:rPr>
        <w:t>Our Board of Directors are authorized to issue and designate shares of our preferred stock in additional series without stockholder approval.</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pStyle w:val="TextBody"/>
        <w:spacing w:before="0" w:after="120"/>
        <w:jc w:val="left"/>
        <w:rPr>
          <w:rFonts w:ascii="Times New Roman;serif" w:hAnsi="Times New Roman;serif"/>
          <w:b/>
          <w:i/>
          <w:sz w:val="20"/>
        </w:rPr>
      </w:pPr>
      <w:r>
        <w:rPr>
          <w:rFonts w:ascii="Times New Roman;serif" w:hAnsi="Times New Roman;serif"/>
          <w:b/>
          <w:i/>
          <w:sz w:val="20"/>
        </w:rPr>
        <w:t>Changes in tax laws or regulations that are applied adversely to us or our customers may have a material adverse effect on our business, cash flow, financial condition or results of operations.</w:t>
      </w:r>
    </w:p>
    <w:p>
      <w:pPr>
        <w:pStyle w:val="TextBody"/>
        <w:spacing w:before="0" w:after="160"/>
        <w:jc w:val="left"/>
        <w:rPr>
          <w:rFonts w:ascii="Times New Roman" w:hAnsi="Times New Roman"/>
          <w:sz w:val="20"/>
        </w:rPr>
      </w:pPr>
      <w:r>
        <w:rPr>
          <w:rFonts w:ascii="Times New Roman;serif" w:hAnsi="Times New Roman;serif"/>
          <w:b w:val="false"/>
          <w:sz w:val="20"/>
        </w:rPr>
        <w:t>The Tax Act enacted many significant changes to the U.S. tax laws, the consequences of which have not yet been fully determined.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As an example, beginning in 2022, the Tax Act eliminates the option to immediately deduct research and development expenditures currently and requires taxpayers to capitalize and amortize them over five or fifteen years pursuant to</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95</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Section 174 of the Code, which may impact our effective tax rate and our cash tax liability in 2022 or in future years. Regulatory or legislative developments may arise from the proposed U.S. tax reform under the Biden Administration, which has proposed several changes to the corporate income tax regime, which, if adopted, could result in increased taxation of our business operations. There is uncertainty regarding what changes, if any, will be enacted and the effect on our business and financial results. The foregoing items, as well as any future changes in tax laws, could have a material adverse effect on our business, cash flow, financial condition or results of operations. We will also continue to monitor and assess the impact of international tax reform, including but not limited to the 15% global minimal tax proposed by the Organisation for Economic Co-operation and Development. Finally, the Inflation Reduction Act of 2022 (the “IRA”), will become effective beginning in fiscal year 2024. We do not currently expect that the IRA will have a material impact on our income tax liability.</w:t>
      </w:r>
    </w:p>
    <w:p>
      <w:pPr>
        <w:pStyle w:val="TextBody"/>
        <w:spacing w:before="0" w:after="120"/>
        <w:jc w:val="left"/>
        <w:rPr>
          <w:rFonts w:ascii="Times New Roman;serif" w:hAnsi="Times New Roman;serif"/>
          <w:b/>
          <w:sz w:val="20"/>
        </w:rPr>
      </w:pPr>
      <w:r>
        <w:rPr>
          <w:rFonts w:ascii="Times New Roman;serif" w:hAnsi="Times New Roman;serif"/>
          <w:b/>
          <w:sz w:val="20"/>
        </w:rPr>
        <w:t>General risk factors</w:t>
      </w:r>
    </w:p>
    <w:p>
      <w:pPr>
        <w:pStyle w:val="TextBody"/>
        <w:spacing w:before="0" w:after="120"/>
        <w:jc w:val="left"/>
        <w:rPr>
          <w:rFonts w:ascii="Times New Roman;serif" w:hAnsi="Times New Roman;serif"/>
          <w:b/>
          <w:i/>
          <w:sz w:val="20"/>
        </w:rPr>
      </w:pPr>
      <w:r>
        <w:rPr>
          <w:rFonts w:ascii="Times New Roman;serif" w:hAnsi="Times New Roman;serif"/>
          <w:b/>
          <w:i/>
          <w:sz w:val="20"/>
        </w:rPr>
        <w:t>Our success is highly dependent on our ability to attract and retain highly skilled executive officers and employees.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pStyle w:val="TextBody"/>
        <w:spacing w:before="0" w:after="120"/>
        <w:jc w:val="left"/>
        <w:rPr>
          <w:rFonts w:ascii="Times New Roman;serif" w:hAnsi="Times New Roman;serif"/>
          <w:b/>
          <w:i/>
          <w:sz w:val="20"/>
        </w:rPr>
      </w:pPr>
      <w:r>
        <w:rPr>
          <w:rFonts w:ascii="Times New Roman;serif" w:hAnsi="Times New Roman;serif"/>
          <w:b/>
          <w:i/>
          <w:sz w:val="20"/>
        </w:rPr>
        <w:t>Our business and operations would suffer in the event of system failures or security breaches or incidents.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computer systems, as well as those of our contractors and consultants, are vulnerable to damage from computer viruses, ransomware and other malicious code, unauthorized access, natural disasters (including hurricanes), terrorism, war and telecommunication and electrical failures. If such an event were to occur and cause interruptions in our operations, it could result in a material disruption of the commercialization of our RxSight system and our future products. For example, the loss, corruption, or unavailability of preclinical study or clinical trial data from completed, ongoing or planned trials could result in delays in our regulatory approval efforts and significantly increase our costs to recover or reproduce the data. Any disruption or security breach or incident resulting in, or believed or perceived to have reported in, the loss or unavailability of or damage to our data or applications, or inappropriate disclosure or other processing of personal, confidential or proprietary information, could cause us to incur liability and cause the commercialization of our RxSight system and the further development of our current and future products to be delayed.</w:t>
      </w:r>
    </w:p>
    <w:p>
      <w:pPr>
        <w:pStyle w:val="TextBody"/>
        <w:spacing w:before="0" w:after="160"/>
        <w:jc w:val="left"/>
        <w:rPr>
          <w:rFonts w:ascii="Times New Roman" w:hAnsi="Times New Roman"/>
          <w:sz w:val="20"/>
        </w:rPr>
      </w:pPr>
      <w:r>
        <w:rPr>
          <w:rFonts w:ascii="Times New Roman;serif" w:hAnsi="Times New Roman;serif"/>
          <w:b w:val="false"/>
          <w:sz w:val="20"/>
        </w:rPr>
        <w:t>The secure processing, maintenance and transmission of this information is critical to our operations. Despite our security measures, our information technology and infrastructure may be vulnerable to attacks by hackers or internal bad actors, or breached due to technical vulnerabilities, employee error, malfeasance or other disruptions. Although, to our knowledge, we have not experienced such material security breach to date, any security breach or security incident could compromise our networks and the information stored there could be accessed, publicly disclosed, lost, stolen, or otherwise processed without authorization. Any such actual or perceived access, disclosure or other security breach or incident, loss, or unauthorized processing of information (whether affecting us or one of</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96</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 w:hAnsi="Times New Roman"/>
          <w:sz w:val="20"/>
        </w:rPr>
      </w:pPr>
      <w:r>
        <w:rPr>
          <w:rFonts w:ascii="Times New Roman;serif" w:hAnsi="Times New Roman;serif"/>
          <w:b w:val="false"/>
          <w:sz w:val="20"/>
        </w:rPr>
        <w:t>our third-party service providers) could result in legal claims and proceedings, regulatory investigations, and other proceedings and liability under laws that protect the privacy of personal information, significant regulatory penalties or other fines or remedies,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r>
        <w:rPr>
          <w:rFonts w:ascii="Times New Roman" w:hAnsi="Times New Roman"/>
          <w:sz w:val="20"/>
        </w:rPr>
        <w:t xml:space="preserve">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The techniques and sophistication used to conduct cyber-attacks and breaches of information technology systems, as well as the sources and targets of these attacks, may take many forms (including phishing, social engineering, denial or degradation of service attacks, ransomware, malware or other malicious code), change frequently and are often not recognized until such attacks are launched or have been in place for a period of time. In addition, our employees, contractors, or third parties with whom we do business or to whom we outsource business operations may attempt to circumvent our security measures in order to misappropriate regulated, protected, or personally identifiable information, and may purposefully or inadvertently cause a breach or incident involving or compromise of such information. Third parties may have the technology or know-how to breach the security of the information collected, stored, or transmitted by us, and our respective security measures, as well as those of our third-party service providers, may not effectively prohibit others from obtaining improper access to this information. Advances in computer and software capabilities and encryption technology, new tools, and other developments may increase the risk of such a breach, incident, or compromise. There is no assurance that any security procedures or controls that we or our third-party providers have implemented will be sufficient to prevent data-security related incidents from occurring.</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may be required to expend significant capital and other resources to protect against, respond to, and recover from any potential, attempted or existing security breaches, incidents,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or incident,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pStyle w:val="TextBody"/>
        <w:spacing w:before="0" w:after="120"/>
        <w:jc w:val="left"/>
        <w:rPr>
          <w:rFonts w:ascii="Times New Roman;serif" w:hAnsi="Times New Roman;serif"/>
          <w:b/>
          <w:i/>
          <w:sz w:val="20"/>
        </w:rPr>
      </w:pPr>
      <w:r>
        <w:rPr>
          <w:rFonts w:ascii="Times New Roman;serif" w:hAnsi="Times New Roman;serif"/>
          <w:b/>
          <w:i/>
          <w:sz w:val="20"/>
        </w:rPr>
        <w:t>Economic conditions may adversely affect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Global economic, political and market conditions, including those related to the COVID-19 pandemic, conflicts in Eastern Europe, and general economic downturns, may negatively impact our business. A significant change in the liquidity or financial condition of our customers could cause unfavorable trends in their purchases and also in our receivable collections, and additional allowances may be required, which could adversely affect our business, financial condition and results of operations. Adverse worldwide economic conditions may also adversely impact our suppliers’ ability to provide us with materials and components, which could have a material adverse effect on our business, financial condition and results of operations.</w:t>
      </w:r>
    </w:p>
    <w:p>
      <w:pPr>
        <w:pStyle w:val="TextBody"/>
        <w:spacing w:before="0" w:after="120"/>
        <w:jc w:val="left"/>
        <w:rPr>
          <w:rFonts w:ascii="Times New Roman;serif" w:hAnsi="Times New Roman;serif"/>
          <w:b/>
          <w:i/>
          <w:sz w:val="20"/>
        </w:rPr>
      </w:pPr>
      <w:r>
        <w:rPr>
          <w:rFonts w:ascii="Times New Roman;serif" w:hAnsi="Times New Roman;serif"/>
          <w:b/>
          <w:i/>
          <w:sz w:val="20"/>
        </w:rPr>
        <w:t>Litigation and other legal proceedings may adversely affect our business.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97</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20"/>
        <w:jc w:val="left"/>
        <w:rPr>
          <w:rFonts w:ascii="Times New Roman;serif" w:hAnsi="Times New Roman;serif"/>
          <w:b/>
          <w:i/>
          <w:sz w:val="20"/>
        </w:rPr>
      </w:pPr>
      <w:r>
        <w:rPr>
          <w:rFonts w:ascii="Times New Roman;serif" w:hAnsi="Times New Roman;serif"/>
          <w:b/>
          <w:i/>
          <w:sz w:val="20"/>
        </w:rPr>
        <w:t>Business disruptions could seriously harm our future revenue and financial condition and increase our costs and expenses.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pStyle w:val="TextBody"/>
        <w:spacing w:before="0" w:after="120"/>
        <w:jc w:val="left"/>
        <w:rPr>
          <w:rFonts w:ascii="Times New Roman;serif" w:hAnsi="Times New Roman;serif"/>
          <w:b/>
          <w:i/>
          <w:sz w:val="20"/>
        </w:rPr>
      </w:pPr>
      <w:r>
        <w:rPr>
          <w:rFonts w:ascii="Times New Roman;serif" w:hAnsi="Times New Roman;serif"/>
          <w:b/>
          <w:i/>
          <w:sz w:val="20"/>
        </w:rPr>
        <w:t>Our results of operations could be materially harmed if we are unable to accurately forecast customer demand for our products and manage our inventory.</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We seek to maintain sufficient levels of inventory in order to protect ourselves from supply interruptions, but due to the expansion of global lead times, particularly in Europe and Asia, related to the COVID-19 pandemic, has resulted in the lack of availability of raw materials, including semiconductors, computers, monitors electronic parts, metals, packaging, adhesives, chemicals, resins and subcontract painted components, limiting our ability to maintain as much inventory of 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pStyle w:val="TextBody"/>
        <w:spacing w:before="0" w:after="120"/>
        <w:jc w:val="left"/>
        <w:rPr>
          <w:rFonts w:ascii="Times New Roman;serif" w:hAnsi="Times New Roman;serif"/>
          <w:b/>
          <w:sz w:val="20"/>
        </w:rPr>
      </w:pPr>
      <w:r>
        <w:rPr>
          <w:rFonts w:ascii="Times New Roman;serif" w:hAnsi="Times New Roman;serif"/>
          <w:b/>
          <w:sz w:val="20"/>
        </w:rPr>
        <w:t>Risks related to COVID-19</w:t>
      </w:r>
    </w:p>
    <w:p>
      <w:pPr>
        <w:pStyle w:val="TextBody"/>
        <w:spacing w:before="0" w:after="120"/>
        <w:jc w:val="left"/>
        <w:rPr>
          <w:rFonts w:ascii="Times New Roman;serif" w:hAnsi="Times New Roman;serif"/>
          <w:b/>
          <w:i/>
          <w:sz w:val="20"/>
        </w:rPr>
      </w:pPr>
      <w:r>
        <w:rPr>
          <w:rFonts w:ascii="Times New Roman;serif" w:hAnsi="Times New Roman;serif"/>
          <w:b/>
          <w:i/>
          <w:sz w:val="20"/>
        </w:rPr>
        <w:t>Our business, financial condition, results of operations and growth have been harmed by the effects of the COVID-19 pandemic and may continue to be harmed.</w:t>
      </w:r>
    </w:p>
    <w:p>
      <w:pPr>
        <w:pStyle w:val="TextBody"/>
        <w:spacing w:before="0" w:after="160"/>
        <w:jc w:val="left"/>
        <w:rPr>
          <w:rFonts w:ascii="Times New Roman" w:hAnsi="Times New Roman"/>
          <w:sz w:val="20"/>
        </w:rPr>
      </w:pPr>
      <w:r>
        <w:rPr>
          <w:rFonts w:ascii="Times New Roman;serif" w:hAnsi="Times New Roman;serif"/>
          <w:b w:val="false"/>
          <w:sz w:val="20"/>
        </w:rPr>
        <w:t>We are subject to risks related to public health crises such as the global pandemic associated with COVID-19. The COVID-19 outbreak has negatively impacted and may continue to negatively impact our operations and revenues and overall financial condition by decreasing the number of our RxSight systems sold.</w:t>
      </w:r>
      <w:r>
        <w:rPr>
          <w:rFonts w:ascii="Times New Roman" w:hAnsi="Times New Roman"/>
          <w:sz w:val="20"/>
        </w:rPr>
        <w:t xml:space="preserve"> </w:t>
      </w:r>
    </w:p>
    <w:p>
      <w:pPr>
        <w:pStyle w:val="TextBody"/>
        <w:spacing w:before="0" w:after="160"/>
        <w:jc w:val="left"/>
        <w:rPr>
          <w:rFonts w:ascii="Times New Roman" w:hAnsi="Times New Roman"/>
          <w:sz w:val="20"/>
        </w:rPr>
      </w:pPr>
      <w:r>
        <w:rPr>
          <w:rFonts w:ascii="Times New Roman;serif" w:hAnsi="Times New Roman;serif"/>
          <w:b w:val="false"/>
          <w:sz w:val="20"/>
        </w:rPr>
        <w:t>The expansion of global lead times related to the COVID-19 pandemic,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Our suppliers may cease producing the components we purchase from them or otherwise decide to cease doing business</w:t>
      </w:r>
      <w:r>
        <w:rPr>
          <w:rFonts w:ascii="Times New Roman" w:hAnsi="Times New Roman"/>
          <w:sz w:val="20"/>
        </w:rPr>
        <w:t xml:space="preserve"> </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98</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160"/>
        <w:jc w:val="left"/>
        <w:rPr>
          <w:rFonts w:ascii="Times New Roman;serif" w:hAnsi="Times New Roman;serif"/>
          <w:b w:val="false"/>
          <w:sz w:val="20"/>
        </w:rPr>
      </w:pPr>
      <w:r>
        <w:rPr>
          <w:rFonts w:ascii="Times New Roman;serif" w:hAnsi="Times New Roman;serif"/>
          <w:b w:val="false"/>
          <w:sz w:val="20"/>
        </w:rPr>
        <w:t>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pStyle w:val="TextBody"/>
        <w:spacing w:before="0" w:after="160"/>
        <w:jc w:val="left"/>
        <w:rPr>
          <w:rFonts w:ascii="Times New Roman" w:hAnsi="Times New Roman"/>
          <w:sz w:val="20"/>
        </w:rPr>
      </w:pPr>
      <w:r>
        <w:rPr>
          <w:rFonts w:ascii="Times New Roman;serif" w:hAnsi="Times New Roman;serif"/>
          <w:b w:val="false"/>
          <w:sz w:val="20"/>
        </w:rPr>
        <w:t>While the potential economic impact brought by and the duration of COVID-19 may be difficult to assess or predict, the widespread pandemic has resulted in, and may continue to result in, significant disruption of global financial markets, reducing our ability to access capital, which could in the future negatively affect our liquidity. We expect any new shelter-in-place policies and restrictions on elective surgical procedures worldwide to have a substantial near-term impact on our revenue. During the COVID-19 pandemic, our customers, including doctors, have experienced financial hardship and some of them may not fully recover. This could lead to some of these customers temporarily or permanently shutting down, filing for bankruptcy or being acquired by larger health systems, leading to reduced procedures and/or additional pricing pressure on our products. The COVID-19 pandemic has also resulted in a significant increase in unemployment in the United States which may continue even after the pandemic. The occurrence of any such events may lead to reduced disposable income and access to health insurance which could adversely affect the number of RxSight systems sold after the pandemic has ended.</w:t>
        <w:br/>
        <w:br/>
      </w:r>
      <w:r>
        <w:rPr>
          <w:rFonts w:ascii="Times New Roman" w:hAnsi="Times New Roman"/>
          <w:sz w:val="20"/>
        </w:rPr>
        <w:t> </w:t>
      </w:r>
    </w:p>
    <w:p>
      <w:pPr>
        <w:pStyle w:val="TextBody"/>
        <w:spacing w:before="160" w:after="0"/>
        <w:jc w:val="left"/>
        <w:rPr>
          <w:rFonts w:ascii="Times New Roman" w:hAnsi="Times New Roman"/>
          <w:sz w:val="20"/>
        </w:rPr>
      </w:pPr>
      <w:bookmarkStart w:id="15" w:name="item_2_unregistered_sales_equity_securit"/>
      <w:bookmarkEnd w:id="15"/>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(a) Recent Sales of Unregistered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120" w:after="0"/>
        <w:jc w:val="left"/>
        <w:rPr>
          <w:rFonts w:ascii="Times New Roman;serif" w:hAnsi="Times New Roman;serif"/>
          <w:b/>
          <w:i/>
          <w:sz w:val="20"/>
        </w:rPr>
      </w:pPr>
      <w:r>
        <w:rPr>
          <w:rFonts w:ascii="Times New Roman;serif" w:hAnsi="Times New Roman;serif"/>
          <w:b/>
          <w:i/>
          <w:sz w:val="20"/>
        </w:rPr>
        <w:t>(b) Use of Proceeds from Registered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120" w:after="0"/>
        <w:jc w:val="left"/>
        <w:rPr>
          <w:rFonts w:ascii="Times New Roman;serif" w:hAnsi="Times New Roman;serif"/>
          <w:b/>
          <w:i/>
          <w:sz w:val="20"/>
        </w:rPr>
      </w:pPr>
      <w:r>
        <w:rPr>
          <w:rFonts w:ascii="Times New Roman;serif" w:hAnsi="Times New Roman;serif"/>
          <w:b/>
          <w:i/>
          <w:sz w:val="20"/>
        </w:rPr>
        <w:t>(c) Issuer Purchases of Equity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160" w:after="0"/>
        <w:jc w:val="left"/>
        <w:rPr>
          <w:rFonts w:ascii="Times New Roman;serif" w:hAnsi="Times New Roman;serif"/>
          <w:b/>
          <w:sz w:val="20"/>
        </w:rPr>
      </w:pPr>
      <w:bookmarkStart w:id="16" w:name="item3_defaults"/>
      <w:bookmarkEnd w:id="16"/>
      <w:r>
        <w:rPr>
          <w:rFonts w:ascii="Times New Roman;serif" w:hAnsi="Times New Roman;serif"/>
          <w:b/>
          <w:sz w:val="20"/>
        </w:rPr>
        <w:t>Item 3. Defaults Upon Senior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160" w:after="0"/>
        <w:jc w:val="left"/>
        <w:rPr>
          <w:rFonts w:ascii="Times New Roman;serif" w:hAnsi="Times New Roman;serif"/>
          <w:b/>
          <w:sz w:val="20"/>
        </w:rPr>
      </w:pPr>
      <w:bookmarkStart w:id="17" w:name="item_4_mine_safety_disclosures"/>
      <w:bookmarkEnd w:id="17"/>
      <w:r>
        <w:rPr>
          <w:rFonts w:ascii="Times New Roman;serif" w:hAnsi="Times New Roman;serif"/>
          <w:b/>
          <w:sz w:val="20"/>
        </w:rPr>
        <w:t>Item 4. 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160" w:after="0"/>
        <w:jc w:val="left"/>
        <w:rPr>
          <w:rFonts w:ascii="Times New Roman;serif" w:hAnsi="Times New Roman;serif"/>
          <w:b/>
          <w:sz w:val="20"/>
        </w:rPr>
      </w:pPr>
      <w:bookmarkStart w:id="18" w:name="item5otherinformation"/>
      <w:bookmarkEnd w:id="18"/>
      <w:r>
        <w:rPr>
          <w:rFonts w:ascii="Times New Roman;serif" w:hAnsi="Times New Roman;serif"/>
          <w:b/>
          <w:sz w:val="20"/>
        </w:rPr>
        <w:t>Item 5. Other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0" w:after="0"/>
        <w:jc w:val="left"/>
        <w:rPr/>
      </w:pPr>
      <w:r>
        <w:rPr/>
        <w:t> </w:t>
      </w:r>
    </w:p>
    <w:tbl>
      <w:tblPr>
        <w:tblW w:w="713" w:type="dxa"/>
        <w:jc w:val="left"/>
        <w:tblInd w:w="0" w:type="dxa"/>
        <w:tblCellMar>
          <w:top w:w="28" w:type="dxa"/>
          <w:left w:w="28" w:type="dxa"/>
          <w:bottom w:w="28" w:type="dxa"/>
          <w:right w:w="28" w:type="dxa"/>
        </w:tblCellMar>
      </w:tblPr>
      <w:tblGrid>
        <w:gridCol w:w="376"/>
        <w:gridCol w:w="146"/>
        <w:gridCol w:w="191"/>
      </w:tblGrid>
      <w:tr>
        <w:trPr/>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99</w:t>
            </w:r>
            <w:r>
              <w:rPr>
                <w:rFonts w:ascii="Times New Roman" w:hAnsi="Times New Roman"/>
                <w:sz w:val="20"/>
              </w:rPr>
              <w:t xml:space="preserve"> </w:t>
            </w:r>
          </w:p>
        </w:tc>
        <w:tc>
          <w:tcPr>
            <w:tcW w:w="14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160"/>
        <w:jc w:val="left"/>
        <w:rPr/>
      </w:pPr>
      <w:r>
        <w:rPr/>
        <w:t> </w:t>
      </w:r>
    </w:p>
    <w:p>
      <w:pPr>
        <w:pStyle w:val="TextBody"/>
        <w:spacing w:before="0" w:after="0"/>
        <w:jc w:val="left"/>
        <w:rPr>
          <w:rFonts w:ascii="Times New Roman;serif" w:hAnsi="Times New Roman;serif"/>
          <w:b/>
          <w:sz w:val="20"/>
        </w:rPr>
      </w:pPr>
      <w:bookmarkStart w:id="19" w:name="item_6_exhibits"/>
      <w:bookmarkEnd w:id="19"/>
      <w:r>
        <w:rPr>
          <w:rFonts w:ascii="Times New Roman;serif" w:hAnsi="Times New Roman;serif"/>
          <w:b/>
          <w:sz w:val="20"/>
        </w:rPr>
        <w:t>Item 6. Exhibits.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exhibits are filed as part of, or incorporated by reference into, this report unless otherwise stated.</w:t>
      </w:r>
    </w:p>
    <w:p>
      <w:pPr>
        <w:pStyle w:val="TextBody"/>
        <w:spacing w:before="0" w:after="120"/>
        <w:jc w:val="center"/>
        <w:rPr>
          <w:rFonts w:ascii="Times New Roman;serif" w:hAnsi="Times New Roman;serif"/>
          <w:b/>
          <w:sz w:val="20"/>
        </w:rPr>
      </w:pPr>
      <w:r>
        <w:rPr>
          <w:rFonts w:ascii="Times New Roman;serif" w:hAnsi="Times New Roman;serif"/>
          <w:b/>
          <w:sz w:val="20"/>
        </w:rPr>
        <w:t>EXHIBIT INDEX</w:t>
      </w:r>
    </w:p>
    <w:tbl>
      <w:tblPr>
        <w:tblW w:w="10205" w:type="dxa"/>
        <w:jc w:val="left"/>
        <w:tblInd w:w="0" w:type="dxa"/>
        <w:tblCellMar>
          <w:top w:w="28" w:type="dxa"/>
          <w:left w:w="28" w:type="dxa"/>
          <w:bottom w:w="28" w:type="dxa"/>
          <w:right w:w="28" w:type="dxa"/>
        </w:tblCellMar>
      </w:tblPr>
      <w:tblGrid>
        <w:gridCol w:w="830"/>
        <w:gridCol w:w="6401"/>
        <w:gridCol w:w="586"/>
        <w:gridCol w:w="755"/>
        <w:gridCol w:w="736"/>
        <w:gridCol w:w="897"/>
      </w:tblGrid>
      <w:tr>
        <w:trPr/>
        <w:tc>
          <w:tcPr>
            <w:tcW w:w="830" w:type="dxa"/>
            <w:tcBorders/>
            <w:shd w:fill="auto" w:val="clear"/>
            <w:vAlign w:val="center"/>
          </w:tcPr>
          <w:p>
            <w:pPr>
              <w:pStyle w:val="TableContents"/>
              <w:spacing w:before="0" w:after="283"/>
              <w:rPr>
                <w:sz w:val="4"/>
                <w:szCs w:val="4"/>
              </w:rPr>
            </w:pPr>
            <w:r>
              <w:rPr>
                <w:sz w:val="4"/>
                <w:szCs w:val="4"/>
              </w:rPr>
            </w:r>
          </w:p>
        </w:tc>
        <w:tc>
          <w:tcPr>
            <w:tcW w:w="640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r>
      <w:tr>
        <w:trPr/>
        <w:tc>
          <w:tcPr>
            <w:tcW w:w="83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Exhibit</w:t>
            </w:r>
          </w:p>
        </w:tc>
        <w:tc>
          <w:tcPr>
            <w:tcW w:w="64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74" w:type="dxa"/>
            <w:gridSpan w:val="4"/>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Incorporated by Reference</w:t>
            </w:r>
          </w:p>
        </w:tc>
      </w:tr>
      <w:tr>
        <w:trPr/>
        <w:tc>
          <w:tcPr>
            <w:tcW w:w="83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Number</w:t>
            </w:r>
          </w:p>
        </w:tc>
        <w:tc>
          <w:tcPr>
            <w:tcW w:w="64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Description</w:t>
            </w:r>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Form</w:t>
            </w:r>
          </w:p>
        </w:tc>
        <w:tc>
          <w:tcPr>
            <w:tcW w:w="755"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File No.</w:t>
            </w:r>
          </w:p>
        </w:tc>
        <w:tc>
          <w:tcPr>
            <w:tcW w:w="7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Exhibit</w:t>
            </w:r>
          </w:p>
        </w:tc>
        <w:tc>
          <w:tcPr>
            <w:tcW w:w="897"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Filing Date</w:t>
            </w:r>
          </w:p>
        </w:tc>
      </w:tr>
      <w:tr>
        <w:trPr/>
        <w:tc>
          <w:tcPr>
            <w:tcW w:w="8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5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9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64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Amendment #2 to Sublease, dated as of January 16, 2023, by and between the Registrant and Compass Bible Church for premises located at 5 Columbia, Aliso Viejo, California 92656.</w:t>
              </w:r>
            </w:hyperlink>
          </w:p>
          <w:p>
            <w:pPr>
              <w:pStyle w:val="TableContents"/>
              <w:spacing w:before="0" w:after="0"/>
              <w:ind w:left="0" w:right="0" w:hanging="0"/>
              <w:jc w:val="left"/>
              <w:rPr/>
            </w:pPr>
            <w:r>
              <w:rPr/>
              <w:t> </w:t>
            </w:r>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10-K</w:t>
            </w:r>
          </w:p>
        </w:tc>
        <w:tc>
          <w:tcPr>
            <w:tcW w:w="755"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001-40690</w:t>
            </w:r>
          </w:p>
        </w:tc>
        <w:tc>
          <w:tcPr>
            <w:tcW w:w="7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10.18</w:t>
            </w:r>
          </w:p>
        </w:tc>
        <w:tc>
          <w:tcPr>
            <w:tcW w:w="897"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6, 2023</w:t>
            </w:r>
          </w:p>
        </w:tc>
      </w:tr>
      <w:tr>
        <w:trPr/>
        <w:tc>
          <w:tcPr>
            <w:tcW w:w="8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6401" w:type="dxa"/>
            <w:tcBorders/>
            <w:shd w:fill="auto" w:val="clear"/>
            <w:tcMar>
              <w:top w:w="0" w:type="dxa"/>
              <w:left w:w="0" w:type="dxa"/>
              <w:bottom w:w="0" w:type="dxa"/>
              <w:right w:w="0" w:type="dxa"/>
            </w:tcMar>
            <w:vAlign w:val="center"/>
          </w:tcPr>
          <w:p>
            <w:pPr>
              <w:pStyle w:val="TableContents"/>
              <w:spacing w:before="0" w:after="160"/>
              <w:ind w:left="0" w:right="0" w:hanging="0"/>
              <w:jc w:val="left"/>
              <w:rPr/>
            </w:pPr>
            <w:hyperlink w:anchor="rxst-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hyperlink w:anchor="rxst-ex31_1.htm">
              <w:r>
                <w:rPr>
                  <w:rStyle w:val="InternetLink"/>
                  <w:rFonts w:ascii="Times New Roman" w:hAnsi="Times New Roman"/>
                  <w:sz w:val="20"/>
                </w:rPr>
                <w:t xml:space="preserve"> </w:t>
              </w:r>
            </w:hyperlink>
          </w:p>
        </w:tc>
        <w:tc>
          <w:tcPr>
            <w:tcW w:w="58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5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9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6401" w:type="dxa"/>
            <w:tcBorders/>
            <w:shd w:fill="auto" w:val="clear"/>
            <w:tcMar>
              <w:top w:w="0" w:type="dxa"/>
              <w:left w:w="0" w:type="dxa"/>
              <w:bottom w:w="0" w:type="dxa"/>
              <w:right w:w="0" w:type="dxa"/>
            </w:tcMar>
            <w:vAlign w:val="center"/>
          </w:tcPr>
          <w:p>
            <w:pPr>
              <w:pStyle w:val="TableContents"/>
              <w:spacing w:before="0" w:after="160"/>
              <w:ind w:left="0" w:right="0" w:hanging="0"/>
              <w:jc w:val="left"/>
              <w:rPr/>
            </w:pPr>
            <w:hyperlink w:anchor="rxst-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hyperlink w:anchor="rxst-ex31_2.htm">
              <w:r>
                <w:rPr>
                  <w:rStyle w:val="InternetLink"/>
                  <w:rFonts w:ascii="Times New Roman" w:hAnsi="Times New Roman"/>
                  <w:sz w:val="20"/>
                </w:rPr>
                <w:t xml:space="preserve"> </w:t>
              </w:r>
            </w:hyperlink>
          </w:p>
        </w:tc>
        <w:tc>
          <w:tcPr>
            <w:tcW w:w="58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5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9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6401" w:type="dxa"/>
            <w:tcBorders/>
            <w:shd w:fill="auto" w:val="clear"/>
            <w:tcMar>
              <w:top w:w="0" w:type="dxa"/>
              <w:left w:w="0" w:type="dxa"/>
              <w:bottom w:w="0" w:type="dxa"/>
              <w:right w:w="0" w:type="dxa"/>
            </w:tcMar>
            <w:vAlign w:val="center"/>
          </w:tcPr>
          <w:p>
            <w:pPr>
              <w:pStyle w:val="TableContents"/>
              <w:spacing w:before="0" w:after="160"/>
              <w:ind w:left="0" w:right="0" w:hanging="0"/>
              <w:jc w:val="left"/>
              <w:rPr/>
            </w:pPr>
            <w:hyperlink w:anchor="rxst-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c>
          <w:tcPr>
            <w:tcW w:w="58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5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9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6401" w:type="dxa"/>
            <w:tcBorders/>
            <w:shd w:fill="auto" w:val="clear"/>
            <w:tcMar>
              <w:top w:w="0" w:type="dxa"/>
              <w:left w:w="0" w:type="dxa"/>
              <w:bottom w:w="0" w:type="dxa"/>
              <w:right w:w="0" w:type="dxa"/>
            </w:tcMar>
            <w:vAlign w:val="center"/>
          </w:tcPr>
          <w:p>
            <w:pPr>
              <w:pStyle w:val="TableContents"/>
              <w:spacing w:before="0" w:after="160"/>
              <w:ind w:left="0" w:right="0" w:hanging="0"/>
              <w:jc w:val="left"/>
              <w:rPr/>
            </w:pPr>
            <w:hyperlink w:anchor="rxst-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c>
          <w:tcPr>
            <w:tcW w:w="58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5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97"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75" w:type="dxa"/>
            <w:gridSpan w:val="5"/>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9375" w:type="dxa"/>
            <w:gridSpan w:val="5"/>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8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9375" w:type="dxa"/>
            <w:gridSpan w:val="5"/>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9375" w:type="dxa"/>
            <w:gridSpan w:val="5"/>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9375" w:type="dxa"/>
            <w:gridSpan w:val="5"/>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9375" w:type="dxa"/>
            <w:gridSpan w:val="5"/>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9375" w:type="dxa"/>
            <w:gridSpan w:val="5"/>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9375" w:type="dxa"/>
            <w:gridSpan w:val="5"/>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 the Inline XBRL document).</w:t>
            </w:r>
          </w:p>
        </w:tc>
      </w:tr>
    </w:tbl>
    <w:p>
      <w:pPr>
        <w:pStyle w:val="TextBody"/>
        <w:pBdr>
          <w:bottom w:val="single" w:sz="6" w:space="1" w:color="000000"/>
        </w:pBdr>
        <w:spacing w:before="0" w:after="0"/>
        <w:jc w:val="left"/>
        <w:rPr/>
      </w:pPr>
      <w:r>
        <w:rPr/>
        <w:t> </w:t>
      </w:r>
    </w:p>
    <w:p>
      <w:pPr>
        <w:pStyle w:val="TextBody"/>
        <w:spacing w:before="240" w:after="160"/>
        <w:jc w:val="center"/>
        <w:rPr>
          <w:rFonts w:ascii="Times New Roman;serif" w:hAnsi="Times New Roman;serif"/>
          <w:b w:val="false"/>
          <w:sz w:val="20"/>
        </w:rPr>
      </w:pPr>
      <w:r>
        <w:rPr>
          <w:rFonts w:ascii="Times New Roman;serif" w:hAnsi="Times New Roman;serif"/>
          <w:b w:val="false"/>
          <w:sz w:val="20"/>
        </w:rPr>
        <w:t>100</w:t>
      </w:r>
    </w:p>
    <w:p>
      <w:pPr>
        <w:pStyle w:val="HorizontalLine"/>
        <w:rPr/>
      </w:pPr>
      <w:r>
        <w:rPr/>
      </w:r>
    </w:p>
    <w:p>
      <w:pPr>
        <w:pStyle w:val="TextBody"/>
        <w:spacing w:before="0" w:after="16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 Filed herewith</w:t>
      </w:r>
    </w:p>
    <w:p>
      <w:pPr>
        <w:pStyle w:val="TextBody"/>
        <w:spacing w:before="4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The certifications attached as Exhibit 32.1 and 32.2 that accompany this report are deemed furnished and not filed with the Securities and Exchange Commission and are not to be incorporated by reference into any filing of RxSight Inc. under the Securities Act of 1933, as amended, or the Securities Exchange Act of 1934, as amended, whether made before or after the date of this report, irrespective of any general incorporation language contained in such filing.</w:t>
      </w:r>
    </w:p>
    <w:p>
      <w:pPr>
        <w:pStyle w:val="TextBody"/>
        <w:pBdr>
          <w:bottom w:val="single" w:sz="6" w:space="1" w:color="000000"/>
        </w:pBdr>
        <w:spacing w:before="0" w:after="0"/>
        <w:jc w:val="left"/>
        <w:rPr/>
      </w:pPr>
      <w:r>
        <w:rPr/>
        <w:t> </w:t>
      </w:r>
    </w:p>
    <w:p>
      <w:pPr>
        <w:pStyle w:val="TextBody"/>
        <w:spacing w:before="40" w:after="0"/>
        <w:jc w:val="left"/>
        <w:rPr/>
      </w:pPr>
      <w:r>
        <w:rPr/>
        <w:t> </w:t>
      </w:r>
    </w:p>
    <w:p>
      <w:pPr>
        <w:pStyle w:val="TextBody"/>
        <w:spacing w:before="240" w:after="160"/>
        <w:jc w:val="center"/>
        <w:rPr>
          <w:rFonts w:ascii="Times New Roman;serif" w:hAnsi="Times New Roman;serif"/>
          <w:b w:val="false"/>
          <w:sz w:val="20"/>
        </w:rPr>
      </w:pPr>
      <w:r>
        <w:rPr>
          <w:rFonts w:ascii="Times New Roman;serif" w:hAnsi="Times New Roman;serif"/>
          <w:b w:val="false"/>
          <w:sz w:val="20"/>
        </w:rPr>
        <w:t>101</w:t>
      </w:r>
    </w:p>
    <w:p>
      <w:pPr>
        <w:pStyle w:val="HorizontalLine"/>
        <w:rPr/>
      </w:pPr>
      <w:r>
        <w:rPr/>
      </w:r>
    </w:p>
    <w:p>
      <w:pPr>
        <w:pStyle w:val="TextBody"/>
        <w:spacing w:before="0" w:after="160"/>
        <w:jc w:val="left"/>
        <w:rPr/>
      </w:pPr>
      <w:r>
        <w:rPr/>
        <w:t> </w:t>
      </w:r>
    </w:p>
    <w:p>
      <w:pPr>
        <w:pStyle w:val="TextBody"/>
        <w:spacing w:before="0" w:after="0"/>
        <w:jc w:val="center"/>
        <w:rPr>
          <w:rFonts w:ascii="Times New Roman;serif" w:hAnsi="Times New Roman;serif"/>
          <w:b/>
          <w:sz w:val="20"/>
        </w:rPr>
      </w:pPr>
      <w:bookmarkStart w:id="20" w:name="signatures"/>
      <w:bookmarkEnd w:id="20"/>
      <w:r>
        <w:rPr>
          <w:rFonts w:ascii="Times New Roman;serif" w:hAnsi="Times New Roman;serif"/>
          <w:b/>
          <w:sz w:val="20"/>
        </w:rPr>
        <w:t>SIGNATURES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5954" w:type="dxa"/>
        <w:jc w:val="left"/>
        <w:tblInd w:w="0" w:type="dxa"/>
        <w:tblCellMar>
          <w:top w:w="28" w:type="dxa"/>
          <w:left w:w="28" w:type="dxa"/>
          <w:bottom w:w="28" w:type="dxa"/>
          <w:right w:w="28" w:type="dxa"/>
        </w:tblCellMar>
      </w:tblPr>
      <w:tblGrid>
        <w:gridCol w:w="1636"/>
        <w:gridCol w:w="406"/>
        <w:gridCol w:w="146"/>
        <w:gridCol w:w="3766"/>
      </w:tblGrid>
      <w:tr>
        <w:trPr/>
        <w:tc>
          <w:tcPr>
            <w:tcW w:w="163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18"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RxSight, Inc.</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/s/ Ron Kurtz, M.D.</w:t>
            </w:r>
            <w:r>
              <w:rPr>
                <w:rFonts w:ascii="Times New Roman" w:hAnsi="Times New Roman"/>
                <w:sz w:val="20"/>
              </w:rPr>
              <w:t xml:space="preserve">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Ron Kurtz, M.D.</w:t>
            </w:r>
            <w:r>
              <w:rPr>
                <w:rFonts w:ascii="Times New Roman" w:hAnsi="Times New Roman"/>
                <w:sz w:val="20"/>
              </w:rPr>
              <w:t xml:space="preserve">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Chief Executive Officer</w:t>
            </w:r>
            <w:r>
              <w:rPr>
                <w:rFonts w:ascii="Times New Roman" w:hAnsi="Times New Roman"/>
                <w:sz w:val="20"/>
              </w:rPr>
              <w:t xml:space="preserve">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Executive Officer)</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86" w:after="0"/>
              <w:ind w:left="0" w:right="0" w:hanging="0"/>
              <w:jc w:val="center"/>
              <w:rPr>
                <w:rFonts w:ascii="Times New Roman;serif" w:hAnsi="Times New Roman;serif"/>
                <w:b w:val="false"/>
                <w:sz w:val="20"/>
              </w:rPr>
            </w:pPr>
            <w:r>
              <w:rPr>
                <w:rFonts w:ascii="Times New Roman;serif" w:hAnsi="Times New Roman;serif"/>
                <w:b w:val="false"/>
                <w:sz w:val="20"/>
              </w:rPr>
              <w:t>/s/ Shelley Thunen</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Shelley Thunen</w:t>
            </w:r>
            <w:r>
              <w:rPr>
                <w:rFonts w:ascii="Times New Roman" w:hAnsi="Times New Roman"/>
                <w:sz w:val="20"/>
              </w:rPr>
              <w:t xml:space="preserve">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Chief Financial Officer</w:t>
            </w:r>
            <w:r>
              <w:rPr>
                <w:rFonts w:ascii="Times New Roman" w:hAnsi="Times New Roman"/>
                <w:sz w:val="20"/>
              </w:rPr>
              <w:t xml:space="preserve">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spacing w:before="0" w:after="0"/>
        <w:jc w:val="left"/>
        <w:rPr/>
      </w:pPr>
      <w:r>
        <w:rPr/>
        <w:t> </w:t>
      </w:r>
    </w:p>
    <w:p>
      <w:pPr>
        <w:pStyle w:val="TextBody"/>
        <w:spacing w:before="240" w:after="160"/>
        <w:jc w:val="center"/>
        <w:rPr>
          <w:rFonts w:ascii="Times New Roman;serif" w:hAnsi="Times New Roman;serif"/>
          <w:b w:val="false"/>
          <w:sz w:val="20"/>
        </w:rPr>
      </w:pPr>
      <w:r>
        <w:rPr>
          <w:rFonts w:ascii="Times New Roman;serif" w:hAnsi="Times New Roman;serif"/>
          <w:b w:val="false"/>
          <w:sz w:val="20"/>
        </w:rPr>
        <w:t>102</w:t>
      </w:r>
    </w:p>
    <w:p>
      <w:pPr>
        <w:pStyle w:val="HorizontalLine"/>
        <w:rPr/>
      </w:pPr>
      <w:r>
        <w:rPr/>
      </w:r>
      <w:r>
        <w:br w:type="page"/>
      </w:r>
    </w:p>
    <w:p>
      <w:pPr>
        <w:pStyle w:val="TextBody"/>
        <w:spacing w:before="0" w:after="0"/>
        <w:jc w:val="left"/>
        <w:rPr/>
      </w:pPr>
      <w:bookmarkStart w:id="21" w:name="rxst-ex31_1.htm"/>
      <w:bookmarkStart w:id="22" w:name="ksrxstex31_1"/>
      <w:bookmarkEnd w:id="21"/>
      <w:bookmarkEnd w:id="22"/>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0" w:after="0"/>
        <w:jc w:val="center"/>
        <w:rPr/>
      </w:pPr>
      <w:r>
        <w:rPr/>
        <w:t> </w:t>
      </w:r>
    </w:p>
    <w:p>
      <w:pPr>
        <w:pStyle w:val="TextBody"/>
        <w:spacing w:before="0" w:after="0"/>
        <w:jc w:val="center"/>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 Ron Kurtz, M.D., certify that:</w:t>
      </w:r>
    </w:p>
    <w:tbl>
      <w:tblPr>
        <w:tblW w:w="5897" w:type="dxa"/>
        <w:jc w:val="left"/>
        <w:tblInd w:w="0" w:type="dxa"/>
        <w:tblCellMar>
          <w:top w:w="28" w:type="dxa"/>
          <w:left w:w="28" w:type="dxa"/>
          <w:bottom w:w="28" w:type="dxa"/>
          <w:right w:w="28" w:type="dxa"/>
        </w:tblCellMar>
      </w:tblPr>
      <w:tblGrid>
        <w:gridCol w:w="271"/>
        <w:gridCol w:w="5626"/>
      </w:tblGrid>
      <w:tr>
        <w:trPr/>
        <w:tc>
          <w:tcPr>
            <w:tcW w:w="271" w:type="dxa"/>
            <w:tcBorders/>
            <w:shd w:fill="auto" w:val="clear"/>
            <w:vAlign w:val="center"/>
          </w:tcPr>
          <w:p>
            <w:pPr>
              <w:pStyle w:val="TableContents"/>
              <w:spacing w:before="0" w:after="283"/>
              <w:rPr>
                <w:sz w:val="4"/>
                <w:szCs w:val="4"/>
              </w:rPr>
            </w:pPr>
            <w:r>
              <w:rPr>
                <w:sz w:val="4"/>
                <w:szCs w:val="4"/>
              </w:rPr>
            </w:r>
          </w:p>
        </w:tc>
        <w:tc>
          <w:tcPr>
            <w:tcW w:w="5626" w:type="dxa"/>
            <w:tcBorders/>
            <w:shd w:fill="auto" w:val="clear"/>
            <w:vAlign w:val="center"/>
          </w:tcPr>
          <w:p>
            <w:pPr>
              <w:pStyle w:val="TableContents"/>
              <w:spacing w:before="0" w:after="283"/>
              <w:rPr>
                <w:sz w:val="4"/>
                <w:szCs w:val="4"/>
              </w:rPr>
            </w:pPr>
            <w:r>
              <w:rPr>
                <w:sz w:val="4"/>
                <w:szCs w:val="4"/>
              </w:rPr>
            </w:r>
          </w:p>
        </w:tc>
      </w:tr>
      <w:tr>
        <w:trPr/>
        <w:tc>
          <w:tcPr>
            <w:tcW w:w="2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56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 have reviewed this quarterly report on Form 10-Q of RxSight, Inc.;</w:t>
            </w:r>
          </w:p>
        </w:tc>
      </w:tr>
    </w:tbl>
    <w:tbl>
      <w:tblPr>
        <w:tblW w:w="10205" w:type="dxa"/>
        <w:jc w:val="left"/>
        <w:tblInd w:w="0" w:type="dxa"/>
        <w:tblCellMar>
          <w:top w:w="28" w:type="dxa"/>
          <w:left w:w="28" w:type="dxa"/>
          <w:bottom w:w="28" w:type="dxa"/>
          <w:right w:w="28" w:type="dxa"/>
        </w:tblCellMar>
      </w:tblPr>
      <w:tblGrid>
        <w:gridCol w:w="243"/>
        <w:gridCol w:w="9962"/>
      </w:tblGrid>
      <w:tr>
        <w:trPr/>
        <w:tc>
          <w:tcPr>
            <w:tcW w:w="243" w:type="dxa"/>
            <w:tcBorders/>
            <w:shd w:fill="auto" w:val="clear"/>
            <w:vAlign w:val="center"/>
          </w:tcPr>
          <w:p>
            <w:pPr>
              <w:pStyle w:val="TableContents"/>
              <w:spacing w:before="0" w:after="283"/>
              <w:rPr>
                <w:sz w:val="4"/>
                <w:szCs w:val="4"/>
              </w:rPr>
            </w:pPr>
            <w:r>
              <w:rPr>
                <w:sz w:val="4"/>
                <w:szCs w:val="4"/>
              </w:rPr>
            </w:r>
          </w:p>
        </w:tc>
        <w:tc>
          <w:tcPr>
            <w:tcW w:w="9962" w:type="dxa"/>
            <w:tcBorders/>
            <w:shd w:fill="auto" w:val="clear"/>
            <w:vAlign w:val="center"/>
          </w:tcPr>
          <w:p>
            <w:pPr>
              <w:pStyle w:val="TableContents"/>
              <w:spacing w:before="0" w:after="283"/>
              <w:rPr>
                <w:sz w:val="4"/>
                <w:szCs w:val="4"/>
              </w:rPr>
            </w:pPr>
            <w:r>
              <w:rPr>
                <w:sz w:val="4"/>
                <w:szCs w:val="4"/>
              </w:rPr>
            </w:r>
          </w:p>
        </w:tc>
      </w:tr>
      <w:tr>
        <w:trPr/>
        <w:tc>
          <w:tcPr>
            <w:tcW w:w="24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996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28" w:type="dxa"/>
          <w:left w:w="28" w:type="dxa"/>
          <w:bottom w:w="28" w:type="dxa"/>
          <w:right w:w="28" w:type="dxa"/>
        </w:tblCellMar>
      </w:tblPr>
      <w:tblGrid>
        <w:gridCol w:w="245"/>
        <w:gridCol w:w="9960"/>
      </w:tblGrid>
      <w:tr>
        <w:trPr/>
        <w:tc>
          <w:tcPr>
            <w:tcW w:w="245" w:type="dxa"/>
            <w:tcBorders/>
            <w:shd w:fill="auto" w:val="clear"/>
            <w:vAlign w:val="center"/>
          </w:tcPr>
          <w:p>
            <w:pPr>
              <w:pStyle w:val="TableContents"/>
              <w:spacing w:before="0" w:after="283"/>
              <w:rPr>
                <w:sz w:val="4"/>
                <w:szCs w:val="4"/>
              </w:rPr>
            </w:pPr>
            <w:r>
              <w:rPr>
                <w:sz w:val="4"/>
                <w:szCs w:val="4"/>
              </w:rPr>
            </w:r>
          </w:p>
        </w:tc>
        <w:tc>
          <w:tcPr>
            <w:tcW w:w="996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w:t>
            </w:r>
          </w:p>
        </w:tc>
        <w:tc>
          <w:tcPr>
            <w:tcW w:w="996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28" w:type="dxa"/>
          <w:left w:w="28" w:type="dxa"/>
          <w:bottom w:w="28" w:type="dxa"/>
          <w:right w:w="28" w:type="dxa"/>
        </w:tblCellMar>
      </w:tblPr>
      <w:tblGrid>
        <w:gridCol w:w="241"/>
        <w:gridCol w:w="9964"/>
      </w:tblGrid>
      <w:tr>
        <w:trPr/>
        <w:tc>
          <w:tcPr>
            <w:tcW w:w="241" w:type="dxa"/>
            <w:tcBorders/>
            <w:shd w:fill="auto" w:val="clear"/>
            <w:vAlign w:val="center"/>
          </w:tcPr>
          <w:p>
            <w:pPr>
              <w:pStyle w:val="TableContents"/>
              <w:spacing w:before="0" w:after="283"/>
              <w:rPr>
                <w:sz w:val="4"/>
                <w:szCs w:val="4"/>
              </w:rPr>
            </w:pPr>
            <w:r>
              <w:rPr>
                <w:sz w:val="4"/>
                <w:szCs w:val="4"/>
              </w:rPr>
            </w:r>
          </w:p>
        </w:tc>
        <w:tc>
          <w:tcPr>
            <w:tcW w:w="9964" w:type="dxa"/>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w:t>
            </w:r>
          </w:p>
        </w:tc>
        <w:tc>
          <w:tcPr>
            <w:tcW w:w="996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28" w:type="dxa"/>
          <w:left w:w="28" w:type="dxa"/>
          <w:bottom w:w="28" w:type="dxa"/>
          <w:right w:w="28" w:type="dxa"/>
        </w:tblCellMar>
      </w:tblPr>
      <w:tblGrid>
        <w:gridCol w:w="124"/>
        <w:gridCol w:w="214"/>
        <w:gridCol w:w="9867"/>
      </w:tblGrid>
      <w:tr>
        <w:trPr/>
        <w:tc>
          <w:tcPr>
            <w:tcW w:w="12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9867"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86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28" w:type="dxa"/>
          <w:left w:w="28" w:type="dxa"/>
          <w:bottom w:w="28" w:type="dxa"/>
          <w:right w:w="28" w:type="dxa"/>
        </w:tblCellMar>
      </w:tblPr>
      <w:tblGrid>
        <w:gridCol w:w="124"/>
        <w:gridCol w:w="229"/>
        <w:gridCol w:w="9852"/>
      </w:tblGrid>
      <w:tr>
        <w:trPr/>
        <w:tc>
          <w:tcPr>
            <w:tcW w:w="124"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852"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w:t>
            </w:r>
          </w:p>
        </w:tc>
        <w:tc>
          <w:tcPr>
            <w:tcW w:w="98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28" w:type="dxa"/>
          <w:left w:w="28" w:type="dxa"/>
          <w:bottom w:w="28" w:type="dxa"/>
          <w:right w:w="28" w:type="dxa"/>
        </w:tblCellMar>
      </w:tblPr>
      <w:tblGrid>
        <w:gridCol w:w="124"/>
        <w:gridCol w:w="220"/>
        <w:gridCol w:w="9861"/>
      </w:tblGrid>
      <w:tr>
        <w:trPr/>
        <w:tc>
          <w:tcPr>
            <w:tcW w:w="12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86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w:t>
            </w:r>
          </w:p>
        </w:tc>
        <w:tc>
          <w:tcPr>
            <w:tcW w:w="98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28" w:type="dxa"/>
          <w:left w:w="28" w:type="dxa"/>
          <w:bottom w:w="28" w:type="dxa"/>
          <w:right w:w="28" w:type="dxa"/>
        </w:tblCellMar>
      </w:tblPr>
      <w:tblGrid>
        <w:gridCol w:w="124"/>
        <w:gridCol w:w="229"/>
        <w:gridCol w:w="9852"/>
      </w:tblGrid>
      <w:tr>
        <w:trPr/>
        <w:tc>
          <w:tcPr>
            <w:tcW w:w="124"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852"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w:t>
            </w:r>
          </w:p>
        </w:tc>
        <w:tc>
          <w:tcPr>
            <w:tcW w:w="98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28" w:type="dxa"/>
          <w:left w:w="28" w:type="dxa"/>
          <w:bottom w:w="28" w:type="dxa"/>
          <w:right w:w="28" w:type="dxa"/>
        </w:tblCellMar>
      </w:tblPr>
      <w:tblGrid>
        <w:gridCol w:w="244"/>
        <w:gridCol w:w="9961"/>
      </w:tblGrid>
      <w:tr>
        <w:trPr/>
        <w:tc>
          <w:tcPr>
            <w:tcW w:w="244" w:type="dxa"/>
            <w:tcBorders/>
            <w:shd w:fill="auto" w:val="clear"/>
            <w:vAlign w:val="center"/>
          </w:tcPr>
          <w:p>
            <w:pPr>
              <w:pStyle w:val="TableContents"/>
              <w:spacing w:before="0" w:after="283"/>
              <w:rPr>
                <w:sz w:val="4"/>
                <w:szCs w:val="4"/>
              </w:rPr>
            </w:pPr>
            <w:r>
              <w:rPr>
                <w:sz w:val="4"/>
                <w:szCs w:val="4"/>
              </w:rPr>
            </w:r>
          </w:p>
        </w:tc>
        <w:tc>
          <w:tcPr>
            <w:tcW w:w="9961" w:type="dxa"/>
            <w:tcBorders/>
            <w:shd w:fill="auto" w:val="clear"/>
            <w:vAlign w:val="center"/>
          </w:tcPr>
          <w:p>
            <w:pPr>
              <w:pStyle w:val="TableContents"/>
              <w:spacing w:before="0" w:after="283"/>
              <w:rPr>
                <w:sz w:val="4"/>
                <w:szCs w:val="4"/>
              </w:rPr>
            </w:pPr>
            <w:r>
              <w:rPr>
                <w:sz w:val="4"/>
                <w:szCs w:val="4"/>
              </w:rPr>
            </w:r>
          </w:p>
        </w:tc>
      </w:tr>
      <w:tr>
        <w:trPr/>
        <w:tc>
          <w:tcPr>
            <w:tcW w:w="24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5.</w:t>
            </w:r>
          </w:p>
        </w:tc>
        <w:tc>
          <w:tcPr>
            <w:tcW w:w="99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28" w:type="dxa"/>
          <w:left w:w="28" w:type="dxa"/>
          <w:bottom w:w="28" w:type="dxa"/>
          <w:right w:w="28" w:type="dxa"/>
        </w:tblCellMar>
      </w:tblPr>
      <w:tblGrid>
        <w:gridCol w:w="124"/>
        <w:gridCol w:w="222"/>
        <w:gridCol w:w="9859"/>
      </w:tblGrid>
      <w:tr>
        <w:trPr/>
        <w:tc>
          <w:tcPr>
            <w:tcW w:w="12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9859"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8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28" w:type="dxa"/>
          <w:left w:w="28" w:type="dxa"/>
          <w:bottom w:w="28" w:type="dxa"/>
          <w:right w:w="28" w:type="dxa"/>
        </w:tblCellMar>
      </w:tblPr>
      <w:tblGrid>
        <w:gridCol w:w="124"/>
        <w:gridCol w:w="252"/>
        <w:gridCol w:w="9829"/>
      </w:tblGrid>
      <w:tr>
        <w:trPr/>
        <w:tc>
          <w:tcPr>
            <w:tcW w:w="12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9829"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w:t>
            </w:r>
          </w:p>
        </w:tc>
        <w:tc>
          <w:tcPr>
            <w:tcW w:w="98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ableContents"/>
              <w:spacing w:before="0" w:after="0"/>
              <w:ind w:left="0" w:right="0" w:hanging="0"/>
              <w:jc w:val="left"/>
              <w:rPr/>
            </w:pPr>
            <w:r>
              <w:rPr/>
              <w:t> </w:t>
            </w:r>
          </w:p>
        </w:tc>
      </w:tr>
    </w:tbl>
    <w:p>
      <w:pPr>
        <w:pStyle w:val="TextBody"/>
        <w:spacing w:before="0" w:after="0"/>
        <w:jc w:val="left"/>
        <w:rPr/>
      </w:pPr>
      <w:r>
        <w:rPr/>
        <w:t> </w:t>
      </w:r>
    </w:p>
    <w:tbl>
      <w:tblPr>
        <w:tblW w:w="4784" w:type="dxa"/>
        <w:jc w:val="left"/>
        <w:tblInd w:w="0" w:type="dxa"/>
        <w:tblCellMar>
          <w:top w:w="28" w:type="dxa"/>
          <w:left w:w="28" w:type="dxa"/>
          <w:bottom w:w="28" w:type="dxa"/>
          <w:right w:w="28" w:type="dxa"/>
        </w:tblCellMar>
      </w:tblPr>
      <w:tblGrid>
        <w:gridCol w:w="1636"/>
        <w:gridCol w:w="146"/>
        <w:gridCol w:w="406"/>
        <w:gridCol w:w="2596"/>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9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9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9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Ron Kurtz, M.D.</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Ron Kurtz, M.D.</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25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25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24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3" w:name="rxst-ex31_2.htm"/>
      <w:bookmarkStart w:id="24" w:name="ksrxstex31_2"/>
      <w:bookmarkEnd w:id="23"/>
      <w:bookmarkEnd w:id="24"/>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0" w:after="0"/>
        <w:jc w:val="center"/>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 Shelley Thunen, certify that:</w:t>
      </w:r>
    </w:p>
    <w:tbl>
      <w:tblPr>
        <w:tblW w:w="5897" w:type="dxa"/>
        <w:jc w:val="left"/>
        <w:tblInd w:w="0" w:type="dxa"/>
        <w:tblCellMar>
          <w:top w:w="28" w:type="dxa"/>
          <w:left w:w="28" w:type="dxa"/>
          <w:bottom w:w="28" w:type="dxa"/>
          <w:right w:w="28" w:type="dxa"/>
        </w:tblCellMar>
      </w:tblPr>
      <w:tblGrid>
        <w:gridCol w:w="271"/>
        <w:gridCol w:w="5626"/>
      </w:tblGrid>
      <w:tr>
        <w:trPr/>
        <w:tc>
          <w:tcPr>
            <w:tcW w:w="271" w:type="dxa"/>
            <w:tcBorders/>
            <w:shd w:fill="auto" w:val="clear"/>
            <w:vAlign w:val="center"/>
          </w:tcPr>
          <w:p>
            <w:pPr>
              <w:pStyle w:val="TableContents"/>
              <w:spacing w:before="0" w:after="283"/>
              <w:rPr>
                <w:sz w:val="4"/>
                <w:szCs w:val="4"/>
              </w:rPr>
            </w:pPr>
            <w:r>
              <w:rPr>
                <w:sz w:val="4"/>
                <w:szCs w:val="4"/>
              </w:rPr>
            </w:r>
          </w:p>
        </w:tc>
        <w:tc>
          <w:tcPr>
            <w:tcW w:w="5626" w:type="dxa"/>
            <w:tcBorders/>
            <w:shd w:fill="auto" w:val="clear"/>
            <w:vAlign w:val="center"/>
          </w:tcPr>
          <w:p>
            <w:pPr>
              <w:pStyle w:val="TableContents"/>
              <w:spacing w:before="0" w:after="283"/>
              <w:rPr>
                <w:sz w:val="4"/>
                <w:szCs w:val="4"/>
              </w:rPr>
            </w:pPr>
            <w:r>
              <w:rPr>
                <w:sz w:val="4"/>
                <w:szCs w:val="4"/>
              </w:rPr>
            </w:r>
          </w:p>
        </w:tc>
      </w:tr>
      <w:tr>
        <w:trPr/>
        <w:tc>
          <w:tcPr>
            <w:tcW w:w="2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56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 have reviewed this quarterly report on Form 10-Q of RxSight, Inc.;</w:t>
            </w:r>
          </w:p>
        </w:tc>
      </w:tr>
    </w:tbl>
    <w:tbl>
      <w:tblPr>
        <w:tblW w:w="10205" w:type="dxa"/>
        <w:jc w:val="left"/>
        <w:tblInd w:w="0" w:type="dxa"/>
        <w:tblCellMar>
          <w:top w:w="28" w:type="dxa"/>
          <w:left w:w="28" w:type="dxa"/>
          <w:bottom w:w="28" w:type="dxa"/>
          <w:right w:w="28" w:type="dxa"/>
        </w:tblCellMar>
      </w:tblPr>
      <w:tblGrid>
        <w:gridCol w:w="243"/>
        <w:gridCol w:w="9962"/>
      </w:tblGrid>
      <w:tr>
        <w:trPr/>
        <w:tc>
          <w:tcPr>
            <w:tcW w:w="243" w:type="dxa"/>
            <w:tcBorders/>
            <w:shd w:fill="auto" w:val="clear"/>
            <w:vAlign w:val="center"/>
          </w:tcPr>
          <w:p>
            <w:pPr>
              <w:pStyle w:val="TableContents"/>
              <w:spacing w:before="0" w:after="283"/>
              <w:rPr>
                <w:sz w:val="4"/>
                <w:szCs w:val="4"/>
              </w:rPr>
            </w:pPr>
            <w:r>
              <w:rPr>
                <w:sz w:val="4"/>
                <w:szCs w:val="4"/>
              </w:rPr>
            </w:r>
          </w:p>
        </w:tc>
        <w:tc>
          <w:tcPr>
            <w:tcW w:w="9962" w:type="dxa"/>
            <w:tcBorders/>
            <w:shd w:fill="auto" w:val="clear"/>
            <w:vAlign w:val="center"/>
          </w:tcPr>
          <w:p>
            <w:pPr>
              <w:pStyle w:val="TableContents"/>
              <w:spacing w:before="0" w:after="283"/>
              <w:rPr>
                <w:sz w:val="4"/>
                <w:szCs w:val="4"/>
              </w:rPr>
            </w:pPr>
            <w:r>
              <w:rPr>
                <w:sz w:val="4"/>
                <w:szCs w:val="4"/>
              </w:rPr>
            </w:r>
          </w:p>
        </w:tc>
      </w:tr>
      <w:tr>
        <w:trPr/>
        <w:tc>
          <w:tcPr>
            <w:tcW w:w="24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996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28" w:type="dxa"/>
          <w:left w:w="28" w:type="dxa"/>
          <w:bottom w:w="28" w:type="dxa"/>
          <w:right w:w="28" w:type="dxa"/>
        </w:tblCellMar>
      </w:tblPr>
      <w:tblGrid>
        <w:gridCol w:w="245"/>
        <w:gridCol w:w="9960"/>
      </w:tblGrid>
      <w:tr>
        <w:trPr/>
        <w:tc>
          <w:tcPr>
            <w:tcW w:w="245" w:type="dxa"/>
            <w:tcBorders/>
            <w:shd w:fill="auto" w:val="clear"/>
            <w:vAlign w:val="center"/>
          </w:tcPr>
          <w:p>
            <w:pPr>
              <w:pStyle w:val="TableContents"/>
              <w:spacing w:before="0" w:after="283"/>
              <w:rPr>
                <w:sz w:val="4"/>
                <w:szCs w:val="4"/>
              </w:rPr>
            </w:pPr>
            <w:r>
              <w:rPr>
                <w:sz w:val="4"/>
                <w:szCs w:val="4"/>
              </w:rPr>
            </w:r>
          </w:p>
        </w:tc>
        <w:tc>
          <w:tcPr>
            <w:tcW w:w="996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w:t>
            </w:r>
          </w:p>
        </w:tc>
        <w:tc>
          <w:tcPr>
            <w:tcW w:w="996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28" w:type="dxa"/>
          <w:left w:w="28" w:type="dxa"/>
          <w:bottom w:w="28" w:type="dxa"/>
          <w:right w:w="28" w:type="dxa"/>
        </w:tblCellMar>
      </w:tblPr>
      <w:tblGrid>
        <w:gridCol w:w="241"/>
        <w:gridCol w:w="9964"/>
      </w:tblGrid>
      <w:tr>
        <w:trPr/>
        <w:tc>
          <w:tcPr>
            <w:tcW w:w="241" w:type="dxa"/>
            <w:tcBorders/>
            <w:shd w:fill="auto" w:val="clear"/>
            <w:vAlign w:val="center"/>
          </w:tcPr>
          <w:p>
            <w:pPr>
              <w:pStyle w:val="TableContents"/>
              <w:spacing w:before="0" w:after="283"/>
              <w:rPr>
                <w:sz w:val="4"/>
                <w:szCs w:val="4"/>
              </w:rPr>
            </w:pPr>
            <w:r>
              <w:rPr>
                <w:sz w:val="4"/>
                <w:szCs w:val="4"/>
              </w:rPr>
            </w:r>
          </w:p>
        </w:tc>
        <w:tc>
          <w:tcPr>
            <w:tcW w:w="9964" w:type="dxa"/>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w:t>
            </w:r>
          </w:p>
        </w:tc>
        <w:tc>
          <w:tcPr>
            <w:tcW w:w="996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28" w:type="dxa"/>
          <w:left w:w="28" w:type="dxa"/>
          <w:bottom w:w="28" w:type="dxa"/>
          <w:right w:w="28" w:type="dxa"/>
        </w:tblCellMar>
      </w:tblPr>
      <w:tblGrid>
        <w:gridCol w:w="124"/>
        <w:gridCol w:w="214"/>
        <w:gridCol w:w="9867"/>
      </w:tblGrid>
      <w:tr>
        <w:trPr/>
        <w:tc>
          <w:tcPr>
            <w:tcW w:w="12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9867"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86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tc>
      </w:tr>
    </w:tbl>
    <w:tbl>
      <w:tblPr>
        <w:tblW w:w="10205" w:type="dxa"/>
        <w:jc w:val="left"/>
        <w:tblInd w:w="0" w:type="dxa"/>
        <w:tblCellMar>
          <w:top w:w="28" w:type="dxa"/>
          <w:left w:w="28" w:type="dxa"/>
          <w:bottom w:w="28" w:type="dxa"/>
          <w:right w:w="28" w:type="dxa"/>
        </w:tblCellMar>
      </w:tblPr>
      <w:tblGrid>
        <w:gridCol w:w="124"/>
        <w:gridCol w:w="229"/>
        <w:gridCol w:w="9852"/>
      </w:tblGrid>
      <w:tr>
        <w:trPr/>
        <w:tc>
          <w:tcPr>
            <w:tcW w:w="124"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852"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w:t>
            </w:r>
          </w:p>
        </w:tc>
        <w:tc>
          <w:tcPr>
            <w:tcW w:w="98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28" w:type="dxa"/>
          <w:left w:w="28" w:type="dxa"/>
          <w:bottom w:w="28" w:type="dxa"/>
          <w:right w:w="28" w:type="dxa"/>
        </w:tblCellMar>
      </w:tblPr>
      <w:tblGrid>
        <w:gridCol w:w="124"/>
        <w:gridCol w:w="220"/>
        <w:gridCol w:w="9861"/>
      </w:tblGrid>
      <w:tr>
        <w:trPr/>
        <w:tc>
          <w:tcPr>
            <w:tcW w:w="12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86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w:t>
            </w:r>
          </w:p>
        </w:tc>
        <w:tc>
          <w:tcPr>
            <w:tcW w:w="98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28" w:type="dxa"/>
          <w:left w:w="28" w:type="dxa"/>
          <w:bottom w:w="28" w:type="dxa"/>
          <w:right w:w="28" w:type="dxa"/>
        </w:tblCellMar>
      </w:tblPr>
      <w:tblGrid>
        <w:gridCol w:w="124"/>
        <w:gridCol w:w="229"/>
        <w:gridCol w:w="9852"/>
      </w:tblGrid>
      <w:tr>
        <w:trPr/>
        <w:tc>
          <w:tcPr>
            <w:tcW w:w="124"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852"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w:t>
            </w:r>
          </w:p>
        </w:tc>
        <w:tc>
          <w:tcPr>
            <w:tcW w:w="98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28" w:type="dxa"/>
          <w:left w:w="28" w:type="dxa"/>
          <w:bottom w:w="28" w:type="dxa"/>
          <w:right w:w="28" w:type="dxa"/>
        </w:tblCellMar>
      </w:tblPr>
      <w:tblGrid>
        <w:gridCol w:w="244"/>
        <w:gridCol w:w="9961"/>
      </w:tblGrid>
      <w:tr>
        <w:trPr/>
        <w:tc>
          <w:tcPr>
            <w:tcW w:w="244" w:type="dxa"/>
            <w:tcBorders/>
            <w:shd w:fill="auto" w:val="clear"/>
            <w:vAlign w:val="center"/>
          </w:tcPr>
          <w:p>
            <w:pPr>
              <w:pStyle w:val="TableContents"/>
              <w:spacing w:before="0" w:after="283"/>
              <w:rPr>
                <w:sz w:val="4"/>
                <w:szCs w:val="4"/>
              </w:rPr>
            </w:pPr>
            <w:r>
              <w:rPr>
                <w:sz w:val="4"/>
                <w:szCs w:val="4"/>
              </w:rPr>
            </w:r>
          </w:p>
        </w:tc>
        <w:tc>
          <w:tcPr>
            <w:tcW w:w="9961" w:type="dxa"/>
            <w:tcBorders/>
            <w:shd w:fill="auto" w:val="clear"/>
            <w:vAlign w:val="center"/>
          </w:tcPr>
          <w:p>
            <w:pPr>
              <w:pStyle w:val="TableContents"/>
              <w:spacing w:before="0" w:after="283"/>
              <w:rPr>
                <w:sz w:val="4"/>
                <w:szCs w:val="4"/>
              </w:rPr>
            </w:pPr>
            <w:r>
              <w:rPr>
                <w:sz w:val="4"/>
                <w:szCs w:val="4"/>
              </w:rPr>
            </w:r>
          </w:p>
        </w:tc>
      </w:tr>
      <w:tr>
        <w:trPr/>
        <w:tc>
          <w:tcPr>
            <w:tcW w:w="24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5.</w:t>
            </w:r>
          </w:p>
        </w:tc>
        <w:tc>
          <w:tcPr>
            <w:tcW w:w="99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28" w:type="dxa"/>
          <w:left w:w="28" w:type="dxa"/>
          <w:bottom w:w="28" w:type="dxa"/>
          <w:right w:w="28" w:type="dxa"/>
        </w:tblCellMar>
      </w:tblPr>
      <w:tblGrid>
        <w:gridCol w:w="124"/>
        <w:gridCol w:w="222"/>
        <w:gridCol w:w="9859"/>
      </w:tblGrid>
      <w:tr>
        <w:trPr/>
        <w:tc>
          <w:tcPr>
            <w:tcW w:w="12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9859"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8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28" w:type="dxa"/>
          <w:left w:w="28" w:type="dxa"/>
          <w:bottom w:w="28" w:type="dxa"/>
          <w:right w:w="28" w:type="dxa"/>
        </w:tblCellMar>
      </w:tblPr>
      <w:tblGrid>
        <w:gridCol w:w="124"/>
        <w:gridCol w:w="252"/>
        <w:gridCol w:w="9829"/>
      </w:tblGrid>
      <w:tr>
        <w:trPr/>
        <w:tc>
          <w:tcPr>
            <w:tcW w:w="12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9829"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w:t>
            </w:r>
          </w:p>
        </w:tc>
        <w:tc>
          <w:tcPr>
            <w:tcW w:w="98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ableContents"/>
              <w:spacing w:before="0" w:after="0"/>
              <w:ind w:left="0" w:right="0" w:hanging="0"/>
              <w:jc w:val="left"/>
              <w:rPr/>
            </w:pPr>
            <w:r>
              <w:rPr/>
              <w:t> </w:t>
            </w:r>
          </w:p>
        </w:tc>
      </w:tr>
    </w:tbl>
    <w:p>
      <w:pPr>
        <w:pStyle w:val="TextBody"/>
        <w:spacing w:before="0" w:after="0"/>
        <w:jc w:val="left"/>
        <w:rPr/>
      </w:pPr>
      <w:r>
        <w:rPr/>
        <w:t> </w:t>
      </w:r>
    </w:p>
    <w:tbl>
      <w:tblPr>
        <w:tblW w:w="4754" w:type="dxa"/>
        <w:jc w:val="left"/>
        <w:tblInd w:w="0" w:type="dxa"/>
        <w:tblCellMar>
          <w:top w:w="28" w:type="dxa"/>
          <w:left w:w="28" w:type="dxa"/>
          <w:bottom w:w="28" w:type="dxa"/>
          <w:right w:w="28" w:type="dxa"/>
        </w:tblCellMar>
      </w:tblPr>
      <w:tblGrid>
        <w:gridCol w:w="1636"/>
        <w:gridCol w:w="146"/>
        <w:gridCol w:w="406"/>
        <w:gridCol w:w="2566"/>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6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Shelley Thunen</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Shelley Thunen</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25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25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spacing w:before="24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5" w:name="rxst-ex32_1.htm"/>
      <w:bookmarkStart w:id="26" w:name="ksrxstex32_1"/>
      <w:bookmarkEnd w:id="25"/>
      <w:bookmarkEnd w:id="26"/>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0" w:after="0"/>
        <w:jc w:val="center"/>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connection with the Quarterly Report of RxSight, Inc. (the “Company”) on Form 10-Q for the quarterly period ended March 31, 2023, as filed with the Securities and Exchange Commission on the date hereof (the “Report”), I, Ron Kurtz, M.D., Chief Executive Officer of the Company, certify, pursuant to 18 U.S.C. §1350, as adopted pursuant to §906 of the Sarbanes-Oxley Act of 2002, that, to my knowledge:</w:t>
      </w:r>
    </w:p>
    <w:p>
      <w:pPr>
        <w:pStyle w:val="TextBody"/>
        <w:spacing w:before="0" w:after="0"/>
        <w:jc w:val="left"/>
        <w:rPr/>
      </w:pPr>
      <w:r>
        <w:rPr/>
        <w:t> </w:t>
      </w:r>
    </w:p>
    <w:tbl>
      <w:tblPr>
        <w:tblW w:w="10101" w:type="dxa"/>
        <w:jc w:val="left"/>
        <w:tblInd w:w="0" w:type="dxa"/>
        <w:tblCellMar>
          <w:top w:w="28" w:type="dxa"/>
          <w:left w:w="28" w:type="dxa"/>
          <w:bottom w:w="28" w:type="dxa"/>
          <w:right w:w="28" w:type="dxa"/>
        </w:tblCellMar>
      </w:tblPr>
      <w:tblGrid>
        <w:gridCol w:w="124"/>
        <w:gridCol w:w="256"/>
        <w:gridCol w:w="97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2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97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tc>
      </w:tr>
    </w:tbl>
    <w:tbl>
      <w:tblPr>
        <w:tblW w:w="10205" w:type="dxa"/>
        <w:jc w:val="left"/>
        <w:tblInd w:w="0" w:type="dxa"/>
        <w:tblCellMar>
          <w:top w:w="28" w:type="dxa"/>
          <w:left w:w="28" w:type="dxa"/>
          <w:bottom w:w="28" w:type="dxa"/>
          <w:right w:w="28" w:type="dxa"/>
        </w:tblCellMar>
      </w:tblPr>
      <w:tblGrid>
        <w:gridCol w:w="124"/>
        <w:gridCol w:w="247"/>
        <w:gridCol w:w="9834"/>
      </w:tblGrid>
      <w:tr>
        <w:trPr/>
        <w:tc>
          <w:tcPr>
            <w:tcW w:w="124"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83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983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tc>
      </w:tr>
    </w:tbl>
    <w:p>
      <w:pPr>
        <w:pStyle w:val="TextBody"/>
        <w:spacing w:before="0" w:after="0"/>
        <w:jc w:val="left"/>
        <w:rPr/>
      </w:pPr>
      <w:r>
        <w:rPr/>
        <w:t> </w:t>
      </w:r>
    </w:p>
    <w:tbl>
      <w:tblPr>
        <w:tblW w:w="4784" w:type="dxa"/>
        <w:jc w:val="left"/>
        <w:tblInd w:w="0" w:type="dxa"/>
        <w:tblCellMar>
          <w:top w:w="28" w:type="dxa"/>
          <w:left w:w="28" w:type="dxa"/>
          <w:bottom w:w="28" w:type="dxa"/>
          <w:right w:w="28" w:type="dxa"/>
        </w:tblCellMar>
      </w:tblPr>
      <w:tblGrid>
        <w:gridCol w:w="1636"/>
        <w:gridCol w:w="146"/>
        <w:gridCol w:w="406"/>
        <w:gridCol w:w="2596"/>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9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9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Ron Kurtz, M.D.</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Ron Kurtz, M.D.</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7" w:name="rxst-ex32_2.htm"/>
      <w:bookmarkStart w:id="28" w:name="ksrxstex32_2"/>
      <w:bookmarkEnd w:id="27"/>
      <w:bookmarkEnd w:id="28"/>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32.2</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0" w:after="0"/>
        <w:jc w:val="center"/>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connection with the Quarterly Report of RxSight, Inc. (the “Company”) on Form 10-Q for the quarterly period ended March 31, 2023, as filed with the Securities and Exchange Commission on the date hereof (the “Report”), I, Shelley Thunen, Chief Financial Officer of the Company, certify, pursuant to 18 U.S.C. §1350, as adopted pursuant to §906 of the Sarbanes-Oxley Act of 2002, that, to my knowledge:</w:t>
      </w:r>
    </w:p>
    <w:tbl>
      <w:tblPr>
        <w:tblW w:w="10101" w:type="dxa"/>
        <w:jc w:val="left"/>
        <w:tblInd w:w="0" w:type="dxa"/>
        <w:tblCellMar>
          <w:top w:w="28" w:type="dxa"/>
          <w:left w:w="28" w:type="dxa"/>
          <w:bottom w:w="28" w:type="dxa"/>
          <w:right w:w="28" w:type="dxa"/>
        </w:tblCellMar>
      </w:tblPr>
      <w:tblGrid>
        <w:gridCol w:w="124"/>
        <w:gridCol w:w="256"/>
        <w:gridCol w:w="97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72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97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tc>
      </w:tr>
    </w:tbl>
    <w:tbl>
      <w:tblPr>
        <w:tblW w:w="10205" w:type="dxa"/>
        <w:jc w:val="left"/>
        <w:tblInd w:w="0" w:type="dxa"/>
        <w:tblCellMar>
          <w:top w:w="28" w:type="dxa"/>
          <w:left w:w="28" w:type="dxa"/>
          <w:bottom w:w="28" w:type="dxa"/>
          <w:right w:w="28" w:type="dxa"/>
        </w:tblCellMar>
      </w:tblPr>
      <w:tblGrid>
        <w:gridCol w:w="124"/>
        <w:gridCol w:w="247"/>
        <w:gridCol w:w="9834"/>
      </w:tblGrid>
      <w:tr>
        <w:trPr/>
        <w:tc>
          <w:tcPr>
            <w:tcW w:w="124"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83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983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tc>
      </w:tr>
    </w:tbl>
    <w:p>
      <w:pPr>
        <w:pStyle w:val="TextBody"/>
        <w:spacing w:before="0" w:after="0"/>
        <w:jc w:val="left"/>
        <w:rPr/>
      </w:pPr>
      <w:r>
        <w:rPr/>
        <w:t> </w:t>
      </w:r>
    </w:p>
    <w:tbl>
      <w:tblPr>
        <w:tblW w:w="4754" w:type="dxa"/>
        <w:jc w:val="left"/>
        <w:tblInd w:w="0" w:type="dxa"/>
        <w:tblCellMar>
          <w:top w:w="28" w:type="dxa"/>
          <w:left w:w="28" w:type="dxa"/>
          <w:bottom w:w="28" w:type="dxa"/>
          <w:right w:w="28" w:type="dxa"/>
        </w:tblCellMar>
      </w:tblPr>
      <w:tblGrid>
        <w:gridCol w:w="1636"/>
        <w:gridCol w:w="146"/>
        <w:gridCol w:w="406"/>
        <w:gridCol w:w="2566"/>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6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Shelley Thunen</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Shelley Thunen</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spacing w:before="24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11485/000095017023006237/rxst-ex10_18.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66364</Words>
  <CharactersWithSpaces>433439</CharactersWithSpaces>
  <Paragraphs>5653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