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162026_080936.xml.htm"/>
      <w:bookmarkStart w:id="1" w:name="ksform409162026_08093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Weinberg Eric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RXSIGHT,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COLUMBIA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ALISO VIEJO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RxSight,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RXST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0"/>
        <w:gridCol w:w="901"/>
        <w:gridCol w:w="771"/>
        <w:gridCol w:w="598"/>
        <w:gridCol w:w="347"/>
        <w:gridCol w:w="928"/>
        <w:gridCol w:w="452"/>
        <w:gridCol w:w="667"/>
        <w:gridCol w:w="1159"/>
        <w:gridCol w:w="994"/>
        <w:gridCol w:w="10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35,168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4.34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235,516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299,978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925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35,168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03/14/2027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35,168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held by the EJW Living Trust, for which the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subject to the option were fully vested and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Business Development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Jim Schindler,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95814" TargetMode="External"/><Relationship Id="rId5" Type="http://schemas.openxmlformats.org/officeDocument/2006/relationships/hyperlink" Target="http://www.sec.gov/cgi-bin/browse-edgar?action=getcompany&amp;CIK=00011114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625</Words>
  <Characters>3371</Characters>
  <CharactersWithSpaces>3905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