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579755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593725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75565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86995</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9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6" w:lineRule="exact"/>
        <w:rPr>
          <w:sz w:val="24"/>
          <w:szCs w:val="24"/>
          <w:color w:val="auto"/>
        </w:rPr>
      </w:pPr>
    </w:p>
    <w:p>
      <w:pPr>
        <w:ind w:left="960" w:hanging="312"/>
        <w:spacing w:after="0"/>
        <w:tabs>
          <w:tab w:leader="none" w:pos="9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4"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02" w:lineRule="exact"/>
        <w:rPr>
          <w:sz w:val="24"/>
          <w:szCs w:val="24"/>
          <w:color w:val="auto"/>
        </w:rPr>
      </w:pPr>
    </w:p>
    <w:p>
      <w:pPr>
        <w:ind w:left="3420"/>
        <w:spacing w:after="0"/>
        <w:tabs>
          <w:tab w:leader="none" w:pos="542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97"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85725</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RxSIGHT,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81280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87" w:lineRule="exact"/>
        <w:rPr>
          <w:sz w:val="24"/>
          <w:szCs w:val="24"/>
          <w:color w:val="auto"/>
        </w:rPr>
      </w:pPr>
    </w:p>
    <w:tbl>
      <w:tblPr>
        <w:tblLayout w:type="fixed"/>
        <w:tblInd w:w="1620" w:type="dxa"/>
        <w:tblCellMar>
          <w:top w:w="0" w:type="dxa"/>
          <w:left w:w="0" w:type="dxa"/>
          <w:bottom w:w="0" w:type="dxa"/>
          <w:right w:w="0" w:type="dxa"/>
        </w:tblCellMar>
      </w:tblPr>
      <w:tr>
        <w:trPr>
          <w:trHeight w:val="126"/>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1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94-3268801</w:t>
            </w:r>
          </w:p>
        </w:tc>
      </w:tr>
      <w:tr>
        <w:trPr>
          <w:trHeight w:val="127"/>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2"/>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120" w:type="dxa"/>
            <w:vAlign w:val="bottom"/>
          </w:tcPr>
          <w:p>
            <w:pPr>
              <w:jc w:val="center"/>
              <w:ind w:left="116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183"/>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100 Columbia</w:t>
            </w:r>
          </w:p>
        </w:tc>
        <w:tc>
          <w:tcPr>
            <w:tcW w:w="2120" w:type="dxa"/>
            <w:vAlign w:val="bottom"/>
          </w:tcPr>
          <w:p>
            <w:pPr>
              <w:spacing w:after="0"/>
              <w:rPr>
                <w:sz w:val="15"/>
                <w:szCs w:val="15"/>
                <w:color w:val="auto"/>
              </w:rPr>
            </w:pPr>
          </w:p>
        </w:tc>
      </w:tr>
      <w:tr>
        <w:trPr>
          <w:trHeight w:val="118"/>
        </w:trPr>
        <w:tc>
          <w:tcPr>
            <w:tcW w:w="3140" w:type="dxa"/>
            <w:vAlign w:val="bottom"/>
          </w:tcPr>
          <w:p>
            <w:pPr>
              <w:jc w:val="center"/>
              <w:ind w:right="1203"/>
              <w:spacing w:after="0" w:line="119" w:lineRule="exact"/>
              <w:rPr>
                <w:sz w:val="20"/>
                <w:szCs w:val="20"/>
                <w:color w:val="auto"/>
              </w:rPr>
            </w:pPr>
            <w:r>
              <w:rPr>
                <w:rFonts w:ascii="Times New Roman" w:cs="Times New Roman" w:eastAsia="Times New Roman" w:hAnsi="Times New Roman"/>
                <w:sz w:val="11"/>
                <w:szCs w:val="11"/>
                <w:b w:val="1"/>
                <w:bCs w:val="1"/>
                <w:color w:val="auto"/>
              </w:rPr>
              <w:t>Aliso Viejo, CA</w:t>
            </w:r>
          </w:p>
        </w:tc>
        <w:tc>
          <w:tcPr>
            <w:tcW w:w="2120" w:type="dxa"/>
            <w:vAlign w:val="bottom"/>
          </w:tcPr>
          <w:p>
            <w:pPr>
              <w:jc w:val="right"/>
              <w:ind w:right="243"/>
              <w:spacing w:after="0" w:line="119" w:lineRule="exact"/>
              <w:rPr>
                <w:sz w:val="20"/>
                <w:szCs w:val="20"/>
                <w:color w:val="auto"/>
              </w:rPr>
            </w:pPr>
            <w:r>
              <w:rPr>
                <w:rFonts w:ascii="Times New Roman" w:cs="Times New Roman" w:eastAsia="Times New Roman" w:hAnsi="Times New Roman"/>
                <w:sz w:val="11"/>
                <w:szCs w:val="11"/>
                <w:b w:val="1"/>
                <w:bCs w:val="1"/>
                <w:color w:val="auto"/>
              </w:rPr>
              <w:t>92656</w:t>
            </w:r>
          </w:p>
        </w:tc>
      </w:tr>
      <w:tr>
        <w:trPr>
          <w:trHeight w:val="150"/>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5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85725</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6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91"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1"/>
                <w:szCs w:val="11"/>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31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Common Stock, par value $0.001 per share</w:t>
            </w:r>
          </w:p>
        </w:tc>
        <w:tc>
          <w:tcPr>
            <w:tcW w:w="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RXST</w:t>
            </w:r>
          </w:p>
        </w:tc>
        <w:tc>
          <w:tcPr>
            <w:tcW w:w="80" w:type="dxa"/>
            <w:vAlign w:val="bottom"/>
          </w:tcPr>
          <w:p>
            <w:pPr>
              <w:spacing w:after="0"/>
              <w:rPr>
                <w:sz w:val="12"/>
                <w:szCs w:val="12"/>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640" w:right="73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left="640" w:right="75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left="640" w:right="919" w:firstLine="351"/>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640" w:type="dxa"/>
        <w:tblCellMar>
          <w:top w:w="0" w:type="dxa"/>
          <w:left w:w="0" w:type="dxa"/>
          <w:bottom w:w="0" w:type="dxa"/>
          <w:right w:w="0" w:type="dxa"/>
        </w:tblCellMar>
      </w:tblPr>
      <w:tr>
        <w:trPr>
          <w:trHeight w:val="215"/>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3"/>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1" w:lineRule="exact"/>
        <w:rPr>
          <w:sz w:val="24"/>
          <w:szCs w:val="24"/>
          <w:color w:val="auto"/>
        </w:rPr>
      </w:pPr>
    </w:p>
    <w:p>
      <w:pPr>
        <w:ind w:left="640" w:right="819" w:firstLine="351"/>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left="980" w:right="1159"/>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October 30, 2025, the registrant had 41,116,640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686435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78105</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92075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993" w:right="1440" w:bottom="144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188"/>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8"/>
        </w:trPr>
        <w:tc>
          <w:tcPr>
            <w:tcW w:w="1300" w:type="dxa"/>
            <w:vAlign w:val="bottom"/>
            <w:gridSpan w:val="3"/>
            <w:vMerge w:val="continue"/>
          </w:tcPr>
          <w:p>
            <w:pPr>
              <w:spacing w:after="0"/>
              <w:rPr>
                <w:sz w:val="12"/>
                <w:szCs w:val="12"/>
                <w:color w:val="auto"/>
              </w:rPr>
            </w:pPr>
          </w:p>
        </w:tc>
        <w:tc>
          <w:tcPr>
            <w:tcW w:w="6420" w:type="dxa"/>
            <w:vAlign w:val="bottom"/>
            <w:gridSpan w:val="13"/>
            <w:vMerge w:val="continue"/>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Equity</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2960" w:type="dxa"/>
            <w:vAlign w:val="bottom"/>
            <w:tcBorders>
              <w:left w:val="single" w:sz="8" w:color="0000FF"/>
            </w:tcBorders>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gridSpan w:val="3"/>
            <w:vMerge w:val="continue"/>
          </w:tcPr>
          <w:p>
            <w:pPr>
              <w:spacing w:after="0"/>
              <w:rPr>
                <w:sz w:val="14"/>
                <w:szCs w:val="14"/>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OTHER INFORMATION</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99</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7"/>
        </w:trPr>
        <w:tc>
          <w:tcPr>
            <w:tcW w:w="5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concerning the following:</w:t>
      </w:r>
    </w:p>
    <w:p>
      <w:pPr>
        <w:spacing w:after="0" w:line="97" w:lineRule="exact"/>
        <w:rPr>
          <w:sz w:val="20"/>
          <w:szCs w:val="20"/>
          <w:color w:val="auto"/>
        </w:rPr>
      </w:pPr>
    </w:p>
    <w:p>
      <w:pPr>
        <w:ind w:left="1860" w:right="1179" w:hanging="357"/>
        <w:spacing w:after="0" w:line="26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capital resources to fund our future operating expenses and capital expenditure requirements, including our expectation that we do not anticipate the need to raise additional capital or incur additional debt in order to reach profitability from operations, as disclosed in our future Annual Reports on Form 10-K or Quarterly Reports on Form 10-Q as filed with the Securities and Exchange Commission (“SEC”), provided that we may opportunistically seek to raise capital under advantageous circumstances from time to time in order to support the expansion of our sales and operations in the U.S. and internationally and to pursue other business opportunities;</w:t>
      </w:r>
    </w:p>
    <w:p>
      <w:pPr>
        <w:spacing w:after="0" w:line="58"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current cash, cash equivalents and short-term investments through the date of filing of this report will be sufficient to fund our operations for at least the next 12 months;</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68"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revenue will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54"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expenses, ongoing losses, future revenue, capital requirements and our need for, or ability to obtain, additional financing;</w:t>
      </w:r>
    </w:p>
    <w:p>
      <w:pPr>
        <w:spacing w:after="0" w:line="37"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about our gross margins based on the forecast of manufacturing volumes of Light-Adjustable Lenses (“LALs”);</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for the growth of our business and our organization, including with respect to new geographic markets;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over time, our adjustable lens solution can be used to address a broad range of cataract surgery patients, including those that would otherwise elect for a conventional cataract procedure today;</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w:t>
      </w:r>
    </w:p>
    <w:p>
      <w:pPr>
        <w:spacing w:after="0" w:line="50" w:lineRule="exact"/>
        <w:rPr>
          <w:rFonts w:ascii="Times New Roman" w:cs="Times New Roman" w:eastAsia="Times New Roman" w:hAnsi="Times New Roman"/>
          <w:sz w:val="14"/>
          <w:szCs w:val="14"/>
          <w:color w:val="auto"/>
        </w:rPr>
      </w:pPr>
    </w:p>
    <w:p>
      <w:pPr>
        <w:ind w:left="1860" w:right="121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there is an opportunity to gain market share in the premium intraocular lens (“IOL”) market segment and also increase the penetration of premium IOLs in the broader market by converting doctors and patients currently electing for conventional cataract surgery;</w:t>
      </w:r>
    </w:p>
    <w:p>
      <w:pPr>
        <w:spacing w:after="0" w:line="50" w:lineRule="exact"/>
        <w:rPr>
          <w:rFonts w:ascii="Times New Roman" w:cs="Times New Roman" w:eastAsia="Times New Roman" w:hAnsi="Times New Roman"/>
          <w:sz w:val="14"/>
          <w:szCs w:val="14"/>
          <w:color w:val="auto"/>
        </w:rPr>
      </w:pPr>
    </w:p>
    <w:p>
      <w:pPr>
        <w:ind w:left="1860" w:right="1199" w:hanging="357"/>
        <w:spacing w:after="0" w:line="268"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w:t>
      </w:r>
    </w:p>
    <w:p>
      <w:pPr>
        <w:spacing w:after="0" w:line="54" w:lineRule="exact"/>
        <w:rPr>
          <w:rFonts w:ascii="Times New Roman" w:cs="Times New Roman" w:eastAsia="Times New Roman" w:hAnsi="Times New Roman"/>
          <w:sz w:val="14"/>
          <w:szCs w:val="14"/>
          <w:color w:val="auto"/>
        </w:rPr>
      </w:pPr>
    </w:p>
    <w:p>
      <w:pPr>
        <w:ind w:left="1860" w:right="147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current non-adjustable premium IOL offerings often cannot deliver on patient expectations regarding their desire to see at near, intermediate and far distances without reliance on glasses and to avoid troubling side effects such as glare, halos and loss of contrast sensitivity;</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intentions regarding investment in our business as we pursue growth;</w:t>
      </w:r>
    </w:p>
    <w:p>
      <w:pPr>
        <w:spacing w:after="0" w:line="96" w:lineRule="exact"/>
        <w:rPr>
          <w:rFonts w:ascii="Times New Roman" w:cs="Times New Roman" w:eastAsia="Times New Roman" w:hAnsi="Times New Roman"/>
          <w:sz w:val="14"/>
          <w:szCs w:val="14"/>
          <w:color w:val="auto"/>
        </w:rPr>
      </w:pPr>
    </w:p>
    <w:p>
      <w:pPr>
        <w:ind w:left="1860" w:right="163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expected timelines related to our products, or developing new products, to address additional indications or otherwise;</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3" w:name="page4"/>
    <w:bookmarkEnd w:id="3"/>
    <w:p>
      <w:pPr>
        <w:ind w:left="1860" w:right="125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expand regulatory clearances for our products and any new products we create;</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uses of our existing resources;</w:t>
      </w:r>
    </w:p>
    <w:p>
      <w:pPr>
        <w:spacing w:after="0" w:line="9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current manufacturing capacity is sufficient to meet our current expected demand for at least the next 12 months;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we have sufficiently trained personnel and processes to manufacture our products;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existing facilities are adequate for our near-term needs, and that suitable additional or alternative space would be available in the future as required on commercially reasonable terms;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government and third-party payer coverage and reimbursement;</w:t>
      </w:r>
    </w:p>
    <w:p>
      <w:pPr>
        <w:spacing w:after="0" w:line="96" w:lineRule="exact"/>
        <w:rPr>
          <w:rFonts w:ascii="Times New Roman" w:cs="Times New Roman" w:eastAsia="Times New Roman" w:hAnsi="Times New Roman"/>
          <w:sz w:val="14"/>
          <w:szCs w:val="14"/>
          <w:color w:val="auto"/>
        </w:rPr>
      </w:pPr>
    </w:p>
    <w:p>
      <w:pPr>
        <w:ind w:left="1860" w:right="13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supply of materials and components for our products from our third-party suppliers, including single and sole source suppliers;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enforce intellectual property protection for our products and protect our intellectual property rights;</w:t>
      </w:r>
    </w:p>
    <w:p>
      <w:pPr>
        <w:spacing w:after="0" w:line="37"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conduct further clinical trials and any expectations related to the timing or outcomes of such trials;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and future government laws, rules and regulations both in the United States and internationally;</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new and planned products and/or acquire new products; and</w:t>
      </w:r>
    </w:p>
    <w:p>
      <w:pPr>
        <w:spacing w:after="0" w:line="96" w:lineRule="exact"/>
        <w:rPr>
          <w:rFonts w:ascii="Times New Roman" w:cs="Times New Roman" w:eastAsia="Times New Roman" w:hAnsi="Times New Roman"/>
          <w:sz w:val="14"/>
          <w:szCs w:val="14"/>
          <w:color w:val="auto"/>
        </w:rPr>
      </w:pPr>
    </w:p>
    <w:p>
      <w:pPr>
        <w:ind w:left="1860" w:right="12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our competitors or our industry, including anticipated growth rates for the conventional and premium IOL markets.</w:t>
      </w:r>
    </w:p>
    <w:p>
      <w:pPr>
        <w:spacing w:after="0" w:line="70"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76"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92"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INDUSTRY, BUSINESS AND MARKET DATA</w:t>
      </w:r>
    </w:p>
    <w:p>
      <w:pPr>
        <w:spacing w:after="0" w:line="120"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 w:name="page5"/>
    <w:bookmarkEnd w:id="4"/>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TRADEMARKS, SERVICE MARKS AND TRADE NAMES</w:t>
      </w:r>
    </w:p>
    <w:p>
      <w:pPr>
        <w:spacing w:after="0" w:line="120"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16"/>
          <w:szCs w:val="16"/>
          <w:b w:val="1"/>
          <w:bCs w:val="1"/>
          <w:color w:val="auto"/>
        </w:rPr>
        <w:t>Item 1. Financial Statements (Unaudited)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6350</wp:posOffset>
            </wp:positionV>
            <wp:extent cx="425513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00" w:type="dxa"/>
            <w:vAlign w:val="bottom"/>
          </w:tcPr>
          <w:p>
            <w:pPr>
              <w:spacing w:after="0"/>
              <w:rPr>
                <w:sz w:val="11"/>
                <w:szCs w:val="11"/>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43"/>
              <w:spacing w:after="0" w:line="109" w:lineRule="exact"/>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Current assets: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Cash and cash equivalents</w:t>
            </w:r>
          </w:p>
        </w:tc>
        <w:tc>
          <w:tcPr>
            <w:tcW w:w="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29,633</w:t>
            </w:r>
          </w:p>
        </w:tc>
        <w:tc>
          <w:tcPr>
            <w:tcW w:w="100" w:type="dxa"/>
            <w:vAlign w:val="bottom"/>
            <w:shd w:val="clear" w:color="auto" w:fill="CFF0FC"/>
          </w:tcPr>
          <w:p>
            <w:pPr>
              <w:spacing w:after="0"/>
              <w:rPr>
                <w:sz w:val="10"/>
                <w:szCs w:val="10"/>
                <w:color w:val="auto"/>
              </w:rPr>
            </w:pPr>
          </w:p>
        </w:tc>
        <w:tc>
          <w:tcPr>
            <w:tcW w:w="16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16,706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Short-term investments</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197,883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220,517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Accounts receivable, net</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24,151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30,050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Inventories, net</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28,950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22,009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Prepaid and other current assets</w:t>
            </w: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3,260</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4,541</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7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current assets</w:t>
            </w:r>
          </w:p>
        </w:tc>
        <w:tc>
          <w:tcPr>
            <w:tcW w:w="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283,877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293,823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Property and equipment, net</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13,096</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12,413</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Operating leases right-of-use assets</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10,276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11,217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Restricted cash</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748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750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360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shd w:val="clear" w:color="auto" w:fill="CFF0FC"/>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308,533</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318,563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7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6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Current liabilities: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Accounts payable</w:t>
            </w:r>
          </w:p>
        </w:tc>
        <w:tc>
          <w:tcPr>
            <w:tcW w:w="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3,377</w:t>
            </w:r>
          </w:p>
        </w:tc>
        <w:tc>
          <w:tcPr>
            <w:tcW w:w="100" w:type="dxa"/>
            <w:vAlign w:val="bottom"/>
            <w:shd w:val="clear" w:color="auto" w:fill="CFF0FC"/>
          </w:tcPr>
          <w:p>
            <w:pPr>
              <w:spacing w:after="0"/>
              <w:rPr>
                <w:sz w:val="10"/>
                <w:szCs w:val="10"/>
                <w:color w:val="auto"/>
              </w:rPr>
            </w:pPr>
          </w:p>
        </w:tc>
        <w:tc>
          <w:tcPr>
            <w:tcW w:w="16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4,544</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17,621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20,358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Lease liabilities</w:t>
            </w: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1,293</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974</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7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current liabilities</w:t>
            </w:r>
          </w:p>
        </w:tc>
        <w:tc>
          <w:tcPr>
            <w:tcW w:w="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22,291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25,876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Long-term lease liabilities</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10,272</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11,322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long-term liabilities</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127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700" w:type="dxa"/>
            <w:vAlign w:val="bottom"/>
            <w:tcBorders>
              <w:bottom w:val="single" w:sz="8" w:color="CFF0FC"/>
            </w:tcBorders>
            <w:shd w:val="clear" w:color="auto" w:fill="CFF0FC"/>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80" w:type="dxa"/>
            <w:vAlign w:val="bottom"/>
            <w:tcBorders>
              <w:top w:val="single" w:sz="8" w:color="auto"/>
              <w:bottom w:val="single" w:sz="8" w:color="auto"/>
            </w:tcBorders>
            <w:shd w:val="clear" w:color="auto" w:fill="CFF0FC"/>
          </w:tcPr>
          <w:p>
            <w:pPr>
              <w:spacing w:after="0"/>
              <w:rPr>
                <w:sz w:val="9"/>
                <w:szCs w:val="9"/>
                <w:color w:val="auto"/>
              </w:rPr>
            </w:pPr>
          </w:p>
        </w:tc>
        <w:tc>
          <w:tcPr>
            <w:tcW w:w="740" w:type="dxa"/>
            <w:vAlign w:val="bottom"/>
            <w:tcBorders>
              <w:top w:val="single" w:sz="8" w:color="auto"/>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32,563</w:t>
            </w: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spacing w:after="0"/>
              <w:rPr>
                <w:sz w:val="9"/>
                <w:szCs w:val="9"/>
                <w:color w:val="auto"/>
              </w:rPr>
            </w:pPr>
          </w:p>
        </w:tc>
        <w:tc>
          <w:tcPr>
            <w:tcW w:w="860" w:type="dxa"/>
            <w:vAlign w:val="bottom"/>
            <w:tcBorders>
              <w:top w:val="single" w:sz="8" w:color="auto"/>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37,325</w:t>
            </w:r>
          </w:p>
        </w:tc>
        <w:tc>
          <w:tcPr>
            <w:tcW w:w="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Commitments and contingencies (Note 8)</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Stockholders' equity:</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70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Common stock, $0.001 par value, 900,000,000 shares authorized,</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ind w:left="200"/>
              <w:spacing w:after="0" w:line="119" w:lineRule="exact"/>
              <w:rPr>
                <w:sz w:val="20"/>
                <w:szCs w:val="20"/>
                <w:color w:val="auto"/>
              </w:rPr>
            </w:pPr>
            <w:r>
              <w:rPr>
                <w:rFonts w:ascii="Times New Roman" w:cs="Times New Roman" w:eastAsia="Times New Roman" w:hAnsi="Times New Roman"/>
                <w:sz w:val="11"/>
                <w:szCs w:val="11"/>
                <w:color w:val="auto"/>
              </w:rPr>
              <w:t>41,081,550 shares issued and outstanding as of September 30, 2025 and</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40,428,220 shares issued and outstanding as of December 31, 2024</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70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Preferred stock, $0.001 par value, 100,000,000 shares authorized,</w:t>
            </w:r>
          </w:p>
        </w:tc>
        <w:tc>
          <w:tcPr>
            <w:tcW w:w="80" w:type="dxa"/>
            <w:vAlign w:val="bottom"/>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no shares issued and outstanding</w:t>
            </w:r>
          </w:p>
        </w:tc>
        <w:tc>
          <w:tcPr>
            <w:tcW w:w="80" w:type="dxa"/>
            <w:vAlign w:val="bottom"/>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Additional paid-in capital</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927,756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903,127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Accumulated other comprehensive income</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166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Accumulated deficit</w:t>
            </w:r>
          </w:p>
        </w:tc>
        <w:tc>
          <w:tcPr>
            <w:tcW w:w="80" w:type="dxa"/>
            <w:vAlign w:val="bottom"/>
          </w:tcPr>
          <w:p>
            <w:pPr>
              <w:spacing w:after="0"/>
              <w:rPr>
                <w:sz w:val="10"/>
                <w:szCs w:val="10"/>
                <w:color w:val="auto"/>
              </w:rPr>
            </w:pPr>
          </w:p>
        </w:tc>
        <w:tc>
          <w:tcPr>
            <w:tcW w:w="8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(651,887)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(622,095)</w:t>
            </w:r>
          </w:p>
        </w:tc>
        <w:tc>
          <w:tcPr>
            <w:tcW w:w="0" w:type="dxa"/>
            <w:vAlign w:val="bottom"/>
          </w:tcPr>
          <w:p>
            <w:pPr>
              <w:spacing w:after="0"/>
              <w:rPr>
                <w:sz w:val="1"/>
                <w:szCs w:val="1"/>
                <w:color w:val="auto"/>
              </w:rPr>
            </w:pPr>
          </w:p>
        </w:tc>
      </w:tr>
      <w:tr>
        <w:trPr>
          <w:trHeight w:val="109"/>
        </w:trPr>
        <w:tc>
          <w:tcPr>
            <w:tcW w:w="4700" w:type="dxa"/>
            <w:vAlign w:val="bottom"/>
            <w:tcBorders>
              <w:bottom w:val="single" w:sz="8" w:color="CFF0FC"/>
            </w:tcBorders>
            <w:shd w:val="clear" w:color="auto" w:fill="CFF0FC"/>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stockholders' equity</w:t>
            </w:r>
          </w:p>
        </w:tc>
        <w:tc>
          <w:tcPr>
            <w:tcW w:w="80" w:type="dxa"/>
            <w:vAlign w:val="bottom"/>
            <w:tcBorders>
              <w:top w:val="single" w:sz="8" w:color="auto"/>
              <w:bottom w:val="single" w:sz="8" w:color="auto"/>
            </w:tcBorders>
            <w:shd w:val="clear" w:color="auto" w:fill="CFF0FC"/>
          </w:tcPr>
          <w:p>
            <w:pPr>
              <w:spacing w:after="0"/>
              <w:rPr>
                <w:sz w:val="9"/>
                <w:szCs w:val="9"/>
                <w:color w:val="auto"/>
              </w:rPr>
            </w:pPr>
          </w:p>
        </w:tc>
        <w:tc>
          <w:tcPr>
            <w:tcW w:w="740" w:type="dxa"/>
            <w:vAlign w:val="bottom"/>
            <w:tcBorders>
              <w:top w:val="single" w:sz="8" w:color="auto"/>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275,970</w:t>
            </w: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spacing w:after="0"/>
              <w:rPr>
                <w:sz w:val="9"/>
                <w:szCs w:val="9"/>
                <w:color w:val="auto"/>
              </w:rPr>
            </w:pPr>
          </w:p>
        </w:tc>
        <w:tc>
          <w:tcPr>
            <w:tcW w:w="860" w:type="dxa"/>
            <w:vAlign w:val="bottom"/>
            <w:tcBorders>
              <w:top w:val="single" w:sz="8" w:color="auto"/>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281,238</w:t>
            </w:r>
          </w:p>
        </w:tc>
        <w:tc>
          <w:tcPr>
            <w:tcW w:w="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308,533</w:t>
            </w:r>
          </w:p>
        </w:tc>
        <w:tc>
          <w:tcPr>
            <w:tcW w:w="100" w:type="dxa"/>
            <w:vAlign w:val="bottom"/>
          </w:tcPr>
          <w:p>
            <w:pPr>
              <w:spacing w:after="0"/>
              <w:rPr>
                <w:sz w:val="9"/>
                <w:szCs w:val="9"/>
                <w:color w:val="auto"/>
              </w:rPr>
            </w:pPr>
          </w:p>
        </w:tc>
        <w:tc>
          <w:tcPr>
            <w:tcW w:w="16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318,563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-2188210</wp:posOffset>
            </wp:positionV>
            <wp:extent cx="4064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-2188210</wp:posOffset>
            </wp:positionV>
            <wp:extent cx="4064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-1724660</wp:posOffset>
            </wp:positionV>
            <wp:extent cx="4064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-1711325</wp:posOffset>
            </wp:positionV>
            <wp:extent cx="4064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-1724660</wp:posOffset>
            </wp:positionV>
            <wp:extent cx="4064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-1711325</wp:posOffset>
            </wp:positionV>
            <wp:extent cx="4064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-1254125</wp:posOffset>
            </wp:positionV>
            <wp:extent cx="4064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-1254125</wp:posOffset>
            </wp:positionV>
            <wp:extent cx="4064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-940435</wp:posOffset>
            </wp:positionV>
            <wp:extent cx="4064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-940435</wp:posOffset>
            </wp:positionV>
            <wp:extent cx="4064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-101600</wp:posOffset>
            </wp:positionV>
            <wp:extent cx="4064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-101600</wp:posOffset>
            </wp:positionV>
            <wp:extent cx="4064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322"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COMPREHENSIVE LOSS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122555</wp:posOffset>
            </wp:positionV>
            <wp:extent cx="4255135"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80" w:type="dxa"/>
            <w:vAlign w:val="bottom"/>
          </w:tcPr>
          <w:p>
            <w:pPr>
              <w:spacing w:after="0"/>
              <w:rPr>
                <w:sz w:val="11"/>
                <w:szCs w:val="11"/>
                <w:color w:val="auto"/>
              </w:rPr>
            </w:pPr>
          </w:p>
        </w:tc>
        <w:tc>
          <w:tcPr>
            <w:tcW w:w="1840" w:type="dxa"/>
            <w:vAlign w:val="bottom"/>
            <w:gridSpan w:val="7"/>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36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8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4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4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24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Sales</w:t>
            </w:r>
          </w:p>
        </w:tc>
        <w:tc>
          <w:tcPr>
            <w:tcW w:w="440" w:type="dxa"/>
            <w:vAlign w:val="bottom"/>
            <w:gridSpan w:val="2"/>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30,340</w:t>
            </w:r>
          </w:p>
        </w:tc>
        <w:tc>
          <w:tcPr>
            <w:tcW w:w="100" w:type="dxa"/>
            <w:vAlign w:val="bottom"/>
            <w:shd w:val="clear" w:color="auto" w:fill="CFF0FC"/>
          </w:tcPr>
          <w:p>
            <w:pPr>
              <w:spacing w:after="0"/>
              <w:rPr>
                <w:sz w:val="10"/>
                <w:szCs w:val="10"/>
                <w:color w:val="auto"/>
              </w:rPr>
            </w:pPr>
          </w:p>
        </w:tc>
        <w:tc>
          <w:tcPr>
            <w:tcW w:w="260" w:type="dxa"/>
            <w:vAlign w:val="bottom"/>
            <w:gridSpan w:val="2"/>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35,314</w:t>
            </w:r>
          </w:p>
        </w:tc>
        <w:tc>
          <w:tcPr>
            <w:tcW w:w="1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101,871</w:t>
            </w:r>
          </w:p>
        </w:tc>
        <w:tc>
          <w:tcPr>
            <w:tcW w:w="1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99,713</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Cost of sales</w:t>
            </w: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6,113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10,094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24,125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29,558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4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Gross profit</w:t>
            </w:r>
          </w:p>
        </w:tc>
        <w:tc>
          <w:tcPr>
            <w:tcW w:w="3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24,227</w:t>
            </w: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25,220</w:t>
            </w: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77,746</w:t>
            </w: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70,155</w:t>
            </w:r>
          </w:p>
        </w:tc>
        <w:tc>
          <w:tcPr>
            <w:tcW w:w="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4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Operating expenses:</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24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27,345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25,608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84,956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73,225</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Research and development</w:t>
            </w: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9,060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8,838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29,644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25,160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4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36,405</w:t>
            </w: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34,446</w:t>
            </w: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114,600</w:t>
            </w: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98,385</w:t>
            </w:r>
          </w:p>
        </w:tc>
        <w:tc>
          <w:tcPr>
            <w:tcW w:w="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4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Loss from operations</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(12,178)</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(9,226)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(36,854)</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(28,230)</w:t>
            </w:r>
          </w:p>
        </w:tc>
        <w:tc>
          <w:tcPr>
            <w:tcW w:w="0" w:type="dxa"/>
            <w:vAlign w:val="bottom"/>
          </w:tcPr>
          <w:p>
            <w:pPr>
              <w:spacing w:after="0"/>
              <w:rPr>
                <w:sz w:val="1"/>
                <w:szCs w:val="1"/>
                <w:color w:val="auto"/>
              </w:rPr>
            </w:pPr>
          </w:p>
        </w:tc>
      </w:tr>
      <w:tr>
        <w:trPr>
          <w:trHeight w:val="118"/>
        </w:trPr>
        <w:tc>
          <w:tcPr>
            <w:tcW w:w="224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income (expense), net:</w:t>
            </w: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expense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18"/>
        </w:trPr>
        <w:tc>
          <w:tcPr>
            <w:tcW w:w="2240" w:type="dxa"/>
            <w:vAlign w:val="bottom"/>
            <w:tcBorders>
              <w:bottom w:val="single" w:sz="8" w:color="CFF0FC"/>
            </w:tcBorders>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and other income</w:t>
            </w:r>
          </w:p>
        </w:tc>
        <w:tc>
          <w:tcPr>
            <w:tcW w:w="3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2,376</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2,906</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7,137</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6,767</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4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Loss before income taxes</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(9,806)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(6,325)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(29,731)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(21,479)</w:t>
            </w:r>
          </w:p>
        </w:tc>
        <w:tc>
          <w:tcPr>
            <w:tcW w:w="0" w:type="dxa"/>
            <w:vAlign w:val="bottom"/>
          </w:tcPr>
          <w:p>
            <w:pPr>
              <w:spacing w:after="0"/>
              <w:rPr>
                <w:sz w:val="1"/>
                <w:szCs w:val="1"/>
                <w:color w:val="auto"/>
              </w:rPr>
            </w:pPr>
          </w:p>
        </w:tc>
      </w:tr>
      <w:tr>
        <w:trPr>
          <w:trHeight w:val="118"/>
        </w:trPr>
        <w:tc>
          <w:tcPr>
            <w:tcW w:w="224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Income tax expense</w:t>
            </w:r>
          </w:p>
        </w:tc>
        <w:tc>
          <w:tcPr>
            <w:tcW w:w="3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61</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38</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24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loss</w:t>
            </w:r>
          </w:p>
        </w:tc>
        <w:tc>
          <w:tcPr>
            <w:tcW w:w="3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(9,816)</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(6,338)</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(29,792)</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(21,517)</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auto"/>
              </w:rPr>
              <w:t>Other comprehensive loss</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240" w:type="dxa"/>
            <w:vAlign w:val="bottom"/>
            <w:shd w:val="clear" w:color="auto" w:fill="CFF0FC"/>
          </w:tcPr>
          <w:p>
            <w:pPr>
              <w:ind w:left="280"/>
              <w:spacing w:after="0" w:line="101" w:lineRule="exact"/>
              <w:rPr>
                <w:sz w:val="20"/>
                <w:szCs w:val="20"/>
                <w:color w:val="auto"/>
              </w:rPr>
            </w:pPr>
            <w:r>
              <w:rPr>
                <w:rFonts w:ascii="Times New Roman" w:cs="Times New Roman" w:eastAsia="Times New Roman" w:hAnsi="Times New Roman"/>
                <w:sz w:val="11"/>
                <w:szCs w:val="11"/>
                <w:color w:val="auto"/>
              </w:rPr>
              <w:t>Unrealized gain (loss) on short-term</w:t>
            </w:r>
          </w:p>
        </w:tc>
        <w:tc>
          <w:tcPr>
            <w:tcW w:w="3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investments</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240" w:type="dxa"/>
            <w:vAlign w:val="bottom"/>
          </w:tcPr>
          <w:p>
            <w:pPr>
              <w:ind w:left="280"/>
              <w:spacing w:after="0" w:line="101" w:lineRule="exact"/>
              <w:rPr>
                <w:sz w:val="20"/>
                <w:szCs w:val="20"/>
                <w:color w:val="auto"/>
              </w:rPr>
            </w:pPr>
            <w:r>
              <w:rPr>
                <w:rFonts w:ascii="Times New Roman" w:cs="Times New Roman" w:eastAsia="Times New Roman" w:hAnsi="Times New Roman"/>
                <w:sz w:val="11"/>
                <w:szCs w:val="11"/>
                <w:color w:val="auto"/>
              </w:rPr>
              <w:t>Foreign currency translation (loss)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240" w:type="dxa"/>
            <w:vAlign w:val="bottom"/>
          </w:tcPr>
          <w:p>
            <w:pPr>
              <w:ind w:left="280"/>
              <w:spacing w:after="0" w:line="125" w:lineRule="exact"/>
              <w:rPr>
                <w:sz w:val="20"/>
                <w:szCs w:val="20"/>
                <w:color w:val="auto"/>
              </w:rPr>
            </w:pPr>
            <w:r>
              <w:rPr>
                <w:rFonts w:ascii="Times New Roman" w:cs="Times New Roman" w:eastAsia="Times New Roman" w:hAnsi="Times New Roman"/>
                <w:sz w:val="11"/>
                <w:szCs w:val="11"/>
                <w:color w:val="auto"/>
              </w:rPr>
              <w:t>gain</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4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Total other comprehensive loss</w:t>
            </w: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177</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639</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526</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40" w:type="dxa"/>
            <w:vAlign w:val="bottom"/>
            <w:tcBorders>
              <w:top w:val="single" w:sz="8" w:color="CFF0FC"/>
            </w:tcBorders>
          </w:tcPr>
          <w:p>
            <w:pPr>
              <w:spacing w:after="0"/>
              <w:rPr>
                <w:sz w:val="9"/>
                <w:szCs w:val="9"/>
                <w:color w:val="auto"/>
              </w:rPr>
            </w:pPr>
          </w:p>
        </w:tc>
        <w:tc>
          <w:tcPr>
            <w:tcW w:w="3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24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Comprehensive loss</w:t>
            </w:r>
          </w:p>
        </w:tc>
        <w:tc>
          <w:tcPr>
            <w:tcW w:w="3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(9,639)</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(5,699)</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(29,897)</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(20,991)</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24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Net loss per share:</w:t>
            </w: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Basic &amp; diluted</w:t>
            </w:r>
          </w:p>
        </w:tc>
        <w:tc>
          <w:tcPr>
            <w:tcW w:w="440" w:type="dxa"/>
            <w:vAlign w:val="bottom"/>
            <w:gridSpan w:val="2"/>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(0.24)</w:t>
            </w:r>
          </w:p>
        </w:tc>
        <w:tc>
          <w:tcPr>
            <w:tcW w:w="260" w:type="dxa"/>
            <w:vAlign w:val="bottom"/>
            <w:gridSpan w:val="2"/>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(0.16)</w:t>
            </w:r>
          </w:p>
        </w:tc>
        <w:tc>
          <w:tcPr>
            <w:tcW w:w="240" w:type="dxa"/>
            <w:vAlign w:val="bottom"/>
            <w:gridSpan w:val="2"/>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(0.73)</w:t>
            </w:r>
          </w:p>
        </w:tc>
        <w:tc>
          <w:tcPr>
            <w:tcW w:w="240" w:type="dxa"/>
            <w:vAlign w:val="bottom"/>
            <w:gridSpan w:val="2"/>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(0.56)</w:t>
            </w:r>
          </w:p>
        </w:tc>
        <w:tc>
          <w:tcPr>
            <w:tcW w:w="0" w:type="dxa"/>
            <w:vAlign w:val="bottom"/>
          </w:tcPr>
          <w:p>
            <w:pPr>
              <w:spacing w:after="0"/>
              <w:rPr>
                <w:sz w:val="1"/>
                <w:szCs w:val="1"/>
                <w:color w:val="auto"/>
              </w:rPr>
            </w:pPr>
          </w:p>
        </w:tc>
      </w:tr>
      <w:tr>
        <w:trPr>
          <w:trHeight w:val="101"/>
        </w:trPr>
        <w:tc>
          <w:tcPr>
            <w:tcW w:w="224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Weighted-average shares used in</w:t>
            </w:r>
          </w:p>
        </w:tc>
        <w:tc>
          <w:tcPr>
            <w:tcW w:w="3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computing net loss per share:</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24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Attributable to common stock, basic &amp;</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40,965,219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39,788,621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40,741,219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38,367,759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-2114550</wp:posOffset>
            </wp:positionV>
            <wp:extent cx="4064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-2114550</wp:posOffset>
            </wp:positionV>
            <wp:extent cx="4064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-2114550</wp:posOffset>
            </wp:positionV>
            <wp:extent cx="4064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-2114550</wp:posOffset>
            </wp:positionV>
            <wp:extent cx="4064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-1800860</wp:posOffset>
            </wp:positionV>
            <wp:extent cx="4064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-1800860</wp:posOffset>
            </wp:positionV>
            <wp:extent cx="406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-1800860</wp:posOffset>
            </wp:positionV>
            <wp:extent cx="406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-1800860</wp:posOffset>
            </wp:positionV>
            <wp:extent cx="406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-1494155</wp:posOffset>
            </wp:positionV>
            <wp:extent cx="4064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-1494155</wp:posOffset>
            </wp:positionV>
            <wp:extent cx="4064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-1494155</wp:posOffset>
            </wp:positionV>
            <wp:extent cx="4064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-1494155</wp:posOffset>
            </wp:positionV>
            <wp:extent cx="4064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-1337310</wp:posOffset>
            </wp:positionV>
            <wp:extent cx="4064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-1337310</wp:posOffset>
            </wp:positionV>
            <wp:extent cx="4064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-1337310</wp:posOffset>
            </wp:positionV>
            <wp:extent cx="4064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-1337310</wp:posOffset>
            </wp:positionV>
            <wp:extent cx="4064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-1180465</wp:posOffset>
            </wp:positionV>
            <wp:extent cx="4064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-1166495</wp:posOffset>
            </wp:positionV>
            <wp:extent cx="4064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-1180465</wp:posOffset>
            </wp:positionV>
            <wp:extent cx="4064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-1166495</wp:posOffset>
            </wp:positionV>
            <wp:extent cx="4064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-1180465</wp:posOffset>
            </wp:positionV>
            <wp:extent cx="4064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-1166495</wp:posOffset>
            </wp:positionV>
            <wp:extent cx="4064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-1180465</wp:posOffset>
            </wp:positionV>
            <wp:extent cx="4064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-1166495</wp:posOffset>
            </wp:positionV>
            <wp:extent cx="4064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-709930</wp:posOffset>
            </wp:positionV>
            <wp:extent cx="4064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-709930</wp:posOffset>
            </wp:positionV>
            <wp:extent cx="4064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-709930</wp:posOffset>
            </wp:positionV>
            <wp:extent cx="4064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-709930</wp:posOffset>
            </wp:positionV>
            <wp:extent cx="4064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-553085</wp:posOffset>
            </wp:positionV>
            <wp:extent cx="4064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-539115</wp:posOffset>
            </wp:positionV>
            <wp:extent cx="406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-553085</wp:posOffset>
            </wp:positionV>
            <wp:extent cx="4064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-539115</wp:posOffset>
            </wp:positionV>
            <wp:extent cx="4064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-553085</wp:posOffset>
            </wp:positionV>
            <wp:extent cx="4064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-539115</wp:posOffset>
            </wp:positionV>
            <wp:extent cx="406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-553085</wp:posOffset>
            </wp:positionV>
            <wp:extent cx="4064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-539115</wp:posOffset>
            </wp:positionV>
            <wp:extent cx="406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1"/>
          <w:szCs w:val="11"/>
          <w:b w:val="1"/>
          <w:bCs w:val="1"/>
          <w:color w:val="auto"/>
        </w:rPr>
        <w:t>RxSIGHT, INC.</w:t>
      </w:r>
    </w:p>
    <w:p>
      <w:pPr>
        <w:jc w:val="center"/>
        <w:spacing w:after="0" w:line="234" w:lineRule="auto"/>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654685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1"/>
          <w:szCs w:val="11"/>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6985</wp:posOffset>
            </wp:positionV>
            <wp:extent cx="461645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16450" cy="6985"/>
                    </a:xfrm>
                    <a:prstGeom prst="rect">
                      <a:avLst/>
                    </a:prstGeom>
                    <a:noFill/>
                  </pic:spPr>
                </pic:pic>
              </a:graphicData>
            </a:graphic>
          </wp:anchor>
        </w:drawing>
      </w:r>
    </w:p>
    <w:p>
      <w:pPr>
        <w:spacing w:after="0" w:line="96"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0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060" w:type="dxa"/>
            <w:vAlign w:val="bottom"/>
            <w:tcBorders>
              <w:bottom w:val="single" w:sz="8" w:color="auto"/>
            </w:tcBorders>
            <w:gridSpan w:val="2"/>
            <w:vMerge w:val="continue"/>
          </w:tcPr>
          <w:p>
            <w:pPr>
              <w:spacing w:after="0"/>
              <w:rPr>
                <w:sz w:val="14"/>
                <w:szCs w:val="14"/>
                <w:color w:val="auto"/>
              </w:rPr>
            </w:pPr>
          </w:p>
        </w:tc>
        <w:tc>
          <w:tcPr>
            <w:tcW w:w="1420" w:type="dxa"/>
            <w:vAlign w:val="bottom"/>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7"/>
              </w:rPr>
              <w:t>Additional paid-in</w:t>
            </w:r>
          </w:p>
        </w:tc>
        <w:tc>
          <w:tcPr>
            <w:tcW w:w="14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40" w:type="dxa"/>
            <w:vAlign w:val="bottom"/>
          </w:tcPr>
          <w:p>
            <w:pPr>
              <w:jc w:val="center"/>
              <w:ind w:right="56"/>
              <w:spacing w:after="0" w:line="13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20" w:type="dxa"/>
            <w:vAlign w:val="bottom"/>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6546850" cy="81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46850" cy="81915"/>
                    </a:xfrm>
                    <a:prstGeom prst="rect">
                      <a:avLst/>
                    </a:prstGeom>
                    <a:noFill/>
                  </pic:spPr>
                </pic:pic>
              </a:graphicData>
            </a:graphic>
          </wp:anchor>
        </w:drawing>
      </w:r>
    </w:p>
    <w:p>
      <w:pPr>
        <w:sectPr>
          <w:pgSz w:w="11900" w:h="16838" w:orient="portrait"/>
          <w:cols w:equalWidth="0" w:num="1">
            <w:col w:w="10320"/>
          </w:cols>
          <w:pgMar w:left="820" w:top="1151" w:right="759" w:bottom="1440" w:gutter="0" w:footer="0" w:header="0"/>
        </w:sectPr>
      </w:pPr>
    </w:p>
    <w:tbl>
      <w:tblPr>
        <w:tblLayout w:type="fixed"/>
        <w:tblInd w:w="0" w:type="dxa"/>
        <w:tblCellMar>
          <w:top w:w="0" w:type="dxa"/>
          <w:left w:w="0" w:type="dxa"/>
          <w:bottom w:w="0" w:type="dxa"/>
          <w:right w:w="0" w:type="dxa"/>
        </w:tblCellMar>
      </w:tblPr>
      <w:tr>
        <w:trPr>
          <w:trHeight w:val="96"/>
        </w:trPr>
        <w:tc>
          <w:tcPr>
            <w:tcW w:w="294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Balance at December 31, 2024</w:t>
            </w:r>
          </w:p>
        </w:tc>
        <w:tc>
          <w:tcPr>
            <w:tcW w:w="10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40,428,220</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jc w:val="right"/>
              <w:ind w:right="245"/>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40</w:t>
            </w:r>
          </w:p>
        </w:tc>
        <w:tc>
          <w:tcPr>
            <w:tcW w:w="28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210,332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1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(50,012)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94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Balance at March 31, 2025</w:t>
            </w:r>
          </w:p>
        </w:tc>
        <w:tc>
          <w:tcPr>
            <w:tcW w:w="104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color w:val="auto"/>
              </w:rPr>
              <w:t>40,588,540</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jc w:val="right"/>
              <w:ind w:right="245"/>
              <w:spacing w:after="0" w:line="92"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color w:val="auto"/>
              </w:rPr>
              <w:t>41</w:t>
            </w:r>
          </w:p>
        </w:tc>
        <w:tc>
          <w:tcPr>
            <w:tcW w:w="28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268,485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56,355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issued for the employee stock purchase plan</w:t>
            </w: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9"/>
        </w:trPr>
        <w:tc>
          <w:tcPr>
            <w:tcW w:w="29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June 30, 2025</w:t>
            </w:r>
          </w:p>
        </w:tc>
        <w:tc>
          <w:tcPr>
            <w:tcW w:w="10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40,913,380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ind w:right="245"/>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41</w:t>
            </w: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line="113"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940" w:type="dxa"/>
            <w:vAlign w:val="bottom"/>
            <w:vMerge w:val="continue"/>
          </w:tcPr>
          <w:p>
            <w:pPr>
              <w:spacing w:after="0"/>
              <w:rPr>
                <w:sz w:val="6"/>
                <w:szCs w:val="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241,943</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1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(73,773)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Unrealized gain on short-term investments</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-1755140</wp:posOffset>
            </wp:positionV>
            <wp:extent cx="6546850" cy="749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-1605280</wp:posOffset>
            </wp:positionV>
            <wp:extent cx="6546850" cy="149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4685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-1380490</wp:posOffset>
            </wp:positionV>
            <wp:extent cx="6546850" cy="749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-1223645</wp:posOffset>
            </wp:positionV>
            <wp:extent cx="6546850" cy="149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4685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-998220</wp:posOffset>
            </wp:positionV>
            <wp:extent cx="6546850" cy="74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-773430</wp:posOffset>
            </wp:positionV>
            <wp:extent cx="6546850" cy="74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-370840</wp:posOffset>
            </wp:positionV>
            <wp:extent cx="6546850" cy="749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-220980</wp:posOffset>
            </wp:positionV>
            <wp:extent cx="6546850" cy="149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4685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-616585</wp:posOffset>
            </wp:positionV>
            <wp:extent cx="6546850" cy="95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6850" cy="95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903,127</w:t>
            </w:r>
          </w:p>
        </w:tc>
        <w:tc>
          <w:tcPr>
            <w:tcW w:w="500" w:type="dxa"/>
            <w:vAlign w:val="bottom"/>
            <w:tcBorders>
              <w:top w:val="single" w:sz="8" w:color="auto"/>
            </w:tcBorders>
            <w:gridSpan w:val="2"/>
          </w:tcPr>
          <w:p>
            <w:pPr>
              <w:jc w:val="right"/>
              <w:ind w:right="41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(622,095)</w:t>
            </w:r>
          </w:p>
        </w:tc>
        <w:tc>
          <w:tcPr>
            <w:tcW w:w="200" w:type="dxa"/>
            <w:vAlign w:val="bottom"/>
          </w:tcPr>
          <w:p>
            <w:pPr>
              <w:spacing w:after="0"/>
              <w:rPr>
                <w:sz w:val="14"/>
                <w:szCs w:val="14"/>
                <w:color w:val="auto"/>
              </w:rPr>
            </w:pPr>
          </w:p>
        </w:tc>
        <w:tc>
          <w:tcPr>
            <w:tcW w:w="34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281,238</w:t>
            </w:r>
          </w:p>
        </w:tc>
        <w:tc>
          <w:tcPr>
            <w:tcW w:w="40" w:type="dxa"/>
            <w:vAlign w:val="bottom"/>
          </w:tcPr>
          <w:p>
            <w:pPr>
              <w:spacing w:after="0"/>
              <w:rPr>
                <w:sz w:val="14"/>
                <w:szCs w:val="14"/>
                <w:color w:val="auto"/>
              </w:rPr>
            </w:pPr>
          </w:p>
        </w:tc>
      </w:tr>
      <w:tr>
        <w:trPr>
          <w:trHeight w:val="165"/>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696</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40" w:type="dxa"/>
            <w:vAlign w:val="bottom"/>
          </w:tcPr>
          <w:p>
            <w:pPr>
              <w:spacing w:after="0"/>
              <w:rPr>
                <w:sz w:val="14"/>
                <w:szCs w:val="14"/>
                <w:color w:val="auto"/>
              </w:rPr>
            </w:pPr>
          </w:p>
        </w:tc>
      </w:tr>
      <w:tr>
        <w:trPr>
          <w:trHeight w:val="118"/>
        </w:trPr>
        <w:tc>
          <w:tcPr>
            <w:tcW w:w="600" w:type="dxa"/>
            <w:vAlign w:val="bottom"/>
          </w:tcPr>
          <w:p>
            <w:pPr>
              <w:jc w:val="right"/>
              <w:ind w:right="123"/>
              <w:spacing w:after="0" w:line="119" w:lineRule="exact"/>
              <w:rPr>
                <w:sz w:val="20"/>
                <w:szCs w:val="20"/>
                <w:color w:val="auto"/>
              </w:rPr>
            </w:pPr>
            <w:r>
              <w:rPr>
                <w:rFonts w:ascii="Times New Roman" w:cs="Times New Roman" w:eastAsia="Times New Roman" w:hAnsi="Times New Roman"/>
                <w:sz w:val="11"/>
                <w:szCs w:val="11"/>
                <w:color w:val="auto"/>
              </w:rPr>
              <w:t>(1,418)</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(1,418)</w:t>
            </w:r>
          </w:p>
        </w:tc>
      </w:tr>
      <w:tr>
        <w:trPr>
          <w:trHeight w:val="148"/>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7,140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7,140</w:t>
            </w:r>
          </w:p>
        </w:tc>
        <w:tc>
          <w:tcPr>
            <w:tcW w:w="40" w:type="dxa"/>
            <w:vAlign w:val="bottom"/>
          </w:tcPr>
          <w:p>
            <w:pPr>
              <w:spacing w:after="0"/>
              <w:rPr>
                <w:sz w:val="12"/>
                <w:szCs w:val="12"/>
                <w:color w:val="auto"/>
              </w:rPr>
            </w:pPr>
          </w:p>
        </w:tc>
      </w:tr>
      <w:tr>
        <w:trPr>
          <w:trHeight w:val="206"/>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w:t>
            </w:r>
          </w:p>
        </w:tc>
      </w:tr>
      <w:tr>
        <w:trPr>
          <w:trHeight w:val="118"/>
        </w:trPr>
        <w:tc>
          <w:tcPr>
            <w:tcW w:w="600" w:type="dxa"/>
            <w:vAlign w:val="bottom"/>
          </w:tcPr>
          <w:p>
            <w:pPr>
              <w:jc w:val="right"/>
              <w:ind w:right="1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0"/>
                <w:szCs w:val="10"/>
                <w:color w:val="auto"/>
              </w:rPr>
            </w:pPr>
          </w:p>
        </w:tc>
      </w:tr>
      <w:tr>
        <w:trPr>
          <w:trHeight w:val="135"/>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(8,190)</w:t>
            </w:r>
          </w:p>
        </w:tc>
        <w:tc>
          <w:tcPr>
            <w:tcW w:w="34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(8,190)</w:t>
            </w:r>
          </w:p>
        </w:tc>
      </w:tr>
      <w:tr>
        <w:trPr>
          <w:trHeight w:val="139"/>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909,545</w:t>
            </w: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(630,285)</w:t>
            </w:r>
          </w:p>
        </w:tc>
        <w:tc>
          <w:tcPr>
            <w:tcW w:w="200" w:type="dxa"/>
            <w:vAlign w:val="bottom"/>
          </w:tcPr>
          <w:p>
            <w:pPr>
              <w:spacing w:after="0"/>
              <w:rPr>
                <w:sz w:val="12"/>
                <w:szCs w:val="12"/>
                <w:color w:val="auto"/>
              </w:rPr>
            </w:pPr>
          </w:p>
        </w:tc>
        <w:tc>
          <w:tcPr>
            <w:tcW w:w="34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279,316</w:t>
            </w:r>
          </w:p>
        </w:tc>
        <w:tc>
          <w:tcPr>
            <w:tcW w:w="40" w:type="dxa"/>
            <w:vAlign w:val="bottom"/>
          </w:tcPr>
          <w:p>
            <w:pPr>
              <w:spacing w:after="0"/>
              <w:rPr>
                <w:sz w:val="12"/>
                <w:szCs w:val="12"/>
                <w:color w:val="auto"/>
              </w:rPr>
            </w:pPr>
          </w:p>
        </w:tc>
      </w:tr>
      <w:tr>
        <w:trPr>
          <w:trHeight w:val="189"/>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1,362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40" w:type="dxa"/>
            <w:vAlign w:val="bottom"/>
          </w:tcPr>
          <w:p>
            <w:pPr>
              <w:spacing w:after="0"/>
              <w:rPr>
                <w:sz w:val="16"/>
                <w:szCs w:val="16"/>
                <w:color w:val="auto"/>
              </w:rPr>
            </w:pPr>
          </w:p>
        </w:tc>
      </w:tr>
      <w:tr>
        <w:trPr>
          <w:trHeight w:val="118"/>
        </w:trPr>
        <w:tc>
          <w:tcPr>
            <w:tcW w:w="600" w:type="dxa"/>
            <w:vAlign w:val="bottom"/>
          </w:tcPr>
          <w:p>
            <w:pPr>
              <w:jc w:val="right"/>
              <w:ind w:right="163"/>
              <w:spacing w:after="0" w:line="119" w:lineRule="exact"/>
              <w:rPr>
                <w:sz w:val="20"/>
                <w:szCs w:val="20"/>
                <w:color w:val="auto"/>
              </w:rPr>
            </w:pPr>
            <w:r>
              <w:rPr>
                <w:rFonts w:ascii="Times New Roman" w:cs="Times New Roman" w:eastAsia="Times New Roman" w:hAnsi="Times New Roman"/>
                <w:sz w:val="11"/>
                <w:szCs w:val="11"/>
                <w:color w:val="auto"/>
              </w:rPr>
              <w:t>8,547</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8,547</w:t>
            </w:r>
          </w:p>
        </w:tc>
        <w:tc>
          <w:tcPr>
            <w:tcW w:w="40" w:type="dxa"/>
            <w:vAlign w:val="bottom"/>
          </w:tcPr>
          <w:p>
            <w:pPr>
              <w:spacing w:after="0"/>
              <w:rPr>
                <w:sz w:val="10"/>
                <w:szCs w:val="10"/>
                <w:color w:val="auto"/>
              </w:rPr>
            </w:pPr>
          </w:p>
        </w:tc>
      </w:tr>
      <w:tr>
        <w:trPr>
          <w:trHeight w:val="148"/>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705</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40" w:type="dxa"/>
            <w:vAlign w:val="bottom"/>
          </w:tcPr>
          <w:p>
            <w:pPr>
              <w:spacing w:after="0"/>
              <w:rPr>
                <w:sz w:val="12"/>
                <w:szCs w:val="12"/>
                <w:color w:val="auto"/>
              </w:rPr>
            </w:pPr>
          </w:p>
        </w:tc>
      </w:tr>
      <w:tr>
        <w:trPr>
          <w:trHeight w:val="206"/>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w:t>
            </w:r>
          </w:p>
        </w:tc>
      </w:tr>
      <w:tr>
        <w:trPr>
          <w:trHeight w:val="118"/>
        </w:trPr>
        <w:tc>
          <w:tcPr>
            <w:tcW w:w="600" w:type="dxa"/>
            <w:vAlign w:val="bottom"/>
          </w:tcPr>
          <w:p>
            <w:pPr>
              <w:jc w:val="right"/>
              <w:ind w:right="1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40" w:type="dxa"/>
            <w:vAlign w:val="bottom"/>
          </w:tcPr>
          <w:p>
            <w:pPr>
              <w:spacing w:after="0"/>
              <w:rPr>
                <w:sz w:val="10"/>
                <w:szCs w:val="10"/>
                <w:color w:val="auto"/>
              </w:rPr>
            </w:pPr>
          </w:p>
        </w:tc>
      </w:tr>
      <w:tr>
        <w:trPr>
          <w:trHeight w:val="135"/>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(11,786)</w:t>
            </w:r>
          </w:p>
        </w:tc>
        <w:tc>
          <w:tcPr>
            <w:tcW w:w="34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(11,786)</w:t>
            </w:r>
          </w:p>
        </w:tc>
      </w:tr>
      <w:tr>
        <w:trPr>
          <w:trHeight w:val="109"/>
        </w:trPr>
        <w:tc>
          <w:tcPr>
            <w:tcW w:w="600" w:type="dxa"/>
            <w:vAlign w:val="bottom"/>
          </w:tcPr>
          <w:p>
            <w:pPr>
              <w:jc w:val="right"/>
              <w:ind w:right="163"/>
              <w:spacing w:after="0" w:line="109" w:lineRule="exact"/>
              <w:rPr>
                <w:sz w:val="20"/>
                <w:szCs w:val="20"/>
                <w:color w:val="auto"/>
              </w:rPr>
            </w:pPr>
            <w:r>
              <w:rPr>
                <w:rFonts w:ascii="Times New Roman" w:cs="Times New Roman" w:eastAsia="Times New Roman" w:hAnsi="Times New Roman"/>
                <w:sz w:val="11"/>
                <w:szCs w:val="11"/>
                <w:color w:val="auto"/>
              </w:rPr>
              <w:t>920,159</w:t>
            </w:r>
          </w:p>
        </w:tc>
        <w:tc>
          <w:tcPr>
            <w:tcW w:w="2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(117)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ind w:right="26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(642,071)</w:t>
            </w:r>
          </w:p>
        </w:tc>
        <w:tc>
          <w:tcPr>
            <w:tcW w:w="20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ind w:right="2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278,012</w:t>
            </w:r>
          </w:p>
        </w:tc>
        <w:tc>
          <w:tcPr>
            <w:tcW w:w="4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1"/>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131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40" w:type="dxa"/>
            <w:vAlign w:val="bottom"/>
          </w:tcPr>
          <w:p>
            <w:pPr>
              <w:spacing w:after="0"/>
              <w:rPr>
                <w:sz w:val="16"/>
                <w:szCs w:val="16"/>
                <w:color w:val="auto"/>
              </w:rPr>
            </w:pPr>
          </w:p>
        </w:tc>
      </w:tr>
      <w:tr>
        <w:trPr>
          <w:trHeight w:val="118"/>
        </w:trPr>
        <w:tc>
          <w:tcPr>
            <w:tcW w:w="600" w:type="dxa"/>
            <w:vAlign w:val="bottom"/>
          </w:tcPr>
          <w:p>
            <w:pPr>
              <w:jc w:val="right"/>
              <w:ind w:right="123"/>
              <w:spacing w:after="0" w:line="119" w:lineRule="exact"/>
              <w:rPr>
                <w:sz w:val="20"/>
                <w:szCs w:val="20"/>
                <w:color w:val="auto"/>
              </w:rPr>
            </w:pPr>
            <w:r>
              <w:rPr>
                <w:rFonts w:ascii="Times New Roman" w:cs="Times New Roman" w:eastAsia="Times New Roman" w:hAnsi="Times New Roman"/>
                <w:sz w:val="11"/>
                <w:szCs w:val="11"/>
                <w:color w:val="auto"/>
              </w:rPr>
              <w:t>(642)</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(642)</w:t>
            </w:r>
          </w:p>
        </w:tc>
      </w:tr>
      <w:tr>
        <w:trPr>
          <w:trHeight w:val="148"/>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8,108</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8,108</w:t>
            </w:r>
          </w:p>
        </w:tc>
        <w:tc>
          <w:tcPr>
            <w:tcW w:w="40" w:type="dxa"/>
            <w:vAlign w:val="bottom"/>
          </w:tcPr>
          <w:p>
            <w:pPr>
              <w:spacing w:after="0"/>
              <w:rPr>
                <w:sz w:val="12"/>
                <w:szCs w:val="12"/>
                <w:color w:val="auto"/>
              </w:rPr>
            </w:pPr>
          </w:p>
        </w:tc>
      </w:tr>
      <w:tr>
        <w:trPr>
          <w:trHeight w:val="206"/>
        </w:trPr>
        <w:tc>
          <w:tcPr>
            <w:tcW w:w="6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40" w:type="dxa"/>
            <w:vAlign w:val="bottom"/>
          </w:tcPr>
          <w:p>
            <w:pPr>
              <w:spacing w:after="0"/>
              <w:rPr>
                <w:sz w:val="17"/>
                <w:szCs w:val="17"/>
                <w:color w:val="auto"/>
              </w:rPr>
            </w:pPr>
          </w:p>
        </w:tc>
      </w:tr>
      <w:tr>
        <w:trPr>
          <w:trHeight w:val="130"/>
        </w:trPr>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-1305560</wp:posOffset>
            </wp:positionV>
            <wp:extent cx="6889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8975" cy="698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-623570</wp:posOffset>
            </wp:positionV>
            <wp:extent cx="68897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8975"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80" w:space="640"/>
            <w:col w:w="4400"/>
          </w:cols>
          <w:pgMar w:left="820" w:top="1151" w:right="7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9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1"/>
                <w:szCs w:val="11"/>
                <w:color w:val="auto"/>
              </w:rPr>
              <w:t>Net loss</w:t>
            </w:r>
          </w:p>
        </w:tc>
        <w:tc>
          <w:tcPr>
            <w:tcW w:w="10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440" w:type="dxa"/>
            <w:vAlign w:val="bottom"/>
            <w:shd w:val="clear" w:color="auto" w:fill="CFF0FC"/>
          </w:tcPr>
          <w:p>
            <w:pPr>
              <w:ind w:left="32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20" w:type="dxa"/>
            <w:vAlign w:val="bottom"/>
            <w:shd w:val="clear" w:color="auto" w:fill="CFF0FC"/>
          </w:tcPr>
          <w:p>
            <w:pPr>
              <w:ind w:left="50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60"/>
              <w:spacing w:after="0" w:line="124" w:lineRule="exact"/>
              <w:rPr>
                <w:sz w:val="20"/>
                <w:szCs w:val="20"/>
                <w:color w:val="auto"/>
              </w:rPr>
            </w:pPr>
            <w:r>
              <w:rPr>
                <w:rFonts w:ascii="Times New Roman" w:cs="Times New Roman" w:eastAsia="Times New Roman" w:hAnsi="Times New Roman"/>
                <w:sz w:val="11"/>
                <w:szCs w:val="11"/>
                <w:color w:val="auto"/>
              </w:rPr>
              <w:t>(9,816)</w:t>
            </w:r>
          </w:p>
        </w:tc>
        <w:tc>
          <w:tcPr>
            <w:tcW w:w="34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60"/>
              <w:spacing w:after="0" w:line="124" w:lineRule="exact"/>
              <w:rPr>
                <w:sz w:val="20"/>
                <w:szCs w:val="20"/>
                <w:color w:val="auto"/>
              </w:rPr>
            </w:pPr>
            <w:r>
              <w:rPr>
                <w:rFonts w:ascii="Times New Roman" w:cs="Times New Roman" w:eastAsia="Times New Roman" w:hAnsi="Times New Roman"/>
                <w:sz w:val="11"/>
                <w:szCs w:val="11"/>
                <w:color w:val="auto"/>
              </w:rPr>
              <w:t>(9,816)</w:t>
            </w:r>
          </w:p>
        </w:tc>
      </w:tr>
      <w:tr>
        <w:trPr>
          <w:trHeight w:val="109"/>
        </w:trPr>
        <w:tc>
          <w:tcPr>
            <w:tcW w:w="2940" w:type="dxa"/>
            <w:vAlign w:val="bottom"/>
            <w:tcBorders>
              <w:top w:val="single" w:sz="8" w:color="CFF0FC"/>
              <w:bottom w:val="single" w:sz="8" w:color="CFF0FC"/>
            </w:tcBorders>
          </w:tcPr>
          <w:p>
            <w:pPr>
              <w:spacing w:after="0" w:line="109" w:lineRule="exact"/>
              <w:rPr>
                <w:sz w:val="20"/>
                <w:szCs w:val="20"/>
                <w:color w:val="auto"/>
              </w:rPr>
            </w:pPr>
            <w:r>
              <w:rPr>
                <w:rFonts w:ascii="Times New Roman" w:cs="Times New Roman" w:eastAsia="Times New Roman" w:hAnsi="Times New Roman"/>
                <w:sz w:val="11"/>
                <w:szCs w:val="11"/>
                <w:color w:val="auto"/>
              </w:rPr>
              <w:t>Balance at September 30, 2025</w:t>
            </w:r>
          </w:p>
        </w:tc>
        <w:tc>
          <w:tcPr>
            <w:tcW w:w="10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41,081,550</w:t>
            </w:r>
          </w:p>
        </w:tc>
        <w:tc>
          <w:tcPr>
            <w:tcW w:w="220" w:type="dxa"/>
            <w:vAlign w:val="bottom"/>
            <w:tcBorders>
              <w:top w:val="single" w:sz="8" w:color="CFF0FC"/>
              <w:bottom w:val="single" w:sz="8" w:color="CFF0FC"/>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2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ind w:left="320"/>
              <w:spacing w:after="0" w:line="99" w:lineRule="exact"/>
              <w:rPr>
                <w:sz w:val="20"/>
                <w:szCs w:val="20"/>
                <w:color w:val="auto"/>
              </w:rPr>
            </w:pPr>
            <w:r>
              <w:rPr>
                <w:rFonts w:ascii="Times New Roman" w:cs="Times New Roman" w:eastAsia="Times New Roman" w:hAnsi="Times New Roman"/>
                <w:sz w:val="11"/>
                <w:szCs w:val="11"/>
                <w:color w:val="auto"/>
                <w:w w:val="90"/>
              </w:rPr>
              <w:t>41</w:t>
            </w:r>
          </w:p>
        </w:tc>
        <w:tc>
          <w:tcPr>
            <w:tcW w:w="220" w:type="dxa"/>
            <w:vAlign w:val="bottom"/>
            <w:tcBorders>
              <w:top w:val="single" w:sz="8" w:color="CFF0FC"/>
              <w:bottom w:val="single" w:sz="8" w:color="CFF0FC"/>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2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927,756</w:t>
            </w:r>
          </w:p>
        </w:tc>
        <w:tc>
          <w:tcPr>
            <w:tcW w:w="220" w:type="dxa"/>
            <w:vAlign w:val="bottom"/>
            <w:tcBorders>
              <w:top w:val="single" w:sz="8" w:color="CFF0FC"/>
              <w:bottom w:val="single" w:sz="8" w:color="CFF0FC"/>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4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ind w:left="500"/>
              <w:spacing w:after="0" w:line="99" w:lineRule="exact"/>
              <w:rPr>
                <w:sz w:val="20"/>
                <w:szCs w:val="20"/>
                <w:color w:val="auto"/>
              </w:rPr>
            </w:pPr>
            <w:r>
              <w:rPr>
                <w:rFonts w:ascii="Times New Roman" w:cs="Times New Roman" w:eastAsia="Times New Roman" w:hAnsi="Times New Roman"/>
                <w:sz w:val="11"/>
                <w:szCs w:val="11"/>
                <w:color w:val="auto"/>
                <w:w w:val="90"/>
              </w:rPr>
              <w:t>60</w:t>
            </w:r>
          </w:p>
        </w:tc>
        <w:tc>
          <w:tcPr>
            <w:tcW w:w="200" w:type="dxa"/>
            <w:vAlign w:val="bottom"/>
            <w:tcBorders>
              <w:top w:val="single" w:sz="8" w:color="CFF0FC"/>
              <w:bottom w:val="single" w:sz="8" w:color="CFF0FC"/>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2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(651,887)</w:t>
            </w:r>
          </w:p>
        </w:tc>
        <w:tc>
          <w:tcPr>
            <w:tcW w:w="200" w:type="dxa"/>
            <w:vAlign w:val="bottom"/>
            <w:tcBorders>
              <w:top w:val="single" w:sz="8" w:color="CFF0FC"/>
              <w:bottom w:val="single" w:sz="8" w:color="CFF0FC"/>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2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275,970</w:t>
            </w:r>
          </w:p>
        </w:tc>
        <w:tc>
          <w:tcPr>
            <w:tcW w:w="100" w:type="dxa"/>
            <w:vAlign w:val="bottom"/>
            <w:tcBorders>
              <w:top w:val="single" w:sz="8" w:color="CFF0FC"/>
            </w:tcBorders>
          </w:tcPr>
          <w:p>
            <w:pPr>
              <w:spacing w:after="0"/>
              <w:rPr>
                <w:sz w:val="9"/>
                <w:szCs w:val="9"/>
                <w:color w:val="auto"/>
              </w:rPr>
            </w:pPr>
          </w:p>
        </w:tc>
      </w:tr>
      <w:tr>
        <w:trPr>
          <w:trHeight w:val="20"/>
        </w:trPr>
        <w:tc>
          <w:tcPr>
            <w:tcW w:w="2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-101600</wp:posOffset>
            </wp:positionV>
            <wp:extent cx="6794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-101600</wp:posOffset>
            </wp:positionV>
            <wp:extent cx="6794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-101600</wp:posOffset>
            </wp:positionV>
            <wp:extent cx="6794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-101600</wp:posOffset>
            </wp:positionV>
            <wp:extent cx="6159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-101600</wp:posOffset>
            </wp:positionV>
            <wp:extent cx="615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-101600</wp:posOffset>
            </wp:positionV>
            <wp:extent cx="6159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412750</wp:posOffset>
            </wp:positionV>
            <wp:extent cx="722249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2490"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654685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ectPr>
          <w:pgSz w:w="11900" w:h="16838" w:orient="portrait"/>
          <w:cols w:equalWidth="0" w:num="1">
            <w:col w:w="10320"/>
          </w:cols>
          <w:pgMar w:left="820" w:top="1151" w:right="75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RxSIGHT, INC.</w:t>
      </w:r>
    </w:p>
    <w:p>
      <w:pPr>
        <w:jc w:val="center"/>
        <w:ind w:right="-19"/>
        <w:spacing w:after="0" w:line="234" w:lineRule="auto"/>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jc w:val="center"/>
        <w:ind w:right="-59"/>
        <w:spacing w:after="0" w:line="224" w:lineRule="auto"/>
        <w:rPr>
          <w:sz w:val="20"/>
          <w:szCs w:val="20"/>
          <w:color w:val="auto"/>
        </w:rPr>
      </w:pPr>
      <w:r>
        <w:rPr>
          <w:rFonts w:ascii="Times New Roman" w:cs="Times New Roman" w:eastAsia="Times New Roman" w:hAnsi="Times New Roman"/>
          <w:sz w:val="11"/>
          <w:szCs w:val="11"/>
          <w:b w:val="1"/>
          <w:bCs w:val="1"/>
          <w:color w:val="auto"/>
        </w:rPr>
        <w:t>(UNAUDITED)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654685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1"/>
          <w:szCs w:val="11"/>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6985</wp:posOffset>
            </wp:positionV>
            <wp:extent cx="461645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16450" cy="6985"/>
                    </a:xfrm>
                    <a:prstGeom prst="rect">
                      <a:avLst/>
                    </a:prstGeom>
                    <a:noFill/>
                  </pic:spPr>
                </pic:pic>
              </a:graphicData>
            </a:graphic>
          </wp:anchor>
        </w:drawing>
      </w:r>
    </w:p>
    <w:p>
      <w:pPr>
        <w:spacing w:after="0" w:line="96"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060" w:type="dxa"/>
            <w:vAlign w:val="bottom"/>
            <w:vMerge w:val="restart"/>
          </w:tcPr>
          <w:p>
            <w:pPr>
              <w:ind w:left="6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060" w:type="dxa"/>
            <w:vAlign w:val="bottom"/>
            <w:tcBorders>
              <w:bottom w:val="single" w:sz="8" w:color="auto"/>
            </w:tcBorders>
            <w:vMerge w:val="continue"/>
          </w:tcPr>
          <w:p>
            <w:pPr>
              <w:spacing w:after="0"/>
              <w:rPr>
                <w:sz w:val="14"/>
                <w:szCs w:val="14"/>
                <w:color w:val="auto"/>
              </w:rPr>
            </w:pPr>
          </w:p>
        </w:tc>
        <w:tc>
          <w:tcPr>
            <w:tcW w:w="142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4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12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60"/>
          </w:cols>
          <w:pgMar w:left="820" w:top="1151" w:right="819" w:bottom="1440" w:gutter="0" w:footer="0" w:header="0"/>
        </w:sectPr>
      </w:pPr>
    </w:p>
    <w:tbl>
      <w:tblPr>
        <w:tblLayout w:type="fixed"/>
        <w:tblInd w:w="0" w:type="dxa"/>
        <w:tblCellMar>
          <w:top w:w="0" w:type="dxa"/>
          <w:left w:w="0" w:type="dxa"/>
          <w:bottom w:w="0" w:type="dxa"/>
          <w:right w:w="0" w:type="dxa"/>
        </w:tblCellMar>
      </w:tblPr>
      <w:tr>
        <w:trPr>
          <w:trHeight w:val="164"/>
        </w:trPr>
        <w:tc>
          <w:tcPr>
            <w:tcW w:w="29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2"/>
        </w:trPr>
        <w:tc>
          <w:tcPr>
            <w:tcW w:w="2940" w:type="dxa"/>
            <w:vAlign w:val="bottom"/>
            <w:vMerge w:val="continue"/>
          </w:tcPr>
          <w:p>
            <w:pPr>
              <w:spacing w:after="0"/>
              <w:rPr>
                <w:sz w:val="7"/>
                <w:szCs w:val="7"/>
                <w:color w:val="auto"/>
              </w:rPr>
            </w:pPr>
          </w:p>
        </w:tc>
        <w:tc>
          <w:tcPr>
            <w:tcW w:w="104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color w:val="auto"/>
              </w:rPr>
              <w:t>36,139,513</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jc w:val="right"/>
              <w:ind w:right="6"/>
              <w:spacing w:after="0" w:line="92"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color w:val="auto"/>
              </w:rPr>
              <w:t>36</w:t>
            </w: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1,061,336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1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(39,096)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94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Balance at March 31, 2024</w:t>
            </w:r>
          </w:p>
        </w:tc>
        <w:tc>
          <w:tcPr>
            <w:tcW w:w="104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color w:val="auto"/>
              </w:rPr>
              <w:t>37,161,753</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jc w:val="right"/>
              <w:ind w:right="6"/>
              <w:spacing w:after="0" w:line="92"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color w:val="auto"/>
              </w:rPr>
              <w:t>37</w:t>
            </w:r>
          </w:p>
        </w:tc>
        <w:tc>
          <w:tcPr>
            <w:tcW w:w="28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363,105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issued for the employee stock purchase plan</w:t>
            </w: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38,905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for at-the-market offerings,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2,053,571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of issuance costs</w:t>
            </w: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9"/>
        </w:trPr>
        <w:tc>
          <w:tcPr>
            <w:tcW w:w="29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June 30, 2024</w:t>
            </w:r>
          </w:p>
        </w:tc>
        <w:tc>
          <w:tcPr>
            <w:tcW w:w="10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39,617,334</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6"/>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40</w:t>
            </w: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line="113"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940" w:type="dxa"/>
            <w:vAlign w:val="bottom"/>
            <w:vMerge w:val="continue"/>
          </w:tcPr>
          <w:p>
            <w:pPr>
              <w:spacing w:after="0"/>
              <w:rPr>
                <w:sz w:val="6"/>
                <w:szCs w:val="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683,489</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1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(46,718)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Unrealized gain on short-term investments</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9"/>
        </w:trPr>
        <w:tc>
          <w:tcPr>
            <w:tcW w:w="29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September 30, 2024</w:t>
            </w:r>
          </w:p>
        </w:tc>
        <w:tc>
          <w:tcPr>
            <w:tcW w:w="10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40,254,105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6"/>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40</w:t>
            </w: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-2311400</wp:posOffset>
            </wp:positionV>
            <wp:extent cx="6546850" cy="749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-2085975</wp:posOffset>
            </wp:positionV>
            <wp:extent cx="6546850" cy="74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-1936115</wp:posOffset>
            </wp:positionV>
            <wp:extent cx="6546850" cy="149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4685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-1711325</wp:posOffset>
            </wp:positionV>
            <wp:extent cx="6546850" cy="74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-1554480</wp:posOffset>
            </wp:positionV>
            <wp:extent cx="6546850" cy="149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4685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-1329055</wp:posOffset>
            </wp:positionV>
            <wp:extent cx="6546850" cy="749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-1104265</wp:posOffset>
            </wp:positionV>
            <wp:extent cx="6546850" cy="149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4685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-701675</wp:posOffset>
            </wp:positionV>
            <wp:extent cx="6546850" cy="149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4685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-476885</wp:posOffset>
            </wp:positionV>
            <wp:extent cx="6546850" cy="749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-251460</wp:posOffset>
            </wp:positionV>
            <wp:extent cx="6546850" cy="749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-878840</wp:posOffset>
            </wp:positionV>
            <wp:extent cx="6546850" cy="81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46850" cy="819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-101600</wp:posOffset>
            </wp:positionV>
            <wp:extent cx="6546850" cy="102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46850" cy="102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940" w:type="dxa"/>
            <w:vAlign w:val="bottom"/>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w w:val="90"/>
              </w:rPr>
              <w:t>capital</w:t>
            </w:r>
          </w:p>
        </w:tc>
        <w:tc>
          <w:tcPr>
            <w:tcW w:w="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754,971</w:t>
            </w:r>
          </w:p>
        </w:tc>
        <w:tc>
          <w:tcPr>
            <w:tcW w:w="20" w:type="dxa"/>
            <w:vAlign w:val="bottom"/>
          </w:tcPr>
          <w:p>
            <w:pPr>
              <w:spacing w:after="0"/>
              <w:rPr>
                <w:sz w:val="12"/>
                <w:szCs w:val="12"/>
                <w:color w:val="auto"/>
              </w:rPr>
            </w:pPr>
          </w:p>
        </w:tc>
        <w:tc>
          <w:tcPr>
            <w:tcW w:w="920" w:type="dxa"/>
            <w:vAlign w:val="bottom"/>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(594,640)</w:t>
            </w:r>
          </w:p>
        </w:tc>
        <w:tc>
          <w:tcPr>
            <w:tcW w:w="20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160,362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10,152</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940" w:type="dxa"/>
            <w:vAlign w:val="bottom"/>
          </w:tcPr>
          <w:p>
            <w:pPr>
              <w:jc w:val="right"/>
              <w:ind w:right="122"/>
              <w:spacing w:after="0" w:line="119" w:lineRule="exact"/>
              <w:rPr>
                <w:sz w:val="20"/>
                <w:szCs w:val="20"/>
                <w:color w:val="auto"/>
              </w:rPr>
            </w:pPr>
            <w:r>
              <w:rPr>
                <w:rFonts w:ascii="Times New Roman" w:cs="Times New Roman" w:eastAsia="Times New Roman" w:hAnsi="Times New Roman"/>
                <w:sz w:val="11"/>
                <w:szCs w:val="11"/>
                <w:color w:val="auto"/>
              </w:rPr>
              <w:t>(2,134)</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(2,134)</w:t>
            </w:r>
          </w:p>
        </w:tc>
        <w:tc>
          <w:tcPr>
            <w:tcW w:w="0" w:type="dxa"/>
            <w:vAlign w:val="bottom"/>
          </w:tcPr>
          <w:p>
            <w:pPr>
              <w:spacing w:after="0"/>
              <w:rPr>
                <w:sz w:val="1"/>
                <w:szCs w:val="1"/>
                <w:color w:val="auto"/>
              </w:rPr>
            </w:pPr>
          </w:p>
        </w:tc>
      </w:tr>
      <w:tr>
        <w:trPr>
          <w:trHeight w:val="148"/>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4,696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18"/>
        </w:trPr>
        <w:tc>
          <w:tcPr>
            <w:tcW w:w="940" w:type="dxa"/>
            <w:vAlign w:val="bottom"/>
          </w:tcPr>
          <w:p>
            <w:pPr>
              <w:jc w:val="right"/>
              <w:ind w:right="162"/>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5"/>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(9,100)</w:t>
            </w:r>
          </w:p>
        </w:tc>
        <w:tc>
          <w:tcPr>
            <w:tcW w:w="18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(9,100)</w:t>
            </w:r>
          </w:p>
        </w:tc>
        <w:tc>
          <w:tcPr>
            <w:tcW w:w="0" w:type="dxa"/>
            <w:vAlign w:val="bottom"/>
          </w:tcPr>
          <w:p>
            <w:pPr>
              <w:spacing w:after="0"/>
              <w:rPr>
                <w:sz w:val="1"/>
                <w:szCs w:val="1"/>
                <w:color w:val="auto"/>
              </w:rPr>
            </w:pPr>
          </w:p>
        </w:tc>
      </w:tr>
      <w:tr>
        <w:trPr>
          <w:trHeight w:val="139"/>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767,685</w:t>
            </w:r>
          </w:p>
        </w:tc>
        <w:tc>
          <w:tcPr>
            <w:tcW w:w="20" w:type="dxa"/>
            <w:vAlign w:val="bottom"/>
          </w:tcPr>
          <w:p>
            <w:pPr>
              <w:spacing w:after="0"/>
              <w:rPr>
                <w:sz w:val="12"/>
                <w:szCs w:val="12"/>
                <w:color w:val="auto"/>
              </w:rPr>
            </w:pPr>
          </w:p>
        </w:tc>
        <w:tc>
          <w:tcPr>
            <w:tcW w:w="920" w:type="dxa"/>
            <w:vAlign w:val="bottom"/>
            <w:tcBorders>
              <w:top w:val="single" w:sz="8" w:color="auto"/>
            </w:tcBorders>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(603,740)</w:t>
            </w:r>
          </w:p>
        </w:tc>
        <w:tc>
          <w:tcPr>
            <w:tcW w:w="200" w:type="dxa"/>
            <w:vAlign w:val="bottom"/>
          </w:tcPr>
          <w:p>
            <w:pPr>
              <w:spacing w:after="0"/>
              <w:rPr>
                <w:sz w:val="12"/>
                <w:szCs w:val="12"/>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163,929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3,102</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940" w:type="dxa"/>
            <w:vAlign w:val="bottom"/>
          </w:tcPr>
          <w:p>
            <w:pPr>
              <w:jc w:val="right"/>
              <w:ind w:right="162"/>
              <w:spacing w:after="0" w:line="119" w:lineRule="exact"/>
              <w:rPr>
                <w:sz w:val="20"/>
                <w:szCs w:val="20"/>
                <w:color w:val="auto"/>
              </w:rPr>
            </w:pPr>
            <w:r>
              <w:rPr>
                <w:rFonts w:ascii="Times New Roman" w:cs="Times New Roman" w:eastAsia="Times New Roman" w:hAnsi="Times New Roman"/>
                <w:sz w:val="11"/>
                <w:szCs w:val="11"/>
                <w:color w:val="auto"/>
              </w:rPr>
              <w:t>6,105</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6,105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737</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107,475</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107,477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18"/>
        </w:trPr>
        <w:tc>
          <w:tcPr>
            <w:tcW w:w="940" w:type="dxa"/>
            <w:vAlign w:val="bottom"/>
          </w:tcPr>
          <w:p>
            <w:pPr>
              <w:jc w:val="right"/>
              <w:ind w:right="162"/>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5"/>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(6,079)</w:t>
            </w:r>
          </w:p>
        </w:tc>
        <w:tc>
          <w:tcPr>
            <w:tcW w:w="18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(6,079)</w:t>
            </w:r>
          </w:p>
        </w:tc>
        <w:tc>
          <w:tcPr>
            <w:tcW w:w="0" w:type="dxa"/>
            <w:vAlign w:val="bottom"/>
          </w:tcPr>
          <w:p>
            <w:pPr>
              <w:spacing w:after="0"/>
              <w:rPr>
                <w:sz w:val="1"/>
                <w:szCs w:val="1"/>
                <w:color w:val="auto"/>
              </w:rPr>
            </w:pPr>
          </w:p>
        </w:tc>
      </w:tr>
      <w:tr>
        <w:trPr>
          <w:trHeight w:val="109"/>
        </w:trPr>
        <w:tc>
          <w:tcPr>
            <w:tcW w:w="940" w:type="dxa"/>
            <w:vAlign w:val="bottom"/>
          </w:tcPr>
          <w:p>
            <w:pPr>
              <w:jc w:val="right"/>
              <w:ind w:right="162"/>
              <w:spacing w:after="0" w:line="109" w:lineRule="exact"/>
              <w:rPr>
                <w:sz w:val="20"/>
                <w:szCs w:val="20"/>
                <w:color w:val="auto"/>
              </w:rPr>
            </w:pPr>
            <w:r>
              <w:rPr>
                <w:rFonts w:ascii="Times New Roman" w:cs="Times New Roman" w:eastAsia="Times New Roman" w:hAnsi="Times New Roman"/>
                <w:sz w:val="11"/>
                <w:szCs w:val="11"/>
                <w:color w:val="auto"/>
              </w:rPr>
              <w:t>885,104</w:t>
            </w:r>
          </w:p>
        </w:tc>
        <w:tc>
          <w:tcPr>
            <w:tcW w:w="20" w:type="dxa"/>
            <w:vAlign w:val="bottom"/>
          </w:tcPr>
          <w:p>
            <w:pPr>
              <w:spacing w:after="0"/>
              <w:rPr>
                <w:sz w:val="9"/>
                <w:szCs w:val="9"/>
                <w:color w:val="auto"/>
              </w:rPr>
            </w:pPr>
          </w:p>
        </w:tc>
        <w:tc>
          <w:tcPr>
            <w:tcW w:w="92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w w:val="83"/>
              </w:rPr>
              <w:t>(118)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bottom w:val="single" w:sz="8" w:color="auto"/>
            </w:tcBorders>
          </w:tcPr>
          <w:p>
            <w:pPr>
              <w:jc w:val="right"/>
              <w:ind w:right="10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(609,819)</w:t>
            </w:r>
          </w:p>
        </w:tc>
        <w:tc>
          <w:tcPr>
            <w:tcW w:w="20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6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275,207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3,835</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940" w:type="dxa"/>
            <w:vAlign w:val="bottom"/>
          </w:tcPr>
          <w:p>
            <w:pPr>
              <w:jc w:val="right"/>
              <w:ind w:right="122"/>
              <w:spacing w:after="0" w:line="119" w:lineRule="exact"/>
              <w:rPr>
                <w:sz w:val="20"/>
                <w:szCs w:val="20"/>
                <w:color w:val="auto"/>
              </w:rPr>
            </w:pPr>
            <w:r>
              <w:rPr>
                <w:rFonts w:ascii="Times New Roman" w:cs="Times New Roman" w:eastAsia="Times New Roman" w:hAnsi="Times New Roman"/>
                <w:sz w:val="11"/>
                <w:szCs w:val="11"/>
                <w:color w:val="auto"/>
              </w:rPr>
              <w:t>(2,634)</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(2,634)</w:t>
            </w:r>
          </w:p>
        </w:tc>
        <w:tc>
          <w:tcPr>
            <w:tcW w:w="0" w:type="dxa"/>
            <w:vAlign w:val="bottom"/>
          </w:tcPr>
          <w:p>
            <w:pPr>
              <w:spacing w:after="0"/>
              <w:rPr>
                <w:sz w:val="1"/>
                <w:szCs w:val="1"/>
                <w:color w:val="auto"/>
              </w:rPr>
            </w:pPr>
          </w:p>
        </w:tc>
      </w:tr>
      <w:tr>
        <w:trPr>
          <w:trHeight w:val="148"/>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6,552</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940" w:type="dxa"/>
            <w:vAlign w:val="bottom"/>
          </w:tcPr>
          <w:p>
            <w:pPr>
              <w:jc w:val="right"/>
              <w:ind w:right="162"/>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(6,338)</w:t>
            </w:r>
          </w:p>
        </w:tc>
        <w:tc>
          <w:tcPr>
            <w:tcW w:w="18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0" w:type="dxa"/>
            <w:vAlign w:val="bottom"/>
          </w:tcPr>
          <w:p>
            <w:pPr>
              <w:spacing w:after="0"/>
              <w:rPr>
                <w:sz w:val="1"/>
                <w:szCs w:val="1"/>
                <w:color w:val="auto"/>
              </w:rPr>
            </w:pPr>
          </w:p>
        </w:tc>
      </w:tr>
      <w:tr>
        <w:trPr>
          <w:trHeight w:val="109"/>
        </w:trPr>
        <w:tc>
          <w:tcPr>
            <w:tcW w:w="940" w:type="dxa"/>
            <w:vAlign w:val="bottom"/>
          </w:tcPr>
          <w:p>
            <w:pPr>
              <w:jc w:val="right"/>
              <w:ind w:right="162"/>
              <w:spacing w:after="0" w:line="109" w:lineRule="exact"/>
              <w:rPr>
                <w:sz w:val="20"/>
                <w:szCs w:val="20"/>
                <w:color w:val="auto"/>
              </w:rPr>
            </w:pPr>
            <w:r>
              <w:rPr>
                <w:rFonts w:ascii="Times New Roman" w:cs="Times New Roman" w:eastAsia="Times New Roman" w:hAnsi="Times New Roman"/>
                <w:sz w:val="11"/>
                <w:szCs w:val="11"/>
                <w:color w:val="auto"/>
              </w:rPr>
              <w:t>892,857</w:t>
            </w:r>
          </w:p>
        </w:tc>
        <w:tc>
          <w:tcPr>
            <w:tcW w:w="20" w:type="dxa"/>
            <w:vAlign w:val="bottom"/>
            <w:tcBorders>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521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bottom w:val="single" w:sz="8" w:color="auto"/>
            </w:tcBorders>
          </w:tcPr>
          <w:p>
            <w:pPr>
              <w:jc w:val="right"/>
              <w:ind w:right="10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(616,157)</w:t>
            </w:r>
          </w:p>
        </w:tc>
        <w:tc>
          <w:tcPr>
            <w:tcW w:w="20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6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277,261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-2317750</wp:posOffset>
            </wp:positionV>
            <wp:extent cx="6889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8975" cy="698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-1635760</wp:posOffset>
            </wp:positionV>
            <wp:extent cx="68897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8975" cy="698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-721995</wp:posOffset>
            </wp:positionV>
            <wp:extent cx="6889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8975" cy="698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-708660</wp:posOffset>
            </wp:positionV>
            <wp:extent cx="6889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8975" cy="698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5280" w:space="300"/>
            <w:col w:w="4680"/>
          </w:cols>
          <w:pgMar w:left="820" w:top="1151" w:right="8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412750</wp:posOffset>
            </wp:positionV>
            <wp:extent cx="722249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2490"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654685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ectPr>
          <w:pgSz w:w="11900" w:h="16838" w:orient="portrait"/>
          <w:cols w:equalWidth="0" w:num="1">
            <w:col w:w="10260"/>
          </w:cols>
          <w:pgMar w:left="820" w:top="1151" w:right="819" w:bottom="144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ind w:left="4000"/>
        <w:spacing w:after="0"/>
        <w:rPr>
          <w:sz w:val="20"/>
          <w:szCs w:val="20"/>
          <w:color w:val="auto"/>
        </w:rPr>
      </w:pPr>
      <w:r>
        <w:rPr>
          <w:rFonts w:ascii="Times New Roman" w:cs="Times New Roman" w:eastAsia="Times New Roman" w:hAnsi="Times New Roman"/>
          <w:sz w:val="15"/>
          <w:szCs w:val="15"/>
          <w:b w:val="1"/>
          <w:bCs w:val="1"/>
          <w:color w:val="auto"/>
        </w:rPr>
        <w:t>(UNAUDITED)</w:t>
      </w:r>
    </w:p>
    <w:p>
      <w:pPr>
        <w:ind w:left="404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9525</wp:posOffset>
            </wp:positionV>
            <wp:extent cx="4255135"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86"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37"/>
        </w:trPr>
        <w:tc>
          <w:tcPr>
            <w:tcW w:w="4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120" w:type="dxa"/>
            <w:vAlign w:val="bottom"/>
            <w:shd w:val="clear" w:color="auto" w:fill="CFF0FC"/>
          </w:tcPr>
          <w:p>
            <w:pPr>
              <w:jc w:val="right"/>
              <w:ind w:right="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(29,792)</w:t>
            </w:r>
          </w:p>
        </w:tc>
        <w:tc>
          <w:tcPr>
            <w:tcW w:w="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(21,517)</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2,415</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3,060</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Provision for bad debts</w:t>
            </w:r>
          </w:p>
        </w:tc>
        <w:tc>
          <w:tcPr>
            <w:tcW w:w="1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32</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Amortization of right-of-use lease assets</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Amortization of discount on short-term investments</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(6,685)</w:t>
            </w: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(6,349)</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23,795</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17,353</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Provision for excess and obsolete inventory</w:t>
            </w:r>
          </w:p>
        </w:tc>
        <w:tc>
          <w:tcPr>
            <w:tcW w:w="1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1,316</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333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Change in operating assets and liabilities:</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Accounts receivable</w:t>
            </w:r>
          </w:p>
        </w:tc>
        <w:tc>
          <w:tcPr>
            <w:tcW w:w="1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5,867</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(5,121)</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Inventories</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(8,257)</w:t>
            </w: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(4,585)</w:t>
            </w: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Prepaid and other assets</w:t>
            </w:r>
          </w:p>
        </w:tc>
        <w:tc>
          <w:tcPr>
            <w:tcW w:w="1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2,064</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850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Accounts payable</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(1,577)</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830</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Accrued expenses and other liabilities</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(3,573)</w:t>
            </w: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2,385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used in operating activities</w:t>
            </w:r>
          </w:p>
        </w:tc>
        <w:tc>
          <w:tcPr>
            <w:tcW w:w="120" w:type="dxa"/>
            <w:vAlign w:val="bottom"/>
            <w:shd w:val="clear" w:color="auto" w:fill="CFF0FC"/>
          </w:tcPr>
          <w:p>
            <w:pPr>
              <w:spacing w:after="0"/>
              <w:rPr>
                <w:sz w:val="9"/>
                <w:szCs w:val="9"/>
                <w:color w:val="auto"/>
              </w:rPr>
            </w:pPr>
          </w:p>
        </w:tc>
        <w:tc>
          <w:tcPr>
            <w:tcW w:w="98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(14,395)</w:t>
            </w:r>
          </w:p>
        </w:tc>
        <w:tc>
          <w:tcPr>
            <w:tcW w:w="200" w:type="dxa"/>
            <w:vAlign w:val="bottom"/>
            <w:shd w:val="clear" w:color="auto" w:fill="CFF0FC"/>
          </w:tcPr>
          <w:p>
            <w:pPr>
              <w:spacing w:after="0"/>
              <w:rPr>
                <w:sz w:val="9"/>
                <w:szCs w:val="9"/>
                <w:color w:val="auto"/>
              </w:rPr>
            </w:pPr>
          </w:p>
        </w:tc>
        <w:tc>
          <w:tcPr>
            <w:tcW w:w="82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(12,686)</w:t>
            </w:r>
          </w:p>
        </w:tc>
        <w:tc>
          <w:tcPr>
            <w:tcW w:w="0" w:type="dxa"/>
            <w:vAlign w:val="bottom"/>
          </w:tcPr>
          <w:p>
            <w:pPr>
              <w:spacing w:after="0"/>
              <w:rPr>
                <w:sz w:val="1"/>
                <w:szCs w:val="1"/>
                <w:color w:val="auto"/>
              </w:rPr>
            </w:pPr>
          </w:p>
        </w:tc>
      </w:tr>
      <w:tr>
        <w:trPr>
          <w:trHeight w:val="109"/>
        </w:trPr>
        <w:tc>
          <w:tcPr>
            <w:tcW w:w="458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Investing Activities:</w:t>
            </w: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Purchases of property and equipment</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(2,693)</w:t>
            </w: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(4,593)</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Maturities of short-term investments</w:t>
            </w:r>
          </w:p>
        </w:tc>
        <w:tc>
          <w:tcPr>
            <w:tcW w:w="1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170,000</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188,000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Purchases of short-term investments</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(140,804)</w:t>
            </w: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(284,038)</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2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26,503</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(100,631)</w:t>
            </w:r>
          </w:p>
        </w:tc>
        <w:tc>
          <w:tcPr>
            <w:tcW w:w="0" w:type="dxa"/>
            <w:vAlign w:val="bottom"/>
          </w:tcPr>
          <w:p>
            <w:pPr>
              <w:spacing w:after="0"/>
              <w:rPr>
                <w:sz w:val="1"/>
                <w:szCs w:val="1"/>
                <w:color w:val="auto"/>
              </w:rPr>
            </w:pPr>
          </w:p>
        </w:tc>
      </w:tr>
      <w:tr>
        <w:trPr>
          <w:trHeight w:val="109"/>
        </w:trPr>
        <w:tc>
          <w:tcPr>
            <w:tcW w:w="45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Financing Activities:</w:t>
            </w:r>
          </w:p>
        </w:tc>
        <w:tc>
          <w:tcPr>
            <w:tcW w:w="12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Proceeds from issuance of common stock from public offering</w:t>
            </w:r>
          </w:p>
        </w:tc>
        <w:tc>
          <w:tcPr>
            <w:tcW w:w="120" w:type="dxa"/>
            <w:vAlign w:val="bottom"/>
          </w:tcPr>
          <w:p>
            <w:pPr>
              <w:spacing w:after="0"/>
              <w:rPr>
                <w:sz w:val="10"/>
                <w:szCs w:val="10"/>
                <w:color w:val="auto"/>
              </w:rPr>
            </w:pPr>
          </w:p>
        </w:tc>
        <w:tc>
          <w:tcPr>
            <w:tcW w:w="9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108,100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Proceeds from issuance of common stock</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2,895</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17,828</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Payments for employee taxes related to stock compensation</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(2,060)</w:t>
            </w: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(4,768)</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Principal payments on finance lease liabilities</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(35)</w:t>
            </w: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Payments of deferred offering costs</w:t>
            </w:r>
          </w:p>
        </w:tc>
        <w:tc>
          <w:tcPr>
            <w:tcW w:w="120" w:type="dxa"/>
            <w:vAlign w:val="bottom"/>
          </w:tcPr>
          <w:p>
            <w:pPr>
              <w:spacing w:after="0"/>
              <w:rPr>
                <w:sz w:val="10"/>
                <w:szCs w:val="10"/>
                <w:color w:val="auto"/>
              </w:rPr>
            </w:pPr>
          </w:p>
        </w:tc>
        <w:tc>
          <w:tcPr>
            <w:tcW w:w="9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(768)</w:t>
            </w:r>
          </w:p>
        </w:tc>
        <w:tc>
          <w:tcPr>
            <w:tcW w:w="0" w:type="dxa"/>
            <w:vAlign w:val="bottom"/>
          </w:tcPr>
          <w:p>
            <w:pPr>
              <w:spacing w:after="0"/>
              <w:rPr>
                <w:sz w:val="1"/>
                <w:szCs w:val="1"/>
                <w:color w:val="auto"/>
              </w:rPr>
            </w:pPr>
          </w:p>
        </w:tc>
      </w:tr>
      <w:tr>
        <w:trPr>
          <w:trHeight w:val="109"/>
        </w:trPr>
        <w:tc>
          <w:tcPr>
            <w:tcW w:w="4580" w:type="dxa"/>
            <w:vAlign w:val="bottom"/>
            <w:tcBorders>
              <w:top w:val="single" w:sz="8" w:color="CFF0FC"/>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provided by financing activities</w:t>
            </w:r>
          </w:p>
        </w:tc>
        <w:tc>
          <w:tcPr>
            <w:tcW w:w="120" w:type="dxa"/>
            <w:vAlign w:val="bottom"/>
            <w:tcBorders>
              <w:top w:val="single" w:sz="8" w:color="auto"/>
              <w:bottom w:val="single" w:sz="8" w:color="auto"/>
            </w:tcBorders>
            <w:shd w:val="clear" w:color="auto" w:fill="CFF0FC"/>
          </w:tcPr>
          <w:p>
            <w:pPr>
              <w:spacing w:after="0"/>
              <w:rPr>
                <w:sz w:val="9"/>
                <w:szCs w:val="9"/>
                <w:color w:val="auto"/>
              </w:rPr>
            </w:pPr>
          </w:p>
        </w:tc>
        <w:tc>
          <w:tcPr>
            <w:tcW w:w="820" w:type="dxa"/>
            <w:vAlign w:val="bottom"/>
            <w:tcBorders>
              <w:top w:val="single" w:sz="8" w:color="auto"/>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800</w:t>
            </w:r>
          </w:p>
        </w:tc>
        <w:tc>
          <w:tcPr>
            <w:tcW w:w="160" w:type="dxa"/>
            <w:vAlign w:val="bottom"/>
            <w:tcBorders>
              <w:top w:val="single" w:sz="8" w:color="CFF0FC"/>
              <w:bottom w:val="single" w:sz="8" w:color="CFF0FC"/>
              <w:right w:val="single" w:sz="8" w:color="CFF0FC"/>
            </w:tcBorders>
            <w:shd w:val="clear" w:color="auto" w:fill="CFF0FC"/>
          </w:tcPr>
          <w:p>
            <w:pPr>
              <w:spacing w:after="0"/>
              <w:rPr>
                <w:sz w:val="9"/>
                <w:szCs w:val="9"/>
                <w:color w:val="auto"/>
              </w:rPr>
            </w:pPr>
          </w:p>
        </w:tc>
        <w:tc>
          <w:tcPr>
            <w:tcW w:w="200" w:type="dxa"/>
            <w:vAlign w:val="bottom"/>
            <w:tcBorders>
              <w:top w:val="single" w:sz="8" w:color="auto"/>
              <w:bottom w:val="single" w:sz="8" w:color="auto"/>
            </w:tcBorders>
            <w:shd w:val="clear" w:color="auto" w:fill="CFF0FC"/>
          </w:tcPr>
          <w:p>
            <w:pPr>
              <w:spacing w:after="0"/>
              <w:rPr>
                <w:sz w:val="9"/>
                <w:szCs w:val="9"/>
                <w:color w:val="auto"/>
              </w:rPr>
            </w:pPr>
          </w:p>
        </w:tc>
        <w:tc>
          <w:tcPr>
            <w:tcW w:w="740" w:type="dxa"/>
            <w:vAlign w:val="bottom"/>
            <w:tcBorders>
              <w:top w:val="single" w:sz="8" w:color="auto"/>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120,343</w:t>
            </w:r>
          </w:p>
        </w:tc>
        <w:tc>
          <w:tcPr>
            <w:tcW w:w="8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8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Effect of foreign exchange rate on cash, cash equivalents and restricted cash</w:t>
            </w:r>
          </w:p>
        </w:tc>
        <w:tc>
          <w:tcPr>
            <w:tcW w:w="12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18</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Net increase in cash, cash equivalents and restricted cash</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12,926</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7,029</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 beginning of period</w:t>
            </w: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17,456</w:t>
            </w: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10,402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 end of period</w:t>
            </w:r>
          </w:p>
        </w:tc>
        <w:tc>
          <w:tcPr>
            <w:tcW w:w="120" w:type="dxa"/>
            <w:vAlign w:val="bottom"/>
            <w:tcBorders>
              <w:bottom w:val="single" w:sz="8" w:color="auto"/>
            </w:tcBorders>
            <w:shd w:val="clear" w:color="auto" w:fill="CFF0FC"/>
          </w:tcPr>
          <w:p>
            <w:pPr>
              <w:jc w:val="right"/>
              <w:ind w:right="6"/>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30,382</w:t>
            </w:r>
          </w:p>
        </w:tc>
        <w:tc>
          <w:tcPr>
            <w:tcW w:w="160" w:type="dxa"/>
            <w:vAlign w:val="bottom"/>
            <w:tcBorders>
              <w:bottom w:val="single" w:sz="8" w:color="CFF0FC"/>
              <w:right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17,431</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8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Operating cash flows from operating leases</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1,943</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1,633</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Cash paid for income taxes</w:t>
            </w:r>
          </w:p>
        </w:tc>
        <w:tc>
          <w:tcPr>
            <w:tcW w:w="1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70</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Right-of-use assets obtained in exchange for lease obligations:</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Operating lease</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9,060</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Lease obligations recorded for right-of-use assets:</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Operating lease</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9,060</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580" w:type="dxa"/>
            <w:vAlign w:val="bottom"/>
          </w:tcPr>
          <w:p>
            <w:pPr>
              <w:ind w:left="140"/>
              <w:spacing w:after="0" w:line="107" w:lineRule="exact"/>
              <w:rPr>
                <w:sz w:val="20"/>
                <w:szCs w:val="20"/>
                <w:color w:val="auto"/>
              </w:rPr>
            </w:pPr>
            <w:r>
              <w:rPr>
                <w:rFonts w:ascii="Times New Roman" w:cs="Times New Roman" w:eastAsia="Times New Roman" w:hAnsi="Times New Roman"/>
                <w:sz w:val="11"/>
                <w:szCs w:val="11"/>
                <w:color w:val="auto"/>
              </w:rPr>
              <w:t>Acquisition of property and equipment included in accounts payable and accrued expenses</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5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and accrued liabilities</w:t>
            </w: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Reclassification of deferred financing costs</w:t>
            </w: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768</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-2085975</wp:posOffset>
            </wp:positionV>
            <wp:extent cx="4064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-2085975</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-1779270</wp:posOffset>
            </wp:positionV>
            <wp:extent cx="4064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-1779270</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-1253490</wp:posOffset>
            </wp:positionV>
            <wp:extent cx="6604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040" cy="114300"/>
                    </a:xfrm>
                    <a:prstGeom prst="rect">
                      <a:avLst/>
                    </a:prstGeom>
                    <a:noFill/>
                  </pic:spPr>
                </pic:pic>
              </a:graphicData>
            </a:graphic>
          </wp:anchor>
        </w:drawing>
        <w:drawing>
          <wp:anchor simplePos="0" relativeHeight="251657728" behindDoc="1" locked="0" layoutInCell="0" allowOverlap="1">
            <wp:simplePos x="0" y="0"/>
            <wp:positionH relativeFrom="column">
              <wp:posOffset>4926965</wp:posOffset>
            </wp:positionH>
            <wp:positionV relativeFrom="paragraph">
              <wp:posOffset>-1253490</wp:posOffset>
            </wp:positionV>
            <wp:extent cx="73025" cy="114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25" cy="11430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-845185</wp:posOffset>
            </wp:positionV>
            <wp:extent cx="4064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-831215</wp:posOffset>
            </wp:positionV>
            <wp:extent cx="4064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-845185</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-831215</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1 - Organization and Basis of Presentation</w:t>
      </w:r>
    </w:p>
    <w:p>
      <w:pPr>
        <w:spacing w:after="0" w:line="1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RxSight®, Inc. (the “Company”) is a Delaware corporation headquartered in Aliso Viejo, California with wholly owned subsidiaries located in Hong Kong (“RxSight, Limited”) and in Amsterdam, Netherlands (“RxSight, B.V.”). RxSight, B.V.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w:t>
      </w:r>
    </w:p>
    <w:p>
      <w:pPr>
        <w:spacing w:after="0" w:line="78"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The Company’s products, which include the light adjustable lens® (“LAL®” and “LAL+®”, and collectively the “LAL”) and a specially designed machine for delivering light to the eye, the Light Delivery Device (“LDD™”), are approved by the United States (“U.S.”) Food and Drug Administration (“FDA”) primarily for sale in the U.S. and also have regulatory approval in several foreign countries. The Company began marketing its products in 2019. The LAL is a premium intraocular lens (“IOL”) which is partially reimbursable under Medicare. The Company competes with other IOLs in the premium market.</w:t>
      </w:r>
    </w:p>
    <w:p>
      <w:pPr>
        <w:spacing w:after="0" w:line="9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RxSight, Inc. and its wholly owned subsidiaries. All significant inter-company balances and transactions have been eliminated in consolidation.</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Basis of Presentation and Principles of Consolidation</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Company’s condensed consolidated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2024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2024 Annual Report on Form 10-K filed with the SEC on February 25, 2025. The operating results presented in these unaudited condensed consolidated financial statements are not necessarily indicative of the results that may be expected for any future periods.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1" w:name="page12"/>
    <w:bookmarkEnd w:id="11"/>
    <w:p>
      <w:pPr>
        <w:ind w:left="1160"/>
        <w:spacing w:after="0"/>
        <w:rPr>
          <w:sz w:val="20"/>
          <w:szCs w:val="20"/>
          <w:color w:val="auto"/>
        </w:rPr>
      </w:pPr>
      <w:r>
        <w:rPr>
          <w:rFonts w:ascii="Times New Roman" w:cs="Times New Roman" w:eastAsia="Times New Roman" w:hAnsi="Times New Roman"/>
          <w:sz w:val="14"/>
          <w:szCs w:val="14"/>
          <w:i w:val="1"/>
          <w:iCs w:val="1"/>
          <w:color w:val="auto"/>
        </w:rPr>
        <w:t>Operating Segments</w:t>
      </w:r>
    </w:p>
    <w:p>
      <w:pPr>
        <w:spacing w:after="0" w:line="13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Company determined that it operates and manages its business (including its non-U.S. subsidiaries) in one reportable segment: the research and development, manufacture and sale of light adjustable lenses and related capital equipment. The Company determined its operating segment on the same basis that it uses to evaluate its performance internally. Asset information provided to the CODM is consistent with those reported on the Consolidated Balance Sheets and are primarily attributable to the United States. The key measure of segment profit and loss that the CODM uses to allocate resources and assess performance is the Company’s consolidated net loss. The table below shows a reconciliation of the Company’s net loss, including the significant expense categories regularly provided to and reviewed by the CODM, as computed under U.S. GAAP to the Company’s total consolidated net loss in the Consolidated Statements of Operations:</w:t>
      </w:r>
    </w:p>
    <w:p>
      <w:pPr>
        <w:spacing w:after="0" w:line="7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6"/>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r>
      <w:tr>
        <w:trPr>
          <w:trHeight w:val="137"/>
        </w:trPr>
        <w:tc>
          <w:tcPr>
            <w:tcW w:w="2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9"/>
        </w:trPr>
        <w:tc>
          <w:tcPr>
            <w:tcW w:w="2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4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2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43"/>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9"/>
                <w:szCs w:val="9"/>
                <w:color w:val="auto"/>
              </w:rPr>
            </w:pPr>
          </w:p>
        </w:tc>
      </w:tr>
      <w:tr>
        <w:trPr>
          <w:trHeight w:val="109"/>
        </w:trPr>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8"/>
        </w:trPr>
        <w:tc>
          <w:tcPr>
            <w:tcW w:w="282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Sales</w:t>
            </w:r>
          </w:p>
        </w:tc>
        <w:tc>
          <w:tcPr>
            <w:tcW w:w="12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30,340</w:t>
            </w:r>
          </w:p>
        </w:tc>
        <w:tc>
          <w:tcPr>
            <w:tcW w:w="1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35,314</w:t>
            </w:r>
          </w:p>
        </w:tc>
        <w:tc>
          <w:tcPr>
            <w:tcW w:w="10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101,871</w:t>
            </w:r>
          </w:p>
        </w:tc>
        <w:tc>
          <w:tcPr>
            <w:tcW w:w="1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99,713</w:t>
            </w:r>
          </w:p>
        </w:tc>
        <w:tc>
          <w:tcPr>
            <w:tcW w:w="60" w:type="dxa"/>
            <w:vAlign w:val="bottom"/>
            <w:shd w:val="clear" w:color="auto" w:fill="CFF0FC"/>
          </w:tcPr>
          <w:p>
            <w:pPr>
              <w:spacing w:after="0"/>
              <w:rPr>
                <w:sz w:val="10"/>
                <w:szCs w:val="10"/>
                <w:color w:val="auto"/>
              </w:rPr>
            </w:pPr>
          </w:p>
        </w:tc>
      </w:tr>
      <w:tr>
        <w:trPr>
          <w:trHeight w:val="118"/>
        </w:trPr>
        <w:tc>
          <w:tcPr>
            <w:tcW w:w="282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Cost of sales</w:t>
            </w: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6,113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10,094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24,125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29,558</w:t>
            </w:r>
          </w:p>
        </w:tc>
        <w:tc>
          <w:tcPr>
            <w:tcW w:w="60" w:type="dxa"/>
            <w:vAlign w:val="bottom"/>
          </w:tcPr>
          <w:p>
            <w:pPr>
              <w:spacing w:after="0"/>
              <w:rPr>
                <w:sz w:val="10"/>
                <w:szCs w:val="10"/>
                <w:color w:val="auto"/>
              </w:rPr>
            </w:pPr>
          </w:p>
        </w:tc>
      </w:tr>
      <w:tr>
        <w:trPr>
          <w:trHeight w:val="109"/>
        </w:trPr>
        <w:tc>
          <w:tcPr>
            <w:tcW w:w="282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Gross profit</w:t>
            </w:r>
          </w:p>
        </w:tc>
        <w:tc>
          <w:tcPr>
            <w:tcW w:w="12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24,227</w:t>
            </w: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25,220</w:t>
            </w: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77,746</w:t>
            </w: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70,155</w:t>
            </w:r>
          </w:p>
        </w:tc>
        <w:tc>
          <w:tcPr>
            <w:tcW w:w="60" w:type="dxa"/>
            <w:vAlign w:val="bottom"/>
            <w:tcBorders>
              <w:bottom w:val="single" w:sz="8" w:color="CFF0FC"/>
            </w:tcBorders>
            <w:shd w:val="clear" w:color="auto" w:fill="CFF0FC"/>
          </w:tcPr>
          <w:p>
            <w:pPr>
              <w:spacing w:after="0"/>
              <w:rPr>
                <w:sz w:val="9"/>
                <w:szCs w:val="9"/>
                <w:color w:val="auto"/>
              </w:rPr>
            </w:pPr>
          </w:p>
        </w:tc>
      </w:tr>
      <w:tr>
        <w:trPr>
          <w:trHeight w:val="109"/>
        </w:trPr>
        <w:tc>
          <w:tcPr>
            <w:tcW w:w="282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Operating expenses: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8"/>
        </w:trPr>
        <w:tc>
          <w:tcPr>
            <w:tcW w:w="282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Commercial</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20,269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18,584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63,054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52,391</w:t>
            </w:r>
          </w:p>
        </w:tc>
        <w:tc>
          <w:tcPr>
            <w:tcW w:w="60" w:type="dxa"/>
            <w:vAlign w:val="bottom"/>
            <w:shd w:val="clear" w:color="auto" w:fill="CFF0FC"/>
          </w:tcPr>
          <w:p>
            <w:pPr>
              <w:spacing w:after="0"/>
              <w:rPr>
                <w:sz w:val="10"/>
                <w:szCs w:val="10"/>
                <w:color w:val="auto"/>
              </w:rPr>
            </w:pPr>
          </w:p>
        </w:tc>
      </w:tr>
      <w:tr>
        <w:trPr>
          <w:trHeight w:val="118"/>
        </w:trPr>
        <w:tc>
          <w:tcPr>
            <w:tcW w:w="28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General and administrative</w:t>
            </w:r>
          </w:p>
        </w:tc>
        <w:tc>
          <w:tcPr>
            <w:tcW w:w="12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7,076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21,902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20,834</w:t>
            </w:r>
          </w:p>
        </w:tc>
        <w:tc>
          <w:tcPr>
            <w:tcW w:w="60" w:type="dxa"/>
            <w:vAlign w:val="bottom"/>
          </w:tcPr>
          <w:p>
            <w:pPr>
              <w:spacing w:after="0"/>
              <w:rPr>
                <w:sz w:val="10"/>
                <w:szCs w:val="10"/>
                <w:color w:val="auto"/>
              </w:rPr>
            </w:pPr>
          </w:p>
        </w:tc>
      </w:tr>
      <w:tr>
        <w:trPr>
          <w:trHeight w:val="118"/>
        </w:trPr>
        <w:tc>
          <w:tcPr>
            <w:tcW w:w="282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Research and development</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7,783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7,215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25,704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19,721</w:t>
            </w:r>
          </w:p>
        </w:tc>
        <w:tc>
          <w:tcPr>
            <w:tcW w:w="60" w:type="dxa"/>
            <w:vAlign w:val="bottom"/>
            <w:shd w:val="clear" w:color="auto" w:fill="CFF0FC"/>
          </w:tcPr>
          <w:p>
            <w:pPr>
              <w:spacing w:after="0"/>
              <w:rPr>
                <w:sz w:val="10"/>
                <w:szCs w:val="10"/>
                <w:color w:val="auto"/>
              </w:rPr>
            </w:pPr>
          </w:p>
        </w:tc>
      </w:tr>
      <w:tr>
        <w:trPr>
          <w:trHeight w:val="118"/>
        </w:trPr>
        <w:tc>
          <w:tcPr>
            <w:tcW w:w="28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Clinical and regulatory</w:t>
            </w: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1,277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1,623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3,940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5,439</w:t>
            </w:r>
          </w:p>
        </w:tc>
        <w:tc>
          <w:tcPr>
            <w:tcW w:w="60" w:type="dxa"/>
            <w:vAlign w:val="bottom"/>
          </w:tcPr>
          <w:p>
            <w:pPr>
              <w:spacing w:after="0"/>
              <w:rPr>
                <w:sz w:val="10"/>
                <w:szCs w:val="10"/>
                <w:color w:val="auto"/>
              </w:rPr>
            </w:pPr>
          </w:p>
        </w:tc>
      </w:tr>
      <w:tr>
        <w:trPr>
          <w:trHeight w:val="109"/>
        </w:trPr>
        <w:tc>
          <w:tcPr>
            <w:tcW w:w="282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Total operating expenses</w:t>
            </w:r>
          </w:p>
        </w:tc>
        <w:tc>
          <w:tcPr>
            <w:tcW w:w="12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36,405</w:t>
            </w: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34,446</w:t>
            </w: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114,600</w:t>
            </w: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98,385</w:t>
            </w:r>
          </w:p>
        </w:tc>
        <w:tc>
          <w:tcPr>
            <w:tcW w:w="60" w:type="dxa"/>
            <w:vAlign w:val="bottom"/>
            <w:tcBorders>
              <w:bottom w:val="single" w:sz="8" w:color="CFF0FC"/>
            </w:tcBorders>
            <w:shd w:val="clear" w:color="auto" w:fill="CFF0FC"/>
          </w:tcPr>
          <w:p>
            <w:pPr>
              <w:spacing w:after="0"/>
              <w:rPr>
                <w:sz w:val="9"/>
                <w:szCs w:val="9"/>
                <w:color w:val="auto"/>
              </w:rPr>
            </w:pPr>
          </w:p>
        </w:tc>
      </w:tr>
      <w:tr>
        <w:trPr>
          <w:trHeight w:val="109"/>
        </w:trPr>
        <w:tc>
          <w:tcPr>
            <w:tcW w:w="282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Loss from operations</w:t>
            </w:r>
          </w:p>
        </w:tc>
        <w:tc>
          <w:tcPr>
            <w:tcW w:w="120" w:type="dxa"/>
            <w:vAlign w:val="bottom"/>
          </w:tcPr>
          <w:p>
            <w:pPr>
              <w:spacing w:after="0"/>
              <w:rPr>
                <w:sz w:val="9"/>
                <w:szCs w:val="9"/>
                <w:color w:val="auto"/>
              </w:rPr>
            </w:pPr>
          </w:p>
        </w:tc>
        <w:tc>
          <w:tcPr>
            <w:tcW w:w="8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(12,178)</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(9,226)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(36,854)</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(28,230)</w:t>
            </w:r>
          </w:p>
        </w:tc>
      </w:tr>
      <w:tr>
        <w:trPr>
          <w:trHeight w:val="118"/>
        </w:trPr>
        <w:tc>
          <w:tcPr>
            <w:tcW w:w="282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income (expense), net:</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8"/>
        </w:trPr>
        <w:tc>
          <w:tcPr>
            <w:tcW w:w="28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Pr>
          <w:p>
            <w:pPr>
              <w:spacing w:after="0"/>
              <w:rPr>
                <w:sz w:val="10"/>
                <w:szCs w:val="10"/>
                <w:color w:val="auto"/>
              </w:rPr>
            </w:pPr>
          </w:p>
        </w:tc>
        <w:tc>
          <w:tcPr>
            <w:tcW w:w="82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(16)</w:t>
            </w:r>
          </w:p>
        </w:tc>
      </w:tr>
      <w:tr>
        <w:trPr>
          <w:trHeight w:val="118"/>
        </w:trPr>
        <w:tc>
          <w:tcPr>
            <w:tcW w:w="2820" w:type="dxa"/>
            <w:vAlign w:val="bottom"/>
            <w:tcBorders>
              <w:bottom w:val="single" w:sz="8" w:color="CFF0FC"/>
            </w:tcBorders>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and other income</w:t>
            </w:r>
          </w:p>
        </w:tc>
        <w:tc>
          <w:tcPr>
            <w:tcW w:w="12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2,376</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2,906</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7,137</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6,767</w:t>
            </w:r>
          </w:p>
        </w:tc>
        <w:tc>
          <w:tcPr>
            <w:tcW w:w="60" w:type="dxa"/>
            <w:vAlign w:val="bottom"/>
            <w:tcBorders>
              <w:bottom w:val="single" w:sz="8" w:color="CFF0FC"/>
            </w:tcBorders>
            <w:shd w:val="clear" w:color="auto" w:fill="CFF0FC"/>
          </w:tcPr>
          <w:p>
            <w:pPr>
              <w:spacing w:after="0"/>
              <w:rPr>
                <w:sz w:val="10"/>
                <w:szCs w:val="10"/>
                <w:color w:val="auto"/>
              </w:rPr>
            </w:pPr>
          </w:p>
        </w:tc>
      </w:tr>
      <w:tr>
        <w:trPr>
          <w:trHeight w:val="109"/>
        </w:trPr>
        <w:tc>
          <w:tcPr>
            <w:tcW w:w="282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Loss before income taxes</w:t>
            </w:r>
          </w:p>
        </w:tc>
        <w:tc>
          <w:tcPr>
            <w:tcW w:w="120" w:type="dxa"/>
            <w:vAlign w:val="bottom"/>
          </w:tcPr>
          <w:p>
            <w:pPr>
              <w:spacing w:after="0"/>
              <w:rPr>
                <w:sz w:val="9"/>
                <w:szCs w:val="9"/>
                <w:color w:val="auto"/>
              </w:rPr>
            </w:pPr>
          </w:p>
        </w:tc>
        <w:tc>
          <w:tcPr>
            <w:tcW w:w="8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(9,806)</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(6,325)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(29,731)</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(21,479)</w:t>
            </w:r>
          </w:p>
        </w:tc>
      </w:tr>
      <w:tr>
        <w:trPr>
          <w:trHeight w:val="118"/>
        </w:trPr>
        <w:tc>
          <w:tcPr>
            <w:tcW w:w="282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Income tax expense</w:t>
            </w:r>
          </w:p>
        </w:tc>
        <w:tc>
          <w:tcPr>
            <w:tcW w:w="12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61</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38</w:t>
            </w:r>
          </w:p>
        </w:tc>
        <w:tc>
          <w:tcPr>
            <w:tcW w:w="60" w:type="dxa"/>
            <w:vAlign w:val="bottom"/>
            <w:tcBorders>
              <w:bottom w:val="single" w:sz="8" w:color="CFF0FC"/>
            </w:tcBorders>
            <w:shd w:val="clear" w:color="auto" w:fill="CFF0FC"/>
          </w:tcPr>
          <w:p>
            <w:pPr>
              <w:spacing w:after="0"/>
              <w:rPr>
                <w:sz w:val="10"/>
                <w:szCs w:val="10"/>
                <w:color w:val="auto"/>
              </w:rPr>
            </w:pPr>
          </w:p>
        </w:tc>
      </w:tr>
      <w:tr>
        <w:trPr>
          <w:trHeight w:val="109"/>
        </w:trPr>
        <w:tc>
          <w:tcPr>
            <w:tcW w:w="282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loss</w:t>
            </w:r>
          </w:p>
        </w:tc>
        <w:tc>
          <w:tcPr>
            <w:tcW w:w="120" w:type="dxa"/>
            <w:vAlign w:val="bottom"/>
            <w:tcBorders>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(9,816)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jc w:val="right"/>
              <w:ind w:right="1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(6,338)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jc w:val="right"/>
              <w:ind w:right="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(29,792)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jc w:val="right"/>
              <w:ind w:right="1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(21,517)</w:t>
            </w:r>
          </w:p>
        </w:tc>
        <w:tc>
          <w:tcPr>
            <w:tcW w:w="60" w:type="dxa"/>
            <w:vAlign w:val="bottom"/>
          </w:tcPr>
          <w:p>
            <w:pPr>
              <w:spacing w:after="0"/>
              <w:rPr>
                <w:sz w:val="9"/>
                <w:szCs w:val="9"/>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-1029335</wp:posOffset>
            </wp:positionV>
            <wp:extent cx="406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-1029335</wp:posOffset>
            </wp:positionV>
            <wp:extent cx="406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-1029335</wp:posOffset>
            </wp:positionV>
            <wp:extent cx="406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-1029335</wp:posOffset>
            </wp:positionV>
            <wp:extent cx="4064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-565150</wp:posOffset>
            </wp:positionV>
            <wp:extent cx="4064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-565150</wp:posOffset>
            </wp:positionV>
            <wp:extent cx="4064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-565150</wp:posOffset>
            </wp:positionV>
            <wp:extent cx="4064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-565150</wp:posOffset>
            </wp:positionV>
            <wp:extent cx="4064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-258445</wp:posOffset>
            </wp:positionV>
            <wp:extent cx="4064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-258445</wp:posOffset>
            </wp:positionV>
            <wp:extent cx="4064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-258445</wp:posOffset>
            </wp:positionV>
            <wp:extent cx="4064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-258445</wp:posOffset>
            </wp:positionV>
            <wp:extent cx="4064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-101600</wp:posOffset>
            </wp:positionV>
            <wp:extent cx="4064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-101600</wp:posOffset>
            </wp:positionV>
            <wp:extent cx="4064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-101600</wp:posOffset>
            </wp:positionV>
            <wp:extent cx="406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-101600</wp:posOffset>
            </wp:positionV>
            <wp:extent cx="4064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Liquidity</w:t>
      </w:r>
    </w:p>
    <w:p>
      <w:pPr>
        <w:spacing w:after="0" w:line="131"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As of September 30, 2025 and December 31, 2024 the Company had cash, cash equivalents and short-term investments of $227.5 million and $237.2 million, respectively.</w:t>
      </w:r>
    </w:p>
    <w:p>
      <w:pPr>
        <w:spacing w:after="0" w:line="70" w:lineRule="exact"/>
        <w:rPr>
          <w:sz w:val="20"/>
          <w:szCs w:val="20"/>
          <w:color w:val="auto"/>
        </w:rPr>
      </w:pPr>
    </w:p>
    <w:p>
      <w:pPr>
        <w:ind w:left="1160" w:right="1319" w:firstLine="258"/>
        <w:spacing w:after="0" w:line="260" w:lineRule="auto"/>
        <w:rPr>
          <w:sz w:val="20"/>
          <w:szCs w:val="20"/>
          <w:color w:val="auto"/>
        </w:rPr>
      </w:pPr>
      <w:r>
        <w:rPr>
          <w:rFonts w:ascii="Times New Roman" w:cs="Times New Roman" w:eastAsia="Times New Roman" w:hAnsi="Times New Roman"/>
          <w:sz w:val="14"/>
          <w:szCs w:val="14"/>
          <w:color w:val="auto"/>
        </w:rPr>
        <w:t>The Company began generating revenue from its principal operations in 2019 and the revenue and income potential of the Company’s business and market continue to develop. The Company has experienced recurring net losses and negative cash flows from operating activities since its inception. For the three months ended September 30, 2025 and 2024, the Company incurred losses from operations of $12.2 million and $9.2 million, respectively. For the nine months ended September 30, 2025 and 2024, the Company incurred losses from operations of $36.9 million and $28.2 million, respectively. Based on the Company’s anticipated sales in relation to the anticipated costs associated with, among other things, its continuing research and development activities and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82" w:lineRule="exact"/>
        <w:rPr>
          <w:sz w:val="20"/>
          <w:szCs w:val="20"/>
          <w:color w:val="auto"/>
        </w:rPr>
      </w:pPr>
    </w:p>
    <w:p>
      <w:pPr>
        <w:ind w:left="1160" w:right="1259" w:firstLine="258"/>
        <w:spacing w:after="0" w:line="25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however for the near future, the Company expects to continue to incur operating losses and negative cash flows. The Company plans to continue to fund its losses from operations using its cash, cash equivalents and short-term investments as of September 30, 2025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w:t>
      </w:r>
    </w:p>
    <w:p>
      <w:pPr>
        <w:spacing w:after="0" w:line="3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12" w:name="page13"/>
    <w:bookmarkEnd w:id="12"/>
    <w:p>
      <w:pPr>
        <w:ind w:left="1160" w:right="1299"/>
        <w:spacing w:after="0" w:line="260" w:lineRule="auto"/>
        <w:rPr>
          <w:sz w:val="20"/>
          <w:szCs w:val="20"/>
          <w:color w:val="auto"/>
        </w:rPr>
      </w:pPr>
      <w:r>
        <w:rPr>
          <w:rFonts w:ascii="Times New Roman" w:cs="Times New Roman" w:eastAsia="Times New Roman" w:hAnsi="Times New Roman"/>
          <w:sz w:val="14"/>
          <w:szCs w:val="14"/>
          <w:color w:val="auto"/>
        </w:rPr>
        <w:t>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2 - Summary of Accounting Policies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1160" w:right="1319" w:firstLine="258"/>
        <w:spacing w:after="0" w:line="262"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preparation of the accompanying condensed consolidated financial statements under different assumptions or conditions.</w:t>
      </w:r>
    </w:p>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99" w:lineRule="exact"/>
        <w:rPr>
          <w:sz w:val="20"/>
          <w:szCs w:val="20"/>
          <w:color w:val="auto"/>
        </w:rPr>
      </w:pPr>
    </w:p>
    <w:p>
      <w:pPr>
        <w:jc w:val="both"/>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There have been no significant changes to the accounting policies during the three months ended September 30, 2025, as compared to the significant accounting policies described in Note 2 of the “Notes to Consolidated Financial Statements” in the Company’s audited consolidated financial statements included in its Annual Report on Form 10-K filed with the SEC on February 25, 2025.</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Cash Equivalents</w:t>
      </w:r>
    </w:p>
    <w:p>
      <w:pPr>
        <w:spacing w:after="0" w:line="99" w:lineRule="exact"/>
        <w:rPr>
          <w:sz w:val="20"/>
          <w:szCs w:val="20"/>
          <w:color w:val="auto"/>
        </w:rPr>
      </w:pPr>
    </w:p>
    <w:p>
      <w:pPr>
        <w:jc w:val="both"/>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99"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256" w:lineRule="exact"/>
        <w:rPr>
          <w:sz w:val="20"/>
          <w:szCs w:val="20"/>
          <w:color w:val="auto"/>
        </w:rPr>
      </w:pPr>
    </w:p>
    <w:p>
      <w:pPr>
        <w:ind w:left="1420" w:hanging="267"/>
        <w:spacing w:after="0"/>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has been in a continuous loss position for over 12 months;</w:t>
      </w:r>
    </w:p>
    <w:p>
      <w:pPr>
        <w:spacing w:after="0" w:line="128"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to maturity of investments;</w:t>
      </w:r>
    </w:p>
    <w:p>
      <w:pPr>
        <w:spacing w:after="0" w:line="128" w:lineRule="exact"/>
        <w:rPr>
          <w:rFonts w:ascii="Times New Roman" w:cs="Times New Roman" w:eastAsia="Times New Roman" w:hAnsi="Times New Roman"/>
          <w:sz w:val="14"/>
          <w:szCs w:val="14"/>
          <w:color w:val="auto"/>
        </w:rPr>
      </w:pPr>
    </w:p>
    <w:p>
      <w:pPr>
        <w:ind w:left="1420" w:right="1399" w:hanging="267"/>
        <w:spacing w:after="0" w:line="292" w:lineRule="auto"/>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 and ability to hold the investment to maturity and if it is not more likely than not that the Company will be required to sell the investment before recovery of the amortized cost basis;</w:t>
      </w:r>
    </w:p>
    <w:p>
      <w:pPr>
        <w:spacing w:after="0" w:line="59"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rating, financial condition and near-term prospects of the issuer; and</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3" w:name="page14"/>
    <w:bookmarkEnd w:id="13"/>
    <w:p>
      <w:pPr>
        <w:ind w:left="1420" w:hanging="267"/>
        <w:spacing w:after="0"/>
        <w:tabs>
          <w:tab w:leader="none" w:pos="1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of investments made.</w:t>
      </w:r>
    </w:p>
    <w:p>
      <w:pPr>
        <w:spacing w:after="0" w:line="97" w:lineRule="exact"/>
        <w:rPr>
          <w:sz w:val="20"/>
          <w:szCs w:val="20"/>
          <w:color w:val="auto"/>
        </w:rPr>
      </w:pPr>
    </w:p>
    <w:p>
      <w:pPr>
        <w:ind w:left="1160" w:right="1659" w:firstLine="258"/>
        <w:spacing w:after="0" w:line="292" w:lineRule="auto"/>
        <w:rPr>
          <w:sz w:val="20"/>
          <w:szCs w:val="20"/>
          <w:color w:val="auto"/>
        </w:rPr>
      </w:pPr>
      <w:r>
        <w:rPr>
          <w:rFonts w:ascii="Times New Roman" w:cs="Times New Roman" w:eastAsia="Times New Roman" w:hAnsi="Times New Roman"/>
          <w:sz w:val="14"/>
          <w:szCs w:val="14"/>
          <w:color w:val="auto"/>
        </w:rPr>
        <w:t>The Company had $67,000 and $190,000 of net unrealized gains related to short-term investments as of September 30, 2025 and December 31, 2024, respectively.</w:t>
      </w:r>
    </w:p>
    <w:p>
      <w:pPr>
        <w:spacing w:after="0" w:line="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Concentration of Credit Risk and Other Risks and Uncertainties</w:t>
      </w:r>
    </w:p>
    <w:p>
      <w:pPr>
        <w:spacing w:after="0" w:line="13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264"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78" w:lineRule="exact"/>
        <w:rPr>
          <w:sz w:val="20"/>
          <w:szCs w:val="20"/>
          <w:color w:val="auto"/>
        </w:rPr>
      </w:pPr>
    </w:p>
    <w:p>
      <w:pPr>
        <w:ind w:left="1160" w:right="1459" w:firstLine="258"/>
        <w:spacing w:after="0" w:line="265" w:lineRule="auto"/>
        <w:rPr>
          <w:sz w:val="20"/>
          <w:szCs w:val="20"/>
          <w:color w:val="auto"/>
        </w:rPr>
      </w:pPr>
      <w:r>
        <w:rPr>
          <w:rFonts w:ascii="Times New Roman" w:cs="Times New Roman" w:eastAsia="Times New Roman" w:hAnsi="Times New Roman"/>
          <w:sz w:val="14"/>
          <w:szCs w:val="14"/>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p>
    <w:p>
      <w:pPr>
        <w:spacing w:after="0" w:line="88"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Company is subject to risks from changes in United States trade policy, including recently announced tariffs. The imposition of retaliatory or new tariffs or increases in existing tariffs on goods imported from countries where we source our products could result in increased material costs for our products. The Company is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9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Company has a diverse customer base and as of September 30, 2025 and December 31, 2024 the Company did not have any customers who individually accounted for greater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September 30, 2025 or December 31, 2024.</w:t>
      </w:r>
    </w:p>
    <w:p>
      <w:pPr>
        <w:spacing w:after="0" w:line="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99"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91"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Level 1—Observable inputs such as unadjusted quoted prices in active markets that are accessible at the measurement date for identical unrestricted assets or liabilities.</w:t>
      </w:r>
    </w:p>
    <w:p>
      <w:pPr>
        <w:spacing w:after="0" w:line="70"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w:t>
      </w:r>
    </w:p>
    <w:p>
      <w:pPr>
        <w:spacing w:after="0" w:line="3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14" w:name="page15"/>
    <w:bookmarkEnd w:id="14"/>
    <w:p>
      <w:pPr>
        <w:jc w:val="both"/>
        <w:ind w:left="1160" w:right="1219"/>
        <w:spacing w:after="0" w:line="274" w:lineRule="auto"/>
        <w:rPr>
          <w:sz w:val="20"/>
          <w:szCs w:val="20"/>
          <w:color w:val="auto"/>
        </w:rPr>
      </w:pPr>
      <w:r>
        <w:rPr>
          <w:rFonts w:ascii="Times New Roman" w:cs="Times New Roman" w:eastAsia="Times New Roman" w:hAnsi="Times New Roman"/>
          <w:sz w:val="14"/>
          <w:szCs w:val="14"/>
          <w:color w:val="auto"/>
        </w:rPr>
        <w:t>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82"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80"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88"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at September 30, 2025 and December 31, 2024, approximated their carrying values, based on the borrowing rates that were available for loans with similar terms as of such date.</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9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3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lease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p>
    <w:p>
      <w:pPr>
        <w:spacing w:after="0" w:line="200" w:lineRule="exact"/>
        <w:rPr>
          <w:sz w:val="20"/>
          <w:szCs w:val="20"/>
          <w:color w:val="auto"/>
        </w:rPr>
      </w:pPr>
    </w:p>
    <w:p>
      <w:pPr>
        <w:spacing w:after="0" w:line="3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5" w:name="page16"/>
    <w:bookmarkEnd w:id="15"/>
    <w:p>
      <w:pPr>
        <w:ind w:left="1160"/>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120"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p>
    <w:p>
      <w:pPr>
        <w:spacing w:after="0" w:line="9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9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740" w:type="dxa"/>
            <w:vAlign w:val="bottom"/>
          </w:tcPr>
          <w:p>
            <w:pPr>
              <w:spacing w:after="0"/>
              <w:rPr>
                <w:sz w:val="16"/>
                <w:szCs w:val="16"/>
                <w:color w:val="auto"/>
              </w:rPr>
            </w:pPr>
          </w:p>
        </w:tc>
        <w:tc>
          <w:tcPr>
            <w:tcW w:w="19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4"/>
        </w:trPr>
        <w:tc>
          <w:tcPr>
            <w:tcW w:w="2740" w:type="dxa"/>
            <w:vAlign w:val="bottom"/>
          </w:tcPr>
          <w:p>
            <w:pPr>
              <w:spacing w:after="0"/>
              <w:rPr>
                <w:sz w:val="14"/>
                <w:szCs w:val="14"/>
                <w:color w:val="auto"/>
              </w:rPr>
            </w:pPr>
          </w:p>
        </w:tc>
        <w:tc>
          <w:tcPr>
            <w:tcW w:w="9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8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r>
      <w:tr>
        <w:trPr>
          <w:trHeight w:val="148"/>
        </w:trPr>
        <w:tc>
          <w:tcPr>
            <w:tcW w:w="2740" w:type="dxa"/>
            <w:vAlign w:val="bottom"/>
            <w:tcBorders>
              <w:top w:val="single" w:sz="8" w:color="auto"/>
            </w:tcBorders>
          </w:tcPr>
          <w:p>
            <w:pPr>
              <w:ind w:left="140"/>
              <w:spacing w:after="0" w:line="148" w:lineRule="exact"/>
              <w:rPr>
                <w:sz w:val="20"/>
                <w:szCs w:val="20"/>
                <w:color w:val="auto"/>
              </w:rPr>
            </w:pPr>
            <w:r>
              <w:rPr>
                <w:rFonts w:ascii="Times New Roman" w:cs="Times New Roman" w:eastAsia="Times New Roman" w:hAnsi="Times New Roman"/>
                <w:sz w:val="14"/>
                <w:szCs w:val="14"/>
                <w:color w:val="auto"/>
              </w:rPr>
              <w:t>Stock options issued and outstanding under</w:t>
            </w: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2021 Equity Incentive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5,294,813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2,993,517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5,658,989</w:t>
            </w:r>
          </w:p>
        </w:tc>
        <w:tc>
          <w:tcPr>
            <w:tcW w:w="60" w:type="dxa"/>
            <w:vAlign w:val="bottom"/>
          </w:tcPr>
          <w:p>
            <w:pPr>
              <w:spacing w:after="0"/>
              <w:rPr>
                <w:sz w:val="16"/>
                <w:szCs w:val="16"/>
                <w:color w:val="auto"/>
              </w:rPr>
            </w:pPr>
          </w:p>
        </w:tc>
      </w:tr>
      <w:tr>
        <w:trPr>
          <w:trHeight w:val="158"/>
        </w:trPr>
        <w:tc>
          <w:tcPr>
            <w:tcW w:w="2740" w:type="dxa"/>
            <w:vAlign w:val="bottom"/>
            <w:shd w:val="clear" w:color="auto" w:fill="CFF0FC"/>
          </w:tcPr>
          <w:p>
            <w:pPr>
              <w:ind w:left="140"/>
              <w:spacing w:after="0" w:line="157" w:lineRule="exact"/>
              <w:rPr>
                <w:sz w:val="20"/>
                <w:szCs w:val="20"/>
                <w:color w:val="auto"/>
              </w:rPr>
            </w:pPr>
            <w:r>
              <w:rPr>
                <w:rFonts w:ascii="Times New Roman" w:cs="Times New Roman" w:eastAsia="Times New Roman" w:hAnsi="Times New Roman"/>
                <w:sz w:val="14"/>
                <w:szCs w:val="14"/>
                <w:color w:val="auto"/>
              </w:rPr>
              <w:t>Restricted stock units issued under the 2021</w:t>
            </w: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87"/>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Equity Incentive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69,984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644,073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389,759</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649,842</w:t>
            </w:r>
          </w:p>
        </w:tc>
        <w:tc>
          <w:tcPr>
            <w:tcW w:w="60" w:type="dxa"/>
            <w:vAlign w:val="bottom"/>
            <w:shd w:val="clear" w:color="auto" w:fill="CFF0FC"/>
          </w:tcPr>
          <w:p>
            <w:pPr>
              <w:spacing w:after="0"/>
              <w:rPr>
                <w:sz w:val="16"/>
                <w:szCs w:val="16"/>
                <w:color w:val="auto"/>
              </w:rPr>
            </w:pPr>
          </w:p>
        </w:tc>
      </w:tr>
      <w:tr>
        <w:trPr>
          <w:trHeight w:val="157"/>
        </w:trPr>
        <w:tc>
          <w:tcPr>
            <w:tcW w:w="274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Stock issuable in offering period under the</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2021 Employee Stock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191,037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63,756</w:t>
            </w:r>
          </w:p>
        </w:tc>
        <w:tc>
          <w:tcPr>
            <w:tcW w:w="60" w:type="dxa"/>
            <w:vAlign w:val="bottom"/>
          </w:tcPr>
          <w:p>
            <w:pPr>
              <w:spacing w:after="0"/>
              <w:rPr>
                <w:sz w:val="16"/>
                <w:szCs w:val="16"/>
                <w:color w:val="auto"/>
              </w:rPr>
            </w:pPr>
          </w:p>
        </w:tc>
      </w:tr>
    </w:tbl>
    <w:p>
      <w:pPr>
        <w:spacing w:after="0" w:line="2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99"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and several foreign countries. Customers are comprised of ambulatory surgery centers, hospitals, and physician private practices in the United States and distributors internationally.</w:t>
      </w:r>
    </w:p>
    <w:p>
      <w:pPr>
        <w:spacing w:after="0" w:line="86"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Company recognizes revenue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88"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w:t>
      </w:r>
    </w:p>
    <w:p>
      <w:pPr>
        <w:spacing w:after="0" w:line="3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16" w:name="page17"/>
    <w:bookmarkEnd w:id="16"/>
    <w:p>
      <w:pPr>
        <w:ind w:left="1160" w:right="1219"/>
        <w:spacing w:after="0" w:line="258" w:lineRule="auto"/>
        <w:rPr>
          <w:sz w:val="20"/>
          <w:szCs w:val="20"/>
          <w:color w:val="auto"/>
        </w:rPr>
      </w:pPr>
      <w:r>
        <w:rPr>
          <w:rFonts w:ascii="Times New Roman" w:cs="Times New Roman" w:eastAsia="Times New Roman" w:hAnsi="Times New Roman"/>
          <w:sz w:val="14"/>
          <w:szCs w:val="14"/>
          <w:color w:val="auto"/>
        </w:rPr>
        <w:t>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Revenue for the LDD capital asset is recognized at a point in time either at installation or upon shipment to our international distributors.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00"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LALs are generally held at customer sites on consignment. The single performance obligation is satisfied, and revenue from sales is recognized for LALs upon customer notification that the LALs have been implanted in a patient or upon shipment to our international distributors. For the three and nine months ended September 30, 2025 and 2024, credits related to returns and rebates on list prices were not significant.</w:t>
      </w:r>
    </w:p>
    <w:p>
      <w:pPr>
        <w:spacing w:after="0" w:line="76"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spacing w:after="0" w:line="82"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For the three and nine months ended September 30, 2025 and 2024, revenue from contracts with customers consisted of the following (in thousands):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4"/>
                <w:szCs w:val="14"/>
                <w:color w:val="auto"/>
              </w:rPr>
            </w:pPr>
          </w:p>
        </w:tc>
        <w:tc>
          <w:tcPr>
            <w:tcW w:w="2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LDD (including training)</w:t>
            </w:r>
          </w:p>
        </w:tc>
        <w:tc>
          <w:tcPr>
            <w:tcW w:w="72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10,128</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17,698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29,030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LAL</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79,886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Service warranty, service contracts,</w:t>
            </w:r>
          </w:p>
        </w:tc>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accessories</w:t>
            </w:r>
          </w:p>
        </w:tc>
        <w:tc>
          <w:tcPr>
            <w:tcW w:w="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Total Sales</w:t>
            </w:r>
          </w:p>
        </w:tc>
        <w:tc>
          <w:tcPr>
            <w:tcW w:w="720" w:type="dxa"/>
            <w:vAlign w:val="bottom"/>
            <w:gridSpan w:val="2"/>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30,340</w:t>
            </w:r>
          </w:p>
        </w:tc>
        <w:tc>
          <w:tcPr>
            <w:tcW w:w="14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101,871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-245110</wp:posOffset>
            </wp:positionV>
            <wp:extent cx="406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-245110</wp:posOffset>
            </wp:positionV>
            <wp:extent cx="406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-245110</wp:posOffset>
            </wp:positionV>
            <wp:extent cx="40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-245110</wp:posOffset>
            </wp:positionV>
            <wp:extent cx="40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jc w:val="both"/>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For the three and nine months ended September 30, 2025 and 2024, the Company did not have any customers who individually accounted for greater than 10% of revenue.</w:t>
      </w:r>
    </w:p>
    <w:p>
      <w:pPr>
        <w:spacing w:after="0" w:line="59" w:lineRule="exact"/>
        <w:rPr>
          <w:sz w:val="20"/>
          <w:szCs w:val="20"/>
          <w:color w:val="auto"/>
        </w:rPr>
      </w:pPr>
    </w:p>
    <w:p>
      <w:pPr>
        <w:jc w:val="both"/>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represents the contract liabilities from sales activity for the nine months ended September 30, 2025 and 2024, respectively (in thousands):</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740" w:type="dxa"/>
            <w:vAlign w:val="bottom"/>
            <w:gridSpan w:val="2"/>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120" w:type="dxa"/>
            <w:vAlign w:val="bottom"/>
          </w:tcPr>
          <w:p>
            <w:pPr>
              <w:spacing w:after="0"/>
              <w:rPr>
                <w:sz w:val="24"/>
                <w:szCs w:val="24"/>
                <w:color w:val="auto"/>
              </w:rPr>
            </w:pPr>
          </w:p>
        </w:tc>
        <w:tc>
          <w:tcPr>
            <w:tcW w:w="88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1,888</w:t>
            </w:r>
          </w:p>
        </w:tc>
      </w:tr>
      <w:tr>
        <w:trPr>
          <w:trHeight w:val="172"/>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Additions during the period</w:t>
            </w: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3,301</w:t>
            </w:r>
          </w:p>
        </w:tc>
      </w:tr>
      <w:tr>
        <w:trPr>
          <w:trHeight w:val="172"/>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Revenue recognized during the period</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(3,876)</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7"/>
              </w:rPr>
              <w:t>(2,626)</w:t>
            </w:r>
          </w:p>
        </w:tc>
      </w:tr>
      <w:tr>
        <w:trPr>
          <w:trHeight w:val="203"/>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7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-19685</wp:posOffset>
            </wp:positionV>
            <wp:extent cx="40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-6350</wp:posOffset>
            </wp:positionV>
            <wp:extent cx="4064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-19685</wp:posOffset>
            </wp:positionV>
            <wp:extent cx="4064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-6350</wp:posOffset>
            </wp:positionV>
            <wp:extent cx="4064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31"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The Company has two equity incentive compensation plans: the Calhoun Vision, Inc. 2015 Equity Incentive Plan (“2015 Plan”); and the 2021 Equity Incentive Plan (“2021 Plan”), which are collectively referred to as the</w:t>
      </w:r>
    </w:p>
    <w:p>
      <w:pPr>
        <w:spacing w:after="0" w:line="3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7" w:name="page18"/>
    <w:bookmarkEnd w:id="17"/>
    <w:p>
      <w:pPr>
        <w:ind w:left="1160" w:right="1319"/>
        <w:spacing w:after="0" w:line="292" w:lineRule="auto"/>
        <w:rPr>
          <w:sz w:val="20"/>
          <w:szCs w:val="20"/>
          <w:color w:val="auto"/>
        </w:rPr>
      </w:pPr>
      <w:r>
        <w:rPr>
          <w:rFonts w:ascii="Times New Roman" w:cs="Times New Roman" w:eastAsia="Times New Roman" w:hAnsi="Times New Roman"/>
          <w:sz w:val="14"/>
          <w:szCs w:val="14"/>
          <w:color w:val="auto"/>
        </w:rPr>
        <w:t>“Equity Plans.” The Company also has an employee stock purchase plan, the 2021 Employee Stock Purchase Plan (“2021 ESPP”).</w:t>
      </w:r>
    </w:p>
    <w:p>
      <w:pPr>
        <w:spacing w:after="0" w:line="70"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The Company recognizes compensation expense for equity-based awards on the date of grant to employees, board of directors and consultants based on the estimated grant date fair value of the award's equity-based payments including stock options, restricted stock units and employee stock plan purchases. The fair value of the option awards are estimated using the Black-Scholes option-pricing model and recognized as an expense in the condensed consolidated statements of operations and comprehensive loss over the requisite service period, which is generally four years. The Company amortizes the stock-based compensation for equity awards with service conditions on a straight-line basis over the vesting period of the awards. Forfeitures of unvested stock option awards are recognized as reductions of expense as they occur.</w:t>
      </w:r>
    </w:p>
    <w:p>
      <w:pPr>
        <w:spacing w:after="0" w:line="8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Black-Scholes option-pricing model requires the use of assumptions about a number of variables, such as the fair market value of the Company’s common stock, expected volatility, expected term, risk-free interest rate, and dividend yield as discussed below:</w:t>
      </w:r>
    </w:p>
    <w:p>
      <w:pPr>
        <w:spacing w:after="0" w:line="80" w:lineRule="exact"/>
        <w:rPr>
          <w:sz w:val="20"/>
          <w:szCs w:val="20"/>
          <w:color w:val="auto"/>
        </w:rPr>
      </w:pPr>
    </w:p>
    <w:p>
      <w:pPr>
        <w:ind w:left="1600" w:right="1379"/>
        <w:spacing w:after="0" w:line="295" w:lineRule="auto"/>
        <w:rPr>
          <w:sz w:val="20"/>
          <w:szCs w:val="20"/>
          <w:color w:val="auto"/>
        </w:rPr>
      </w:pPr>
      <w:r>
        <w:rPr>
          <w:rFonts w:ascii="Times New Roman" w:cs="Times New Roman" w:eastAsia="Times New Roman" w:hAnsi="Times New Roman"/>
          <w:sz w:val="14"/>
          <w:szCs w:val="14"/>
          <w:i w:val="1"/>
          <w:iCs w:val="1"/>
          <w:color w:val="auto"/>
        </w:rPr>
        <w:t>Fair market value</w:t>
      </w:r>
      <w:r>
        <w:rPr>
          <w:rFonts w:ascii="Times New Roman" w:cs="Times New Roman" w:eastAsia="Times New Roman" w:hAnsi="Times New Roman"/>
          <w:sz w:val="14"/>
          <w:szCs w:val="14"/>
          <w:color w:val="auto"/>
        </w:rPr>
        <w:t>—The fair value of common stock is determined by using the closing price per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as reported on the Nasdaq Global Market.</w:t>
      </w:r>
    </w:p>
    <w:p>
      <w:pPr>
        <w:spacing w:after="0" w:line="66" w:lineRule="exact"/>
        <w:rPr>
          <w:sz w:val="20"/>
          <w:szCs w:val="20"/>
          <w:color w:val="auto"/>
        </w:rPr>
      </w:pPr>
    </w:p>
    <w:p>
      <w:pPr>
        <w:ind w:left="1600" w:right="1379"/>
        <w:spacing w:after="0" w:line="295" w:lineRule="auto"/>
        <w:rPr>
          <w:sz w:val="20"/>
          <w:szCs w:val="20"/>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—Effective January 1, 2024, the Company based the expected volatility on the historic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volatility of its common stock.</w:t>
      </w:r>
    </w:p>
    <w:p>
      <w:pPr>
        <w:spacing w:after="0" w:line="55" w:lineRule="exact"/>
        <w:rPr>
          <w:sz w:val="20"/>
          <w:szCs w:val="20"/>
          <w:color w:val="auto"/>
        </w:rPr>
      </w:pPr>
    </w:p>
    <w:p>
      <w:pPr>
        <w:ind w:left="1600" w:right="1359"/>
        <w:spacing w:after="0" w:line="275" w:lineRule="auto"/>
        <w:rPr>
          <w:sz w:val="20"/>
          <w:szCs w:val="20"/>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—The Company’s expected term represents the period that the Company’s stock-based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are expected to be outstanding. The Company used the simplified method (based on the mid-point between the vesting date and the end of the contractual term) to determine the expected term.</w:t>
      </w:r>
    </w:p>
    <w:p>
      <w:pPr>
        <w:spacing w:after="0" w:line="134" w:lineRule="exact"/>
        <w:rPr>
          <w:sz w:val="20"/>
          <w:szCs w:val="20"/>
          <w:color w:val="auto"/>
        </w:rPr>
      </w:pPr>
    </w:p>
    <w:p>
      <w:pPr>
        <w:ind w:left="1600" w:right="1379"/>
        <w:spacing w:after="0" w:line="275" w:lineRule="auto"/>
        <w:rPr>
          <w:sz w:val="20"/>
          <w:szCs w:val="20"/>
          <w:color w:val="auto"/>
        </w:rPr>
      </w:pPr>
      <w:r>
        <w:rPr>
          <w:rFonts w:ascii="Times New Roman" w:cs="Times New Roman" w:eastAsia="Times New Roman" w:hAnsi="Times New Roman"/>
          <w:sz w:val="14"/>
          <w:szCs w:val="14"/>
          <w:i w:val="1"/>
          <w:iCs w:val="1"/>
          <w:color w:val="auto"/>
        </w:rPr>
        <w:t>Risk-free interest rate</w:t>
      </w:r>
      <w:r>
        <w:rPr>
          <w:rFonts w:ascii="Times New Roman" w:cs="Times New Roman" w:eastAsia="Times New Roman" w:hAnsi="Times New Roman"/>
          <w:sz w:val="14"/>
          <w:szCs w:val="14"/>
          <w:color w:val="auto"/>
        </w:rPr>
        <w:t>—The risk-free interest rate used is based on the published U.S. Department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Treasury interest rates in effect at the time of stock option grant for zero coupon U.S. Treasury notes with maturities approximating each grant’s expected term.</w:t>
      </w:r>
    </w:p>
    <w:p>
      <w:pPr>
        <w:spacing w:after="0" w:line="134" w:lineRule="exact"/>
        <w:rPr>
          <w:sz w:val="20"/>
          <w:szCs w:val="20"/>
          <w:color w:val="auto"/>
        </w:rPr>
      </w:pPr>
    </w:p>
    <w:p>
      <w:pPr>
        <w:ind w:left="1600" w:right="1579"/>
        <w:spacing w:after="0" w:line="295" w:lineRule="auto"/>
        <w:rPr>
          <w:sz w:val="20"/>
          <w:szCs w:val="20"/>
          <w:color w:val="auto"/>
        </w:rPr>
      </w:pPr>
      <w:r>
        <w:rPr>
          <w:rFonts w:ascii="Times New Roman" w:cs="Times New Roman" w:eastAsia="Times New Roman" w:hAnsi="Times New Roman"/>
          <w:sz w:val="14"/>
          <w:szCs w:val="14"/>
          <w:i w:val="1"/>
          <w:iCs w:val="1"/>
          <w:color w:val="auto"/>
        </w:rPr>
        <w:t>Dividend yield</w:t>
      </w:r>
      <w:r>
        <w:rPr>
          <w:rFonts w:ascii="Times New Roman" w:cs="Times New Roman" w:eastAsia="Times New Roman" w:hAnsi="Times New Roman"/>
          <w:sz w:val="14"/>
          <w:szCs w:val="14"/>
          <w:color w:val="auto"/>
        </w:rPr>
        <w:t>—The Company has never paid dividends on its common stock and has no plans to pay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on its common stock. Therefore, the Company used an expected dividend yield of zero.</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131"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September 30, 2025 that are of significance or potential significance to the Company.</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3 – Short-Term Investments</w:t>
      </w:r>
    </w:p>
    <w:p>
      <w:pPr>
        <w:spacing w:after="0" w:line="99"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Short-term investments, principally U.S. Treasury bills, are available-for-sale and consisted of the following (in thousands):</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64"/>
        </w:trPr>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Unrealized Gain, Net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3"/>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197,816</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197,883</w:t>
            </w:r>
          </w:p>
        </w:tc>
      </w:tr>
      <w:tr>
        <w:trPr>
          <w:trHeight w:val="240"/>
        </w:trPr>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164"/>
        </w:trPr>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Unrealized Gain, Net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83"/>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220,327</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220,517</w:t>
            </w: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-442595</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-429260</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-442595</wp:posOffset>
            </wp:positionV>
            <wp:extent cx="40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-429260</wp:posOffset>
            </wp:positionV>
            <wp:extent cx="4064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-442595</wp:posOffset>
            </wp:positionV>
            <wp:extent cx="406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-429260</wp:posOffset>
            </wp:positionV>
            <wp:extent cx="4064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-19685</wp:posOffset>
            </wp:positionV>
            <wp:extent cx="4064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-6350</wp:posOffset>
            </wp:positionV>
            <wp:extent cx="4064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-19685</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-6350</wp:posOffset>
            </wp:positionV>
            <wp:extent cx="406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All available-for-sale securities held as of September 30, 2025 and December 31, 2024 had a maturity of less than one year. The Company has classified all marketable securities, regardless of maturity, as short-term</w:t>
      </w:r>
    </w:p>
    <w:p>
      <w:pPr>
        <w:spacing w:after="0" w:line="3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8" w:name="page19"/>
    <w:bookmarkEnd w:id="18"/>
    <w:p>
      <w:pPr>
        <w:ind w:left="1160" w:right="1259"/>
        <w:spacing w:after="0" w:line="292" w:lineRule="auto"/>
        <w:rPr>
          <w:sz w:val="20"/>
          <w:szCs w:val="20"/>
          <w:color w:val="auto"/>
        </w:rPr>
      </w:pPr>
      <w:r>
        <w:rPr>
          <w:rFonts w:ascii="Times New Roman" w:cs="Times New Roman" w:eastAsia="Times New Roman" w:hAnsi="Times New Roman"/>
          <w:sz w:val="14"/>
          <w:szCs w:val="14"/>
          <w:color w:val="auto"/>
        </w:rPr>
        <w:t>investments based upon the Company’s ability and intent to use any and all of those marketable securities to satisfy the Company’s liquidity requirements.</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8"/>
        </w:trPr>
        <w:tc>
          <w:tcPr>
            <w:tcW w:w="3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 consisted of the following (in thousands):</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3"/>
        </w:trPr>
        <w:tc>
          <w:tcPr>
            <w:tcW w:w="3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4"/>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18,620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12,029</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7,109</w:t>
            </w:r>
          </w:p>
        </w:tc>
      </w:tr>
      <w:tr>
        <w:trPr>
          <w:trHeight w:val="172"/>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Work-in-process</w:t>
            </w:r>
          </w:p>
        </w:tc>
        <w:tc>
          <w:tcPr>
            <w:tcW w:w="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3,484</w:t>
            </w:r>
          </w:p>
        </w:tc>
      </w:tr>
      <w:tr>
        <w:trPr>
          <w:trHeight w:val="16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inventories, gross</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22,622</w:t>
            </w:r>
          </w:p>
        </w:tc>
      </w:tr>
      <w:tr>
        <w:trPr>
          <w:trHeight w:val="17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reserve for excess and obsolete inventory</w:t>
            </w: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(1,437)</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20"/>
        </w:trPr>
        <w:tc>
          <w:tcPr>
            <w:tcW w:w="39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r>
      <w:tr>
        <w:trPr>
          <w:trHeight w:val="16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inventories, net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28,950</w:t>
            </w:r>
          </w:p>
        </w:tc>
        <w:tc>
          <w:tcPr>
            <w:tcW w:w="2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22,009</w:t>
            </w:r>
          </w:p>
        </w:tc>
      </w:tr>
      <w:tr>
        <w:trPr>
          <w:trHeight w:val="20"/>
        </w:trPr>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-360680</wp:posOffset>
            </wp:positionV>
            <wp:extent cx="4064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-360680</wp:posOffset>
            </wp:positionV>
            <wp:extent cx="406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-135890</wp:posOffset>
            </wp:positionV>
            <wp:extent cx="406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-135890</wp:posOffset>
            </wp:positionV>
            <wp:extent cx="406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579" w:firstLine="258"/>
        <w:spacing w:after="0" w:line="292" w:lineRule="auto"/>
        <w:rPr>
          <w:sz w:val="20"/>
          <w:szCs w:val="20"/>
          <w:color w:val="auto"/>
        </w:rPr>
      </w:pPr>
      <w:r>
        <w:rPr>
          <w:rFonts w:ascii="Times New Roman" w:cs="Times New Roman" w:eastAsia="Times New Roman" w:hAnsi="Times New Roman"/>
          <w:sz w:val="14"/>
          <w:szCs w:val="14"/>
          <w:color w:val="auto"/>
        </w:rPr>
        <w:t>At September 30, 2025 and December 31, 2024, finished goods included $6.0 million and $5.7 million of inventory held on consignment at customer sites, respectively.</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5 – Fair Value Measurements</w:t>
      </w:r>
    </w:p>
    <w:p>
      <w:pPr>
        <w:spacing w:after="0" w:line="99"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table and disclosures for the periods presented below (in thousands) present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spacing w:after="0" w:line="84"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2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163"/>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6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Money market securities</w:t>
            </w:r>
          </w:p>
        </w:tc>
        <w:tc>
          <w:tcPr>
            <w:tcW w:w="860" w:type="dxa"/>
            <w:vAlign w:val="bottom"/>
          </w:tcPr>
          <w:p>
            <w:pPr>
              <w:jc w:val="right"/>
              <w:ind w:right="73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26,080</w:t>
            </w:r>
          </w:p>
        </w:tc>
        <w:tc>
          <w:tcPr>
            <w:tcW w:w="60" w:type="dxa"/>
            <w:vAlign w:val="bottom"/>
          </w:tcPr>
          <w:p>
            <w:pPr>
              <w:spacing w:after="0"/>
              <w:rPr>
                <w:sz w:val="14"/>
                <w:szCs w:val="14"/>
                <w:color w:val="auto"/>
              </w:rPr>
            </w:pPr>
          </w:p>
        </w:tc>
      </w:tr>
      <w:tr>
        <w:trPr>
          <w:trHeight w:val="172"/>
        </w:trPr>
        <w:tc>
          <w:tcPr>
            <w:tcW w:w="2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8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197,883</w:t>
            </w:r>
          </w:p>
        </w:tc>
        <w:tc>
          <w:tcPr>
            <w:tcW w:w="1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197,883</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860" w:type="dxa"/>
            <w:vAlign w:val="bottom"/>
          </w:tcPr>
          <w:p>
            <w:pPr>
              <w:jc w:val="right"/>
              <w:ind w:right="73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197,883</w:t>
            </w:r>
          </w:p>
        </w:tc>
        <w:tc>
          <w:tcPr>
            <w:tcW w:w="160" w:type="dxa"/>
            <w:vAlign w:val="bottom"/>
          </w:tcPr>
          <w:p>
            <w:pPr>
              <w:spacing w:after="0"/>
              <w:rPr>
                <w:sz w:val="14"/>
                <w:szCs w:val="14"/>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223,963</w:t>
            </w:r>
          </w:p>
        </w:tc>
        <w:tc>
          <w:tcPr>
            <w:tcW w:w="60" w:type="dxa"/>
            <w:vAlign w:val="bottom"/>
          </w:tcPr>
          <w:p>
            <w:pPr>
              <w:spacing w:after="0"/>
              <w:rPr>
                <w:sz w:val="14"/>
                <w:szCs w:val="14"/>
                <w:color w:val="auto"/>
              </w:rPr>
            </w:pPr>
          </w:p>
        </w:tc>
      </w:tr>
      <w:tr>
        <w:trPr>
          <w:trHeight w:val="20"/>
        </w:trPr>
        <w:tc>
          <w:tcPr>
            <w:tcW w:w="2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-135890</wp:posOffset>
            </wp:positionV>
            <wp:extent cx="4064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-135890</wp:posOffset>
            </wp:positionV>
            <wp:extent cx="4064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2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163"/>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Money market securities</w:t>
            </w:r>
          </w:p>
        </w:tc>
        <w:tc>
          <w:tcPr>
            <w:tcW w:w="900" w:type="dxa"/>
            <w:vAlign w:val="bottom"/>
          </w:tcPr>
          <w:p>
            <w:pPr>
              <w:jc w:val="right"/>
              <w:ind w:right="77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60" w:type="dxa"/>
            <w:vAlign w:val="bottom"/>
          </w:tcPr>
          <w:p>
            <w:pPr>
              <w:spacing w:after="0"/>
              <w:rPr>
                <w:sz w:val="14"/>
                <w:szCs w:val="14"/>
                <w:color w:val="auto"/>
              </w:rPr>
            </w:pPr>
          </w:p>
        </w:tc>
      </w:tr>
      <w:tr>
        <w:trPr>
          <w:trHeight w:val="172"/>
        </w:trPr>
        <w:tc>
          <w:tcPr>
            <w:tcW w:w="2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90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220,517</w:t>
            </w:r>
          </w:p>
        </w:tc>
        <w:tc>
          <w:tcPr>
            <w:tcW w:w="1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220,517</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900" w:type="dxa"/>
            <w:vAlign w:val="bottom"/>
          </w:tcPr>
          <w:p>
            <w:pPr>
              <w:jc w:val="right"/>
              <w:ind w:right="77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220,517</w:t>
            </w:r>
          </w:p>
        </w:tc>
        <w:tc>
          <w:tcPr>
            <w:tcW w:w="160" w:type="dxa"/>
            <w:vAlign w:val="bottom"/>
          </w:tcPr>
          <w:p>
            <w:pPr>
              <w:spacing w:after="0"/>
              <w:rPr>
                <w:sz w:val="14"/>
                <w:szCs w:val="14"/>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229,745</w:t>
            </w:r>
          </w:p>
        </w:tc>
        <w:tc>
          <w:tcPr>
            <w:tcW w:w="60" w:type="dxa"/>
            <w:vAlign w:val="bottom"/>
          </w:tcPr>
          <w:p>
            <w:pPr>
              <w:spacing w:after="0"/>
              <w:rPr>
                <w:sz w:val="14"/>
                <w:szCs w:val="14"/>
                <w:color w:val="auto"/>
              </w:rPr>
            </w:pPr>
          </w:p>
        </w:tc>
      </w:tr>
      <w:tr>
        <w:trPr>
          <w:trHeight w:val="20"/>
        </w:trPr>
        <w:tc>
          <w:tcPr>
            <w:tcW w:w="2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-135890</wp:posOffset>
            </wp:positionV>
            <wp:extent cx="4064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-135890</wp:posOffset>
            </wp:positionV>
            <wp:extent cx="406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6 – Stock-Based Compensation Expense</w:t>
      </w:r>
    </w:p>
    <w:p>
      <w:pPr>
        <w:spacing w:after="0" w:line="1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has two equity incentive compensation plans.</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2015 Plan</w:t>
      </w:r>
    </w:p>
    <w:p>
      <w:pPr>
        <w:spacing w:after="0" w:line="101"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The 2015 Plan was originally adopted by the Board and approved by the Company’s stockholders in 2015. In July 2021,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2021 Plan</w:t>
      </w:r>
    </w:p>
    <w:p>
      <w:pPr>
        <w:spacing w:after="0" w:line="10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On July 28, 2021, the 2021 Plan was adopted and approved by the Board and stockholders.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w:t>
      </w:r>
    </w:p>
    <w:p>
      <w:pPr>
        <w:spacing w:after="0" w:line="3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9" w:name="page20"/>
    <w:bookmarkEnd w:id="19"/>
    <w:p>
      <w:pPr>
        <w:ind w:left="1160" w:right="1179"/>
        <w:spacing w:after="0" w:line="292" w:lineRule="auto"/>
        <w:rPr>
          <w:sz w:val="20"/>
          <w:szCs w:val="20"/>
          <w:color w:val="auto"/>
        </w:rPr>
      </w:pPr>
      <w:r>
        <w:rPr>
          <w:rFonts w:ascii="Times New Roman" w:cs="Times New Roman" w:eastAsia="Times New Roman" w:hAnsi="Times New Roman"/>
          <w:sz w:val="14"/>
          <w:szCs w:val="14"/>
          <w:color w:val="auto"/>
        </w:rPr>
        <w:t>consultants. The number of shares of the Company’s common stock originally available for issuance under the 2021 Plan was equal to 6,989,665 shares of common stock.</w:t>
      </w:r>
    </w:p>
    <w:p>
      <w:pPr>
        <w:spacing w:after="0" w:line="70"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lesser of: (i) 7,260,406 shares of the Company's common stock; (ii) 4% of the outstanding shares of the Company's common stock on the last day of the immediately preceding fiscal year; or (iii) such other amount as the administrator may determine. The 2021 Plan is administered by the Board, or a duly authorized committee thereof. On January 1, 2025 and 2024, the number of shares available under the 2021 Plan increased by 1,617,128 and 1,445,580 shares of common stock, respectively, pursuant to this feature. As of September 30, 2025, the number of shares of the Company’s common stock available for future issuance and not subject to outstanding awards under the 2021 Plan was equal to 473,702 shares of common stock.</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2021 ESPP</w:t>
      </w:r>
    </w:p>
    <w:p>
      <w:pPr>
        <w:spacing w:after="0" w:line="101"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On July 28, 2021, the Board and stockholders adopted and approved the 2021 ESPP. As of September 30, 2025, the number of shares of the Company’s common stock available for future issuance under the 2021 ESPP was equal to 463,240 shares of common stock. The initial purchase period began on November 1, 2021.</w:t>
      </w:r>
    </w:p>
    <w:p>
      <w:pPr>
        <w:spacing w:after="0" w:line="82" w:lineRule="exact"/>
        <w:rPr>
          <w:sz w:val="20"/>
          <w:szCs w:val="20"/>
          <w:color w:val="auto"/>
        </w:rPr>
      </w:pPr>
    </w:p>
    <w:p>
      <w:pPr>
        <w:ind w:left="1160" w:right="1179" w:firstLine="258"/>
        <w:spacing w:after="0" w:line="267" w:lineRule="auto"/>
        <w:rPr>
          <w:sz w:val="20"/>
          <w:szCs w:val="20"/>
          <w:color w:val="auto"/>
        </w:rPr>
      </w:pPr>
      <w:r>
        <w:rPr>
          <w:rFonts w:ascii="Times New Roman" w:cs="Times New Roman" w:eastAsia="Times New Roman" w:hAnsi="Times New Roman"/>
          <w:sz w:val="14"/>
          <w:szCs w:val="14"/>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w:t>
      </w:r>
    </w:p>
    <w:p>
      <w:pPr>
        <w:spacing w:after="0" w:line="26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number of common shares reserved for issuance under the 2021 ESPP will be increased automatically on the first day of each fiscal year beginning with the 2022 fiscal year, by a number equal to the lesser of: (i) 1,452,081 shares; (ii) 1% of the outstanding shares of the Company's common stock on the last day of the immediately preceding fiscal year; or (iii) such other amount as the administrator may determine. The 2021 ESPP is administered by the Board. The Board determined that no additional shares were reserved for issuance on January 1, 2025 and 2024 pursuant to this feature.</w:t>
      </w:r>
    </w:p>
    <w:p>
      <w:pPr>
        <w:spacing w:after="0" w:line="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01" w:lineRule="exact"/>
        <w:rPr>
          <w:sz w:val="20"/>
          <w:szCs w:val="20"/>
          <w:color w:val="auto"/>
        </w:rPr>
      </w:pPr>
    </w:p>
    <w:p>
      <w:pPr>
        <w:jc w:val="both"/>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86"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spacing w:after="0" w:line="91" w:lineRule="exact"/>
        <w:rPr>
          <w:sz w:val="20"/>
          <w:szCs w:val="20"/>
          <w:color w:val="auto"/>
        </w:rPr>
      </w:pPr>
    </w:p>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A summary of the stock option activities related to the 2021 Plan for the nine months ended September 30, 2025 is presented below:</w:t>
      </w:r>
    </w:p>
    <w:p>
      <w:pPr>
        <w:spacing w:after="0" w:line="6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Weighted Avg</w:t>
            </w:r>
          </w:p>
        </w:tc>
      </w:tr>
      <w:tr>
        <w:trPr>
          <w:trHeight w:val="161"/>
        </w:trPr>
        <w:tc>
          <w:tcPr>
            <w:tcW w:w="3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61"/>
        </w:trPr>
        <w:tc>
          <w:tcPr>
            <w:tcW w:w="36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4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Contractual Life</w:t>
            </w:r>
          </w:p>
        </w:tc>
      </w:tr>
      <w:tr>
        <w:trPr>
          <w:trHeight w:val="171"/>
        </w:trPr>
        <w:tc>
          <w:tcPr>
            <w:tcW w:w="3600" w:type="dxa"/>
            <w:vAlign w:val="bottom"/>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80" w:type="dxa"/>
            <w:vAlign w:val="bottom"/>
          </w:tcPr>
          <w:p>
            <w:pPr>
              <w:spacing w:after="0"/>
              <w:rPr>
                <w:sz w:val="14"/>
                <w:szCs w:val="14"/>
                <w:color w:val="auto"/>
              </w:rPr>
            </w:pPr>
          </w:p>
        </w:tc>
      </w:tr>
      <w:tr>
        <w:trPr>
          <w:trHeight w:val="15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Options outstanding as of December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5,906,298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80" w:type="dxa"/>
            <w:vAlign w:val="bottom"/>
            <w:shd w:val="clear" w:color="auto" w:fill="CFF0FC"/>
          </w:tcPr>
          <w:p>
            <w:pPr>
              <w:spacing w:after="0"/>
              <w:rPr>
                <w:sz w:val="13"/>
                <w:szCs w:val="13"/>
                <w:color w:val="auto"/>
              </w:rPr>
            </w:pPr>
          </w:p>
        </w:tc>
      </w:tr>
      <w:tr>
        <w:trPr>
          <w:trHeight w:val="161"/>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1,446,932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Exercised</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(340,385)</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(183,149)</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26.99</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Expired</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(74,757)</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17.98</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2"/>
        </w:trPr>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Options outstanding as of September 30,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6,754,939</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11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Borders>
              <w:top w:val="single" w:sz="8" w:color="CFF0FC"/>
            </w:tcBorders>
          </w:tcPr>
          <w:p>
            <w:pPr>
              <w:spacing w:after="0"/>
              <w:rPr>
                <w:sz w:val="13"/>
                <w:szCs w:val="13"/>
                <w:color w:val="auto"/>
              </w:rPr>
            </w:pPr>
          </w:p>
        </w:tc>
      </w:tr>
      <w:tr>
        <w:trPr>
          <w:trHeight w:val="192"/>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Exercisable as of September 30, 2025</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4,164,977</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8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-238125</wp:posOffset>
            </wp:positionV>
            <wp:extent cx="4064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-19685</wp:posOffset>
            </wp:positionV>
            <wp:extent cx="4064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-6350</wp:posOffset>
            </wp:positionV>
            <wp:extent cx="4064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0" w:name="page21"/>
    <w:bookmarkEnd w:id="20"/>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As of September 30, 2025 and December 31, 2024 the intrinsic value of options vested was $1.0 million and $69.3 million, respectively, and of all options outstanding was $1.1 million and $94.4 million, respectively. During the nine months ended September 30, 2025 and 2024, the total cash received from the exercise of stock options was $2.2 million and $17.1 million, respectively. The total fair value less strike price of these options was $4.3 million and $75.1 million, respectively.</w:t>
      </w:r>
    </w:p>
    <w:p>
      <w:pPr>
        <w:spacing w:after="0" w:line="88"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A summary of non-vested restricted stock unit activities for the nine months ended September 30, 2025 is as follows:</w:t>
      </w:r>
    </w:p>
    <w:p>
      <w:pPr>
        <w:spacing w:after="0" w:line="6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Weighted</w:t>
            </w:r>
          </w:p>
        </w:tc>
      </w:tr>
      <w:tr>
        <w:trPr>
          <w:trHeight w:val="161"/>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61"/>
        </w:trPr>
        <w:tc>
          <w:tcPr>
            <w:tcW w:w="430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Grant Date</w:t>
            </w:r>
          </w:p>
        </w:tc>
      </w:tr>
      <w:tr>
        <w:trPr>
          <w:trHeight w:val="171"/>
        </w:trPr>
        <w:tc>
          <w:tcPr>
            <w:tcW w:w="430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4"/>
        </w:trPr>
        <w:tc>
          <w:tcPr>
            <w:tcW w:w="43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Unvested at December 31, 2024</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585,458</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30.64</w:t>
            </w:r>
          </w:p>
        </w:tc>
      </w:tr>
      <w:tr>
        <w:trPr>
          <w:trHeight w:val="161"/>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715,278</w:t>
            </w: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21.59</w:t>
            </w:r>
          </w:p>
        </w:tc>
      </w:tr>
      <w:tr>
        <w:trPr>
          <w:trHeight w:val="16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(380,375)</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24.55</w:t>
            </w:r>
          </w:p>
        </w:tc>
      </w:tr>
      <w:tr>
        <w:trPr>
          <w:trHeight w:val="161"/>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(73,782)</w:t>
            </w: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28.99</w:t>
            </w:r>
          </w:p>
        </w:tc>
      </w:tr>
      <w:tr>
        <w:trPr>
          <w:trHeight w:val="20"/>
        </w:trPr>
        <w:tc>
          <w:tcPr>
            <w:tcW w:w="4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Unvested at September 30, 2025</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846,579</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25.88</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-19685</wp:posOffset>
            </wp:positionV>
            <wp:extent cx="406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-6350</wp:posOffset>
            </wp:positionV>
            <wp:extent cx="406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Stock-based compensation expense was classified in the accompanying condensed consolidated statements of operations and comprehensive income (loss) as follows (in thousands):</w:t>
      </w:r>
    </w:p>
    <w:p>
      <w:pPr>
        <w:spacing w:after="0" w:line="7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r>
      <w:tr>
        <w:trPr>
          <w:trHeight w:val="169"/>
        </w:trPr>
        <w:tc>
          <w:tcPr>
            <w:tcW w:w="2620" w:type="dxa"/>
            <w:vAlign w:val="bottom"/>
          </w:tcPr>
          <w:p>
            <w:pPr>
              <w:spacing w:after="0"/>
              <w:rPr>
                <w:sz w:val="14"/>
                <w:szCs w:val="14"/>
                <w:color w:val="auto"/>
              </w:rPr>
            </w:pPr>
          </w:p>
        </w:tc>
        <w:tc>
          <w:tcPr>
            <w:tcW w:w="202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r>
      <w:tr>
        <w:trPr>
          <w:trHeight w:val="157"/>
        </w:trPr>
        <w:tc>
          <w:tcPr>
            <w:tcW w:w="26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3"/>
                <w:szCs w:val="13"/>
                <w:color w:val="auto"/>
              </w:rPr>
            </w:pPr>
          </w:p>
        </w:tc>
      </w:tr>
      <w:tr>
        <w:trPr>
          <w:trHeight w:val="163"/>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60" w:type="dxa"/>
            <w:vAlign w:val="bottom"/>
            <w:shd w:val="clear" w:color="auto" w:fill="CFF0FC"/>
          </w:tcPr>
          <w:p>
            <w:pPr>
              <w:spacing w:after="0"/>
              <w:rPr>
                <w:sz w:val="14"/>
                <w:szCs w:val="14"/>
                <w:color w:val="auto"/>
              </w:rPr>
            </w:pPr>
          </w:p>
        </w:tc>
      </w:tr>
      <w:tr>
        <w:trPr>
          <w:trHeight w:val="17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60" w:type="dxa"/>
            <w:vAlign w:val="bottom"/>
          </w:tcPr>
          <w:p>
            <w:pPr>
              <w:spacing w:after="0"/>
              <w:rPr>
                <w:sz w:val="14"/>
                <w:szCs w:val="14"/>
                <w:color w:val="auto"/>
              </w:rPr>
            </w:pPr>
          </w:p>
        </w:tc>
      </w:tr>
      <w:tr>
        <w:trPr>
          <w:trHeight w:val="172"/>
        </w:trPr>
        <w:tc>
          <w:tcPr>
            <w:tcW w:w="2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7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26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17,353</w:t>
            </w:r>
          </w:p>
        </w:tc>
        <w:tc>
          <w:tcPr>
            <w:tcW w:w="60" w:type="dxa"/>
            <w:vAlign w:val="bottom"/>
          </w:tcPr>
          <w:p>
            <w:pPr>
              <w:spacing w:after="0"/>
              <w:rPr>
                <w:sz w:val="14"/>
                <w:szCs w:val="14"/>
                <w:color w:val="auto"/>
              </w:rPr>
            </w:pPr>
          </w:p>
        </w:tc>
      </w:tr>
      <w:tr>
        <w:trPr>
          <w:trHeight w:val="20"/>
        </w:trPr>
        <w:tc>
          <w:tcPr>
            <w:tcW w:w="2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-135890</wp:posOffset>
            </wp:positionV>
            <wp:extent cx="4064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-135890</wp:posOffset>
            </wp:positionV>
            <wp:extent cx="4064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-135890</wp:posOffset>
            </wp:positionV>
            <wp:extent cx="4064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ind w:left="1160" w:right="1419" w:firstLine="258"/>
        <w:spacing w:after="0" w:line="268" w:lineRule="auto"/>
        <w:rPr>
          <w:sz w:val="20"/>
          <w:szCs w:val="20"/>
          <w:color w:val="auto"/>
        </w:rPr>
      </w:pPr>
      <w:r>
        <w:rPr>
          <w:rFonts w:ascii="Times New Roman" w:cs="Times New Roman" w:eastAsia="Times New Roman" w:hAnsi="Times New Roman"/>
          <w:sz w:val="14"/>
          <w:szCs w:val="14"/>
          <w:color w:val="auto"/>
        </w:rPr>
        <w:t>As of September 30, 2025 and December 31, 2024, there were 2,589,962 and 2,343,015 unvested options, respectively. As of September 30, 2025 and December 31, 2024, total unrecognized expense related to unvested stock options was approximately $49.8 million and $45.8 million, respectively. Both amounts are expected to be recognized over a weighted average period of approximately 2.6 and 2.4 years, respectively.</w:t>
      </w:r>
    </w:p>
    <w:p>
      <w:pPr>
        <w:spacing w:after="0" w:line="86"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As of September 30, 2025, and December 31, 2024, total unrecognized expense related to non-vested restricted stock units was approximately $21.0 million and $15.0 million, respectively. The unrecognized compensation cost is expected to be recognized over a weighted average period of 2.3 years and 2.2 years, respectively.</w:t>
      </w:r>
    </w:p>
    <w:p>
      <w:pPr>
        <w:spacing w:after="0" w:line="71"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range and weighted-average assumptions, used in the Black-Scholes option pricing model to determine the fair value of stock options:</w:t>
      </w:r>
    </w:p>
    <w:p>
      <w:pPr>
        <w:spacing w:after="0" w:line="7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54"/>
        </w:trPr>
        <w:tc>
          <w:tcPr>
            <w:tcW w:w="1700" w:type="dxa"/>
            <w:vAlign w:val="bottom"/>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52"/>
        </w:trPr>
        <w:tc>
          <w:tcPr>
            <w:tcW w:w="170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rPr>
              <w:t>Range</w:t>
            </w: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r>
      <w:tr>
        <w:trPr>
          <w:trHeight w:val="152"/>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136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3"/>
                <w:szCs w:val="13"/>
                <w:color w:val="auto"/>
                <w:w w:val="97"/>
              </w:rPr>
              <w:t>52.0% to 74.0%</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66.3%</w:t>
            </w: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center"/>
              <w:ind w:left="36"/>
              <w:spacing w:after="0"/>
              <w:rPr>
                <w:sz w:val="20"/>
                <w:szCs w:val="20"/>
                <w:color w:val="auto"/>
              </w:rPr>
            </w:pPr>
            <w:r>
              <w:rPr>
                <w:rFonts w:ascii="Times New Roman" w:cs="Times New Roman" w:eastAsia="Times New Roman" w:hAnsi="Times New Roman"/>
                <w:sz w:val="13"/>
                <w:szCs w:val="13"/>
                <w:color w:val="auto"/>
              </w:rPr>
              <w:t>67.8% to 72.3%</w:t>
            </w:r>
          </w:p>
        </w:tc>
        <w:tc>
          <w:tcPr>
            <w:tcW w:w="1380" w:type="dxa"/>
            <w:vAlign w:val="bottom"/>
            <w:gridSpan w:val="3"/>
            <w:shd w:val="clear" w:color="auto" w:fill="CFF0FC"/>
          </w:tcPr>
          <w:p>
            <w:pPr>
              <w:jc w:val="center"/>
              <w:ind w:left="136"/>
              <w:spacing w:after="0"/>
              <w:rPr>
                <w:sz w:val="20"/>
                <w:szCs w:val="20"/>
                <w:color w:val="auto"/>
              </w:rPr>
            </w:pPr>
            <w:r>
              <w:rPr>
                <w:rFonts w:ascii="Times New Roman" w:cs="Times New Roman" w:eastAsia="Times New Roman" w:hAnsi="Times New Roman"/>
                <w:sz w:val="13"/>
                <w:szCs w:val="13"/>
                <w:color w:val="auto"/>
              </w:rPr>
              <w:t>70.4%</w:t>
            </w:r>
          </w:p>
        </w:tc>
      </w:tr>
      <w:tr>
        <w:trPr>
          <w:trHeight w:val="161"/>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8"/>
              </w:rPr>
              <w:t>3.7% to 4.8%</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4.1%</w:t>
            </w:r>
          </w:p>
        </w:tc>
        <w:tc>
          <w:tcPr>
            <w:tcW w:w="120" w:type="dxa"/>
            <w:vAlign w:val="bottom"/>
          </w:tcPr>
          <w:p>
            <w:pPr>
              <w:spacing w:after="0"/>
              <w:rPr>
                <w:sz w:val="14"/>
                <w:szCs w:val="14"/>
                <w:color w:val="auto"/>
              </w:rPr>
            </w:pPr>
          </w:p>
        </w:tc>
        <w:tc>
          <w:tcPr>
            <w:tcW w:w="106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auto"/>
                <w:w w:val="98"/>
              </w:rPr>
              <w:t>3.5% to 4.7%</w:t>
            </w:r>
          </w:p>
        </w:tc>
        <w:tc>
          <w:tcPr>
            <w:tcW w:w="1380" w:type="dxa"/>
            <w:vAlign w:val="bottom"/>
            <w:gridSpan w:val="3"/>
          </w:tcPr>
          <w:p>
            <w:pPr>
              <w:jc w:val="center"/>
              <w:ind w:left="136"/>
              <w:spacing w:after="0"/>
              <w:rPr>
                <w:sz w:val="20"/>
                <w:szCs w:val="20"/>
                <w:color w:val="auto"/>
              </w:rPr>
            </w:pPr>
            <w:r>
              <w:rPr>
                <w:rFonts w:ascii="Times New Roman" w:cs="Times New Roman" w:eastAsia="Times New Roman" w:hAnsi="Times New Roman"/>
                <w:sz w:val="13"/>
                <w:szCs w:val="13"/>
                <w:color w:val="auto"/>
                <w:w w:val="95"/>
              </w:rPr>
              <w:t>4.1%</w:t>
            </w:r>
          </w:p>
        </w:tc>
      </w:tr>
      <w:tr>
        <w:trPr>
          <w:trHeight w:val="161"/>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Expected life (in years)</w:t>
            </w:r>
          </w:p>
        </w:tc>
        <w:tc>
          <w:tcPr>
            <w:tcW w:w="136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3"/>
                <w:szCs w:val="13"/>
                <w:color w:val="auto"/>
                <w:w w:val="97"/>
              </w:rPr>
              <w:t>5.5 to 6.1 years</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6.0 years</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ind w:left="36"/>
              <w:spacing w:after="0"/>
              <w:rPr>
                <w:sz w:val="20"/>
                <w:szCs w:val="20"/>
                <w:color w:val="auto"/>
              </w:rPr>
            </w:pPr>
            <w:r>
              <w:rPr>
                <w:rFonts w:ascii="Times New Roman" w:cs="Times New Roman" w:eastAsia="Times New Roman" w:hAnsi="Times New Roman"/>
                <w:sz w:val="13"/>
                <w:szCs w:val="13"/>
                <w:color w:val="auto"/>
              </w:rPr>
              <w:t>6.0 to 6.1 years</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6.0 years</w:t>
            </w:r>
          </w:p>
        </w:tc>
      </w:tr>
      <w:tr>
        <w:trPr>
          <w:trHeight w:val="161"/>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Expected dividend yield</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0.0%</w:t>
            </w:r>
          </w:p>
        </w:tc>
        <w:tc>
          <w:tcPr>
            <w:tcW w:w="1180" w:type="dxa"/>
            <w:vAlign w:val="bottom"/>
            <w:gridSpan w:val="2"/>
          </w:tcPr>
          <w:p>
            <w:pPr>
              <w:jc w:val="center"/>
              <w:ind w:left="156"/>
              <w:spacing w:after="0"/>
              <w:rPr>
                <w:sz w:val="20"/>
                <w:szCs w:val="20"/>
                <w:color w:val="auto"/>
              </w:rPr>
            </w:pPr>
            <w:r>
              <w:rPr>
                <w:rFonts w:ascii="Times New Roman" w:cs="Times New Roman" w:eastAsia="Times New Roman" w:hAnsi="Times New Roman"/>
                <w:sz w:val="13"/>
                <w:szCs w:val="13"/>
                <w:color w:val="auto"/>
              </w:rPr>
              <w:t>0.0%</w:t>
            </w:r>
          </w:p>
        </w:tc>
        <w:tc>
          <w:tcPr>
            <w:tcW w:w="1380" w:type="dxa"/>
            <w:vAlign w:val="bottom"/>
            <w:gridSpan w:val="3"/>
          </w:tcPr>
          <w:p>
            <w:pPr>
              <w:jc w:val="center"/>
              <w:ind w:left="136"/>
              <w:spacing w:after="0"/>
              <w:rPr>
                <w:sz w:val="20"/>
                <w:szCs w:val="20"/>
                <w:color w:val="auto"/>
              </w:rPr>
            </w:pPr>
            <w:r>
              <w:rPr>
                <w:rFonts w:ascii="Times New Roman" w:cs="Times New Roman" w:eastAsia="Times New Roman" w:hAnsi="Times New Roman"/>
                <w:sz w:val="13"/>
                <w:szCs w:val="13"/>
                <w:color w:val="auto"/>
                <w:w w:val="95"/>
              </w:rPr>
              <w:t>0.0%</w:t>
            </w:r>
          </w:p>
        </w:tc>
      </w:tr>
      <w:tr>
        <w:trPr>
          <w:trHeight w:val="161"/>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Grant date fair value</w:t>
            </w:r>
          </w:p>
        </w:tc>
        <w:tc>
          <w:tcPr>
            <w:tcW w:w="136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3"/>
                <w:szCs w:val="13"/>
                <w:color w:val="auto"/>
              </w:rPr>
              <w:t>$7.19 to $33.87</w:t>
            </w:r>
          </w:p>
        </w:tc>
        <w:tc>
          <w:tcPr>
            <w:tcW w:w="1080" w:type="dxa"/>
            <w:vAlign w:val="bottom"/>
            <w:shd w:val="clear" w:color="auto" w:fill="CFF0FC"/>
          </w:tcPr>
          <w:p>
            <w:pPr>
              <w:jc w:val="center"/>
              <w:ind w:right="16"/>
              <w:spacing w:after="0"/>
              <w:rPr>
                <w:sz w:val="20"/>
                <w:szCs w:val="20"/>
                <w:color w:val="auto"/>
              </w:rPr>
            </w:pPr>
            <w:r>
              <w:rPr>
                <w:rFonts w:ascii="Times New Roman" w:cs="Times New Roman" w:eastAsia="Times New Roman" w:hAnsi="Times New Roman"/>
                <w:sz w:val="13"/>
                <w:szCs w:val="13"/>
                <w:color w:val="auto"/>
              </w:rPr>
              <w:t>$27.10</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ind w:left="36"/>
              <w:spacing w:after="0"/>
              <w:rPr>
                <w:sz w:val="20"/>
                <w:szCs w:val="20"/>
                <w:color w:val="auto"/>
              </w:rPr>
            </w:pPr>
            <w:r>
              <w:rPr>
                <w:rFonts w:ascii="Times New Roman" w:cs="Times New Roman" w:eastAsia="Times New Roman" w:hAnsi="Times New Roman"/>
                <w:sz w:val="13"/>
                <w:szCs w:val="13"/>
                <w:color w:val="auto"/>
                <w:w w:val="99"/>
              </w:rPr>
              <w:t>$36.89 to $60.65</w:t>
            </w:r>
          </w:p>
        </w:tc>
        <w:tc>
          <w:tcPr>
            <w:tcW w:w="1380" w:type="dxa"/>
            <w:vAlign w:val="bottom"/>
            <w:gridSpan w:val="3"/>
            <w:shd w:val="clear" w:color="auto" w:fill="CFF0FC"/>
          </w:tcPr>
          <w:p>
            <w:pPr>
              <w:jc w:val="center"/>
              <w:ind w:left="156"/>
              <w:spacing w:after="0"/>
              <w:rPr>
                <w:sz w:val="20"/>
                <w:szCs w:val="20"/>
                <w:color w:val="auto"/>
              </w:rPr>
            </w:pPr>
            <w:r>
              <w:rPr>
                <w:rFonts w:ascii="Times New Roman" w:cs="Times New Roman" w:eastAsia="Times New Roman" w:hAnsi="Times New Roman"/>
                <w:sz w:val="13"/>
                <w:szCs w:val="13"/>
                <w:color w:val="auto"/>
              </w:rPr>
              <w:t>$53.45</w:t>
            </w:r>
          </w:p>
        </w:tc>
      </w:tr>
    </w:tbl>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33"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Each share of common stock is entitled to one vote. Common stock reserved for future issuance consisted of the following:</w:t>
      </w:r>
    </w:p>
    <w:p>
      <w:pPr>
        <w:spacing w:after="0" w:line="3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21" w:name="page22"/>
    <w:bookmarkEnd w:id="21"/>
    <w:tbl>
      <w:tblPr>
        <w:tblLayout w:type="fixed"/>
        <w:tblInd w:w="116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4560" w:type="dxa"/>
            <w:vAlign w:val="bottom"/>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r>
      <w:tr>
        <w:trPr>
          <w:trHeight w:val="16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subject to stock options issued and outstanding under the Equity Plans</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6,754,939</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5,906,298</w:t>
            </w: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the Equity Plans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473,702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563,311</w:t>
            </w:r>
          </w:p>
        </w:tc>
      </w:tr>
      <w:tr>
        <w:trPr>
          <w:trHeight w:val="172"/>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 issued under the 2021 Plan</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846,579</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585,458</w:t>
            </w: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2021 ESPP</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463,240</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519,595</w:t>
            </w:r>
          </w:p>
        </w:tc>
        <w:tc>
          <w:tcPr>
            <w:tcW w:w="60" w:type="dxa"/>
            <w:vAlign w:val="bottom"/>
          </w:tcPr>
          <w:p>
            <w:pPr>
              <w:spacing w:after="0"/>
              <w:rPr>
                <w:sz w:val="14"/>
                <w:szCs w:val="14"/>
                <w:color w:val="auto"/>
              </w:rPr>
            </w:pPr>
          </w:p>
        </w:tc>
      </w:tr>
      <w:tr>
        <w:trPr>
          <w:trHeight w:val="203"/>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8,538,460</w:t>
            </w:r>
          </w:p>
        </w:tc>
        <w:tc>
          <w:tcPr>
            <w:tcW w:w="1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7,574,662</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-19685</wp:posOffset>
            </wp:positionV>
            <wp:extent cx="4064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-6350</wp:posOffset>
            </wp:positionV>
            <wp:extent cx="4064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7 – Leases</w:t>
      </w:r>
    </w:p>
    <w:p>
      <w:pPr>
        <w:spacing w:after="0" w:line="99"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p>
    <w:p>
      <w:pPr>
        <w:spacing w:after="0" w:line="86"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As of September 30, 2025 the Company held four leases for office, manufacturing and warehouse facilities in Aliso Viejo, California. The four leases are for approximately 150,000 square feet in the aggregate. For one such operating lease, the lessor provided $1.1 million in tenant allowances.</w:t>
      </w:r>
    </w:p>
    <w:p>
      <w:pPr>
        <w:spacing w:after="0" w:line="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presents the lease balances within the Condensed Consolidated Balance Sheets as of</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September 30, 2025 and December 31, 2024 (in thousands):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1040" w:type="dxa"/>
            <w:vAlign w:val="bottom"/>
          </w:tcPr>
          <w:p>
            <w:pPr>
              <w:spacing w:after="0"/>
              <w:rPr>
                <w:sz w:val="16"/>
                <w:szCs w:val="16"/>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6"/>
                <w:szCs w:val="16"/>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Pr>
          <w:p>
            <w:pPr>
              <w:spacing w:after="0"/>
              <w:rPr>
                <w:sz w:val="16"/>
                <w:szCs w:val="16"/>
                <w:color w:val="auto"/>
              </w:rPr>
            </w:pPr>
          </w:p>
        </w:tc>
      </w:tr>
      <w:tr>
        <w:trPr>
          <w:trHeight w:val="163"/>
        </w:trPr>
        <w:tc>
          <w:tcPr>
            <w:tcW w:w="1040" w:type="dxa"/>
            <w:vAlign w:val="bottom"/>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leases right-of-use assets</w:t>
            </w: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10,276</w:t>
            </w:r>
          </w:p>
        </w:tc>
        <w:tc>
          <w:tcPr>
            <w:tcW w:w="2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104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40" w:type="dxa"/>
            <w:vAlign w:val="bottom"/>
          </w:tcPr>
          <w:p>
            <w:pPr>
              <w:spacing w:after="0"/>
              <w:rPr>
                <w:sz w:val="14"/>
                <w:szCs w:val="14"/>
                <w:color w:val="auto"/>
              </w:rPr>
            </w:pPr>
          </w:p>
        </w:tc>
      </w:tr>
      <w:tr>
        <w:trPr>
          <w:trHeight w:val="203"/>
        </w:trPr>
        <w:tc>
          <w:tcPr>
            <w:tcW w:w="1040" w:type="dxa"/>
            <w:vAlign w:val="bottom"/>
          </w:tcPr>
          <w:p>
            <w:pPr>
              <w:spacing w:after="0"/>
              <w:rPr>
                <w:sz w:val="17"/>
                <w:szCs w:val="17"/>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lease assets</w:t>
            </w:r>
          </w:p>
        </w:tc>
        <w:tc>
          <w:tcPr>
            <w:tcW w:w="12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10,364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1040" w:type="dxa"/>
            <w:vAlign w:val="bottom"/>
          </w:tcPr>
          <w:p>
            <w:pPr>
              <w:spacing w:after="0"/>
              <w:rPr>
                <w:sz w:val="17"/>
                <w:szCs w:val="17"/>
                <w:color w:val="auto"/>
              </w:rPr>
            </w:pPr>
          </w:p>
        </w:tc>
      </w:tr>
      <w:tr>
        <w:trPr>
          <w:trHeight w:val="144"/>
        </w:trPr>
        <w:tc>
          <w:tcPr>
            <w:tcW w:w="1040" w:type="dxa"/>
            <w:vAlign w:val="bottom"/>
          </w:tcPr>
          <w:p>
            <w:pPr>
              <w:spacing w:after="0"/>
              <w:rPr>
                <w:sz w:val="12"/>
                <w:szCs w:val="12"/>
                <w:color w:val="auto"/>
              </w:rPr>
            </w:pPr>
          </w:p>
        </w:tc>
        <w:tc>
          <w:tcPr>
            <w:tcW w:w="196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FF0FC"/>
            </w:tcBorders>
          </w:tcPr>
          <w:p>
            <w:pPr>
              <w:spacing w:after="0"/>
              <w:rPr>
                <w:sz w:val="12"/>
                <w:szCs w:val="12"/>
                <w:color w:val="auto"/>
              </w:rPr>
            </w:pPr>
          </w:p>
        </w:tc>
        <w:tc>
          <w:tcPr>
            <w:tcW w:w="24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40" w:type="dxa"/>
            <w:vAlign w:val="bottom"/>
          </w:tcPr>
          <w:p>
            <w:pPr>
              <w:spacing w:after="0"/>
              <w:rPr>
                <w:sz w:val="12"/>
                <w:szCs w:val="12"/>
                <w:color w:val="auto"/>
              </w:rPr>
            </w:pPr>
          </w:p>
        </w:tc>
      </w:tr>
      <w:tr>
        <w:trPr>
          <w:trHeight w:val="172"/>
        </w:trPr>
        <w:tc>
          <w:tcPr>
            <w:tcW w:w="1040" w:type="dxa"/>
            <w:vAlign w:val="bottom"/>
          </w:tcPr>
          <w:p>
            <w:pPr>
              <w:spacing w:after="0"/>
              <w:rPr>
                <w:sz w:val="14"/>
                <w:szCs w:val="14"/>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4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1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4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Noncurrent</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1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10,200</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11,216</w:t>
            </w:r>
          </w:p>
        </w:tc>
        <w:tc>
          <w:tcPr>
            <w:tcW w:w="104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40" w:type="dxa"/>
            <w:vAlign w:val="bottom"/>
          </w:tcPr>
          <w:p>
            <w:pPr>
              <w:spacing w:after="0"/>
              <w:rPr>
                <w:sz w:val="14"/>
                <w:szCs w:val="14"/>
                <w:color w:val="auto"/>
              </w:rPr>
            </w:pPr>
          </w:p>
        </w:tc>
      </w:tr>
      <w:tr>
        <w:trPr>
          <w:trHeight w:val="183"/>
        </w:trPr>
        <w:tc>
          <w:tcPr>
            <w:tcW w:w="1040" w:type="dxa"/>
            <w:vAlign w:val="bottom"/>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1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11,565</w:t>
            </w:r>
          </w:p>
        </w:tc>
        <w:tc>
          <w:tcPr>
            <w:tcW w:w="2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12,296</w:t>
            </w:r>
          </w:p>
        </w:tc>
        <w:tc>
          <w:tcPr>
            <w:tcW w:w="10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29"/>
        </w:trPr>
        <w:tc>
          <w:tcPr>
            <w:tcW w:w="30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14"/>
        </w:trPr>
        <w:tc>
          <w:tcPr>
            <w:tcW w:w="1040" w:type="dxa"/>
            <w:vAlign w:val="bottom"/>
            <w:tcBorders>
              <w:bottom w:val="single" w:sz="8" w:color="9A9A9A"/>
            </w:tcBorders>
          </w:tcPr>
          <w:p>
            <w:pPr>
              <w:spacing w:after="0"/>
              <w:rPr>
                <w:sz w:val="24"/>
                <w:szCs w:val="24"/>
                <w:color w:val="auto"/>
              </w:rPr>
            </w:pPr>
          </w:p>
        </w:tc>
        <w:tc>
          <w:tcPr>
            <w:tcW w:w="19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4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-1751965</wp:posOffset>
            </wp:positionV>
            <wp:extent cx="4064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-1737995</wp:posOffset>
            </wp:positionV>
            <wp:extent cx="4064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-1751965</wp:posOffset>
            </wp:positionV>
            <wp:extent cx="4064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-1737995</wp:posOffset>
            </wp:positionV>
            <wp:extent cx="4064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-851535</wp:posOffset>
            </wp:positionV>
            <wp:extent cx="4064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-838200</wp:posOffset>
            </wp:positionV>
            <wp:extent cx="4064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-851535</wp:posOffset>
            </wp:positionV>
            <wp:extent cx="4064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-838200</wp:posOffset>
            </wp:positionV>
            <wp:extent cx="4064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22" w:name="page23"/>
    <w:bookmarkEnd w:id="22"/>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Maturities of the Company’s operating and finance lease liabilities as of September 30, 2025 were as follows (in thousands):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8"/>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6"/>
                <w:szCs w:val="16"/>
                <w:color w:val="auto"/>
              </w:rPr>
            </w:pPr>
          </w:p>
        </w:tc>
      </w:tr>
      <w:tr>
        <w:trPr>
          <w:trHeight w:val="163"/>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2025 (remainder)</w:t>
            </w:r>
          </w:p>
        </w:tc>
        <w:tc>
          <w:tcPr>
            <w:tcW w:w="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4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r>
      <w:tr>
        <w:trPr>
          <w:trHeight w:val="172"/>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4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2029</w:t>
            </w: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4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4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124</w:t>
            </w:r>
          </w:p>
        </w:tc>
      </w:tr>
      <w:tr>
        <w:trPr>
          <w:trHeight w:val="172"/>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(5,237)</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r>
      <w:tr>
        <w:trPr>
          <w:trHeight w:val="163"/>
        </w:trPr>
        <w:tc>
          <w:tcPr>
            <w:tcW w:w="2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56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11,465</w:t>
            </w:r>
          </w:p>
        </w:tc>
        <w:tc>
          <w:tcPr>
            <w:tcW w:w="440" w:type="dxa"/>
            <w:vAlign w:val="bottom"/>
            <w:tcBorders>
              <w:top w:val="single" w:sz="8" w:color="CFF0FC"/>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Borders>
              <w:top w:val="single" w:sz="8" w:color="CFF0FC"/>
            </w:tcBorders>
          </w:tcPr>
          <w:p>
            <w:pPr>
              <w:spacing w:after="0"/>
              <w:rPr>
                <w:sz w:val="14"/>
                <w:szCs w:val="14"/>
                <w:color w:val="auto"/>
              </w:rPr>
            </w:pPr>
          </w:p>
        </w:tc>
      </w:tr>
      <w:tr>
        <w:trPr>
          <w:trHeight w:val="20"/>
        </w:trPr>
        <w:tc>
          <w:tcPr>
            <w:tcW w:w="2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-360680</wp:posOffset>
            </wp:positionV>
            <wp:extent cx="4064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-360680</wp:posOffset>
            </wp:positionV>
            <wp:extent cx="4064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-135890</wp:posOffset>
            </wp:positionV>
            <wp:extent cx="4064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23"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The weighted average remaining lease term and weighted average discount rate used to determine lease liabilities related to the Company’s operating and finance leases as of September 30, 2025 and December 31, 2024 were:</w:t>
      </w:r>
    </w:p>
    <w:p>
      <w:pPr>
        <w:spacing w:after="0" w:line="69"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134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r>
      <w:tr>
        <w:trPr>
          <w:trHeight w:val="163"/>
        </w:trPr>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60" w:type="dxa"/>
            <w:vAlign w:val="bottom"/>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2"/>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1520" w:type="dxa"/>
            <w:vAlign w:val="bottom"/>
            <w:gridSpan w:val="3"/>
          </w:tcPr>
          <w:p>
            <w:pPr>
              <w:ind w:left="1080"/>
              <w:spacing w:after="0"/>
              <w:rPr>
                <w:sz w:val="20"/>
                <w:szCs w:val="20"/>
                <w:color w:val="auto"/>
              </w:rPr>
            </w:pPr>
            <w:r>
              <w:rPr>
                <w:rFonts w:ascii="Times New Roman" w:cs="Times New Roman" w:eastAsia="Times New Roman" w:hAnsi="Times New Roman"/>
                <w:sz w:val="14"/>
                <w:szCs w:val="14"/>
                <w:color w:val="auto"/>
              </w:rPr>
              <w:t>5.34</w:t>
            </w:r>
          </w:p>
        </w:tc>
        <w:tc>
          <w:tcPr>
            <w:tcW w:w="15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6.08</w:t>
            </w:r>
          </w:p>
        </w:tc>
      </w:tr>
      <w:tr>
        <w:trPr>
          <w:trHeight w:val="172"/>
        </w:trPr>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1520" w:type="dxa"/>
            <w:vAlign w:val="bottom"/>
            <w:gridSpan w:val="3"/>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3.10</w:t>
            </w:r>
          </w:p>
        </w:tc>
        <w:tc>
          <w:tcPr>
            <w:tcW w:w="154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rPr>
              <w:t>3.85</w:t>
            </w:r>
          </w:p>
        </w:tc>
      </w:tr>
      <w:tr>
        <w:trPr>
          <w:trHeight w:val="172"/>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1520" w:type="dxa"/>
            <w:vAlign w:val="bottom"/>
            <w:gridSpan w:val="3"/>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14.4%</w:t>
            </w:r>
          </w:p>
        </w:tc>
        <w:tc>
          <w:tcPr>
            <w:tcW w:w="154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w w:val="99"/>
              </w:rPr>
              <w:t>14.4%</w:t>
            </w:r>
          </w:p>
        </w:tc>
      </w:tr>
      <w:tr>
        <w:trPr>
          <w:trHeight w:val="186"/>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1520" w:type="dxa"/>
            <w:vAlign w:val="bottom"/>
            <w:gridSpan w:val="3"/>
          </w:tcPr>
          <w:p>
            <w:pPr>
              <w:ind w:left="1080"/>
              <w:spacing w:after="0"/>
              <w:rPr>
                <w:sz w:val="20"/>
                <w:szCs w:val="20"/>
                <w:color w:val="auto"/>
              </w:rPr>
            </w:pPr>
            <w:r>
              <w:rPr>
                <w:rFonts w:ascii="Times New Roman" w:cs="Times New Roman" w:eastAsia="Times New Roman" w:hAnsi="Times New Roman"/>
                <w:sz w:val="14"/>
                <w:szCs w:val="14"/>
                <w:color w:val="auto"/>
              </w:rPr>
              <w:t>14.4%</w:t>
            </w:r>
          </w:p>
        </w:tc>
        <w:tc>
          <w:tcPr>
            <w:tcW w:w="15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w w:val="99"/>
              </w:rPr>
              <w:t>14.4%</w:t>
            </w:r>
          </w:p>
        </w:tc>
      </w:tr>
    </w:tbl>
    <w:p>
      <w:pPr>
        <w:spacing w:after="0" w:line="1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Legal Matters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recognizes legal expense in connection with loss contingencies as incurred.</w:t>
      </w:r>
    </w:p>
    <w:p>
      <w:pPr>
        <w:spacing w:after="0" w:line="9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Company occasionally becomes involved in litigation arising from the normal course of business, and management is unable to determine the extent of any liability that may arise from unanticipated future litigation. The Company has no reason to believe that any liability with respect to pending legal actions or regulatory requests, individually or in the aggregate, will have a material adverse effect on the Company’s consolidated financial statements or results of operations.</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9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On July 22, 2025, a putative securities class action complaint was filed in the U.S. District Court for the Central District of California against the Company and certain of its officers, captioned Makaveev v. RxSight, Inc., et al., No. 8:25-cv-01596. The lawsuit asserts claims under Sections 10(b) and 20(a) of the Securities Exchange Act of 1934 and SEC Rule 10b-5, alleging that the defendants made materially false and misleading statements and omitted material adverse facts regarding demand for the Company’s products and financial guidance. On September 16, 2025, a related putative securities class action complaint was filed in the U.S. District Court for the Central District of California against the Company and certain of its officers, captioned Gémesi v. RxSight, Inc., et al., No. 25-cv-02093. On October 6, 2025, the court entered an order consolidating the Makaveev and Gémesi actions, appointing a lead plaintiff and approving selection of lead counsel, and re-captioning the case as In re RxSight Securities Litigation, No. 8:25-cv-01596-FWS-KES. The plaintiffs seek unspecified compensatory and punitive damages, and reasonable costs and expenses, including attorneys’ fees.</w:t>
      </w: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338" w:right="1440" w:bottom="1440" w:gutter="0" w:footer="0" w:header="0"/>
        </w:sectPr>
      </w:pPr>
    </w:p>
    <w:bookmarkStart w:id="23" w:name="page24"/>
    <w:bookmarkEnd w:id="23"/>
    <w:p>
      <w:pPr>
        <w:ind w:left="1160"/>
        <w:spacing w:after="0"/>
        <w:rPr>
          <w:sz w:val="20"/>
          <w:szCs w:val="20"/>
          <w:color w:val="auto"/>
        </w:rPr>
      </w:pPr>
      <w:r>
        <w:rPr>
          <w:rFonts w:ascii="Times New Roman" w:cs="Times New Roman" w:eastAsia="Times New Roman" w:hAnsi="Times New Roman"/>
          <w:sz w:val="14"/>
          <w:szCs w:val="14"/>
          <w:i w:val="1"/>
          <w:iCs w:val="1"/>
          <w:color w:val="auto"/>
        </w:rPr>
        <w:t>Shareholder Derivative Actions</w:t>
      </w:r>
    </w:p>
    <w:p>
      <w:pPr>
        <w:spacing w:after="0" w:line="9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On August 18, 2025, a shareholder derivative action was filed in the U.S. District Court for the Central District of California against certain of the Company’s officers and directors, captioned Swift v. Kurtz, et al., Case No. 8:25-cv-01820-FWS-KES. The plaintiff purports to bring the action derivatively on behalf of the Company, and the Company is named as a nominal defendant. The complaint generally alleges that the defendants made false and misleading statements and omitted material adverse facts regarding declining sales, demand for the Company’s products, and financial guidance, and the Company lacked internal controls. The complaint asserts claims for alleged violations of Section 14(a) of the Exchange Act, as well as claims for alleged breaches of fiduciary duties, aiding and abetting, unjust enrichment, and waste of corporate assets. The complaint seeks unspecified damages on behalf of the Company, declaratory relief, a constructive trust, punitive damages, and an award of costs and expenses, including attorneys’ fees. On October 2, 2025, the court entered an order staying proceedings in the Swift action until a final resolution of the Securities Class Actions, including the exhaustion of any appeals.</w:t>
      </w:r>
    </w:p>
    <w:p>
      <w:pPr>
        <w:spacing w:after="0" w:line="65" w:lineRule="exact"/>
        <w:rPr>
          <w:sz w:val="20"/>
          <w:szCs w:val="20"/>
          <w:color w:val="auto"/>
        </w:rPr>
      </w:pPr>
    </w:p>
    <w:p>
      <w:pPr>
        <w:ind w:left="1160" w:right="1199" w:firstLine="293"/>
        <w:spacing w:after="0" w:line="263" w:lineRule="auto"/>
        <w:rPr>
          <w:sz w:val="20"/>
          <w:szCs w:val="20"/>
          <w:color w:val="auto"/>
        </w:rPr>
      </w:pPr>
      <w:r>
        <w:rPr>
          <w:rFonts w:ascii="Times New Roman" w:cs="Times New Roman" w:eastAsia="Times New Roman" w:hAnsi="Times New Roman"/>
          <w:sz w:val="14"/>
          <w:szCs w:val="14"/>
          <w:color w:val="auto"/>
        </w:rPr>
        <w:t>On October 10, 2025, a related shareholder derivative action was filed in the U.S. District Court for the Central District of California against certain of the Company’s officers and directors, captioned Yost v. Kurtz, et al., Case No. 8:25-cv-2295. The complaint asserts claims for alleged breaches of fiduciary duties, gross mismanagement, waste of corporate assets, unjust enrichment, aiding and abetting, insider trading, and alleged violations of Section 14(a) of the Exchange Act and seeks unspecified damages on behalf of the Company, declaratory relief, disgorgement, corporate governance reforms, and an award of costs and expenses, including attorneys’ fees.</w:t>
      </w:r>
    </w:p>
    <w:p>
      <w:pPr>
        <w:spacing w:after="0" w:line="58"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While it is too early to predict the outcome of the litigation or a reasonable range of potential losses and whether an adverse result would have a material adverse impact on the Company's results of operations or financial position, the company believes it has meritorious defenses, vehemently denies the allegations, and intends to defend the case vigorously. Failure to obtain a favorable resolution of this lawsuit could have a material adverse effect on the Company’s business, results of operations and financial condition.</w:t>
      </w:r>
    </w:p>
    <w:p>
      <w:pPr>
        <w:spacing w:after="0" w:line="226" w:lineRule="exact"/>
        <w:rPr>
          <w:sz w:val="20"/>
          <w:szCs w:val="20"/>
          <w:color w:val="auto"/>
        </w:rPr>
      </w:pPr>
    </w:p>
    <w:p>
      <w:pPr>
        <w:ind w:left="1160" w:right="1179"/>
        <w:spacing w:after="0" w:line="295"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34" w:lineRule="exact"/>
        <w:rPr>
          <w:sz w:val="20"/>
          <w:szCs w:val="20"/>
          <w:color w:val="auto"/>
        </w:rPr>
      </w:pPr>
    </w:p>
    <w:p>
      <w:pPr>
        <w:ind w:left="1160" w:right="131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2024, included in our Annual Report on Form 10-K filed with the U.S. Securities and Exchange Commission on February 25, 2025.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and elsewhere in, this report. See “Special Note Regarding Forward-Looking Statements.”</w:t>
      </w:r>
    </w:p>
    <w:p>
      <w:pPr>
        <w:spacing w:after="0" w:line="59" w:lineRule="exact"/>
        <w:rPr>
          <w:sz w:val="20"/>
          <w:szCs w:val="20"/>
          <w:color w:val="auto"/>
        </w:rPr>
      </w:pPr>
    </w:p>
    <w:p>
      <w:pPr>
        <w:ind w:left="1160" w:right="1199" w:firstLine="258"/>
        <w:spacing w:after="0" w:line="228" w:lineRule="auto"/>
        <w:rPr>
          <w:sz w:val="20"/>
          <w:szCs w:val="20"/>
          <w:color w:val="auto"/>
        </w:rPr>
      </w:pPr>
      <w:r>
        <w:rPr>
          <w:rFonts w:ascii="Times New Roman" w:cs="Times New Roman" w:eastAsia="Times New Roman" w:hAnsi="Times New Roman"/>
          <w:sz w:val="14"/>
          <w:szCs w:val="14"/>
          <w:color w:val="auto"/>
        </w:rPr>
        <w:t>We are a commercial-stage medical technology company dedicated to providing high quality customized vision to patients following cataract surgery. Our proprietary RxSight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(“LAL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and “LAL+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collectively the “LAL”), RxSight Light Delivery Device (“LDD™”), and accessories. Our LAL is a premium intraocular lens (“IOL”) made of proprietary photosensitive material that changes shape in response to specific patterns of ultraviolet (“UV”) light generated by our LDD.</w:t>
      </w:r>
    </w:p>
    <w:p>
      <w:pPr>
        <w:spacing w:after="0" w:line="76"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designed our RxSight system to address the limitations of competitive premium IOL technologies and provide a solution that doctors can trust to deliver improved visual outcomes and achieve high levels of patient satisfaction. Competitive premium IOLs require patients to specify their visual priorities before surgery and to accept various optical trade-offs associated with those choices. Once a patient selects a competing premium IOL, the surgeon must rely on a series of preoperative diagnostic tests and predictive formulae to determine the appropriate lens power. If the prediction isn’t exact, the patient may experience suboptimal results, that could require wearing glasses or a subsequent corneal refractive procedure or other compromises to achieve desired vision targets.</w:t>
      </w:r>
    </w:p>
    <w:p>
      <w:pPr>
        <w:spacing w:after="0" w:line="59"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In contrast, with the RxSight system, the surgeon implants the LAL during a standard cataract procedure, determines refractive error with patient input several weeks following surgery, and then uses the LDD to modify the lens with the precise visual correction needed to achieve the patient’s desired vision outcome. We believe our</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24" w:name="page25"/>
    <w:bookmarkEnd w:id="24"/>
    <w:p>
      <w:pPr>
        <w:ind w:left="1160" w:right="1339"/>
        <w:spacing w:after="0" w:line="274" w:lineRule="auto"/>
        <w:rPr>
          <w:sz w:val="20"/>
          <w:szCs w:val="20"/>
          <w:color w:val="auto"/>
        </w:rPr>
      </w:pPr>
      <w:r>
        <w:rPr>
          <w:rFonts w:ascii="Times New Roman" w:cs="Times New Roman" w:eastAsia="Times New Roman" w:hAnsi="Times New Roman"/>
          <w:sz w:val="14"/>
          <w:szCs w:val="14"/>
          <w:color w:val="auto"/>
        </w:rPr>
        <w:t>RxSight system gives doctors and patients greater confidence and peace of mind by eliminating much of the high-stakes preoperative guesswork associated with competing premium IOLs and enabling patients to fine-tune their final visual outcomes through customized post-surgical adjustments.</w:t>
      </w:r>
    </w:p>
    <w:p>
      <w:pPr>
        <w:spacing w:after="0" w:line="50" w:lineRule="exact"/>
        <w:rPr>
          <w:sz w:val="20"/>
          <w:szCs w:val="20"/>
          <w:color w:val="auto"/>
        </w:rPr>
      </w:pPr>
    </w:p>
    <w:p>
      <w:pPr>
        <w:ind w:left="1160" w:right="1279" w:firstLine="258"/>
        <w:spacing w:after="0" w:line="260" w:lineRule="auto"/>
        <w:rPr>
          <w:sz w:val="20"/>
          <w:szCs w:val="20"/>
          <w:color w:val="auto"/>
        </w:rPr>
      </w:pPr>
      <w:r>
        <w:rPr>
          <w:rFonts w:ascii="Times New Roman" w:cs="Times New Roman" w:eastAsia="Times New Roman" w:hAnsi="Times New Roman"/>
          <w:sz w:val="14"/>
          <w:szCs w:val="14"/>
          <w:color w:val="auto"/>
        </w:rPr>
        <w:t>Currently, we primarily compete in the IOL market in the U.S. The LAL is a premium IOL which is partially reimbursable under Medicare, and in some cases by private payors. Premium IOLs are sold at a higher price point than conventional IOLs as they provide refractive vision correction, whereas conventional IOLs simply replace the natural lens with a clear lens (which is the standard for Medicare reimbursement). Our RxSight system is approved in the U.S., and several foreign countries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opportunities. New approvals may also be sought in large foreign cataract markets with more complex regulatory processes such as Asia and Europe.</w:t>
      </w:r>
    </w:p>
    <w:p>
      <w:pPr>
        <w:spacing w:after="0" w:line="63"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We are a Delaware corporation headquartered in Aliso Viejo, California with two wholly owned subsidiaries located in Hong Kong (“RxSight, Hong Kong”) and in Amsterdam, Netherlands (“RxSight, Netherlands”). RxSight, Netherlands has a registered branch in the United Kingdom and a wholly owned subsidiary located in Germany (“RxSight Germany”).</w:t>
      </w:r>
    </w:p>
    <w:p>
      <w:pPr>
        <w:spacing w:after="0" w:line="54"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Our commercial efforts began in 2019 and have been primarily focused in the United States, where we are building a “razor and razor blade” business model to drive new customer adoption and ongoing LAL volume growth. Our sales efforts are concentrated on the roughly 3,500 U.S. cataract surgeons that perform approximately 70% to 80% of all premium IOL procedures. As of September 30, 2025, we had established an installed base of 1,109 LDDs in ophthalmology practices and, since our inception through September 30, 2025, surgeons have implanted approximately 276,000 LALs.</w:t>
      </w:r>
    </w:p>
    <w:p>
      <w:pPr>
        <w:spacing w:after="0" w:line="58"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believe this business model provides an attractive and concentrated market opportunity addressable with a focused sales force. We intend to continue to make significant investments in our sales, marketing, clinical and practice development organizations. We recently completed a full realignment of our U.S. commercial organization by integrating our clinical and sales teams into a single unified Customer Success Organization. This new structure will not only help us better support our existing customers, but it will also position us for the next phase of adoption. Each integrated team within the Customer Success Organization is responsible for a defined group of doctors and practices, managing the customer experience from onboarding through long-term LAL utilization growth. The majority of employees in our approximately 200-person commercial organization are in the Customer Success Organization. We plan on growing our business by both increasing the adoption of the LAL and expanding the size of our LDD installed base, including in international markets. To further strengthen our competitive position in the premium IOL market, our research and development activities are focused primarily on products, including software upgrades and programs that aim to improve clinical outcomes, improve customer experience, expand our indications for use, reduce manufacturing costs and support lifecycle management.</w:t>
      </w:r>
    </w:p>
    <w:p>
      <w:pPr>
        <w:spacing w:after="0" w:line="61"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60"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intend to continue to make investments in our sales and marketing organization, including personnel in clinical applications, practice development, sales and technical service personnel. We will expand our marketing efforts though additional print and digital, social media, education and other customer tools to drive further adoption of the RxSight system. We will also continue to make significant investments in research and development and clinical expenses to make enhancements in our current products. Additionally, as a public company, we have incurred and expect to continue to incur increased costs for employee-related expenses, director and officer insurance premiums, audit fees, costs for compliance with Section 404(b) of the Sarbanes-Oxley Act, legal fees, investor relations fees, fees to members of our Board of Directors, and expenses for compliance with public-company reporting requirements. Because of these and other factors, we expect to continue to incur net losses and negative cash flows from operations in the near future.</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5" w:name="page26"/>
    <w:bookmarkEnd w:id="25"/>
    <w:p>
      <w:pPr>
        <w:ind w:left="1160"/>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9"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We regularly review several operating and financial metrics to evaluate our business, measure our performance, identify trends affecting our business, formulate our business plan and make strategic decisions. We believe the number of LDDs installed, LDD installed base and LALs implanted are indicators of our ability to drive adoption and generate revenue.</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center"/>
              <w:ind w:lef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52"/>
        </w:trPr>
        <w:tc>
          <w:tcPr>
            <w:tcW w:w="1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Q1</w:t>
            </w:r>
          </w:p>
        </w:tc>
        <w:tc>
          <w:tcPr>
            <w:tcW w:w="12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Q2</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Q3</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Q1</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Q2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Q3</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Q4</w:t>
            </w:r>
          </w:p>
        </w:tc>
        <w:tc>
          <w:tcPr>
            <w:tcW w:w="180" w:type="dxa"/>
            <w:vAlign w:val="bottom"/>
          </w:tcPr>
          <w:p>
            <w:pPr>
              <w:spacing w:after="0"/>
              <w:rPr>
                <w:sz w:val="13"/>
                <w:szCs w:val="13"/>
                <w:color w:val="auto"/>
              </w:rPr>
            </w:pPr>
          </w:p>
        </w:tc>
      </w:tr>
      <w:tr>
        <w:trPr>
          <w:trHeight w:val="163"/>
        </w:trPr>
        <w:tc>
          <w:tcPr>
            <w:tcW w:w="2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LDDs Sold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shd w:val="clear" w:color="auto" w:fill="CFF0FC"/>
          </w:tcPr>
          <w:p>
            <w:pPr>
              <w:spacing w:after="0"/>
              <w:rPr>
                <w:sz w:val="14"/>
                <w:szCs w:val="14"/>
                <w:color w:val="auto"/>
              </w:rPr>
            </w:pPr>
          </w:p>
        </w:tc>
      </w:tr>
      <w:tr>
        <w:trPr>
          <w:trHeight w:val="172"/>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Installed Base at End of Period</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20" w:type="dxa"/>
            <w:vAlign w:val="bottom"/>
            <w:gridSpan w:val="2"/>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80" w:type="dxa"/>
            <w:vAlign w:val="bottom"/>
          </w:tcPr>
          <w:p>
            <w:pPr>
              <w:spacing w:after="0"/>
              <w:rPr>
                <w:sz w:val="14"/>
                <w:szCs w:val="14"/>
                <w:color w:val="auto"/>
              </w:rPr>
            </w:pPr>
          </w:p>
        </w:tc>
      </w:tr>
      <w:tr>
        <w:trPr>
          <w:trHeight w:val="367"/>
        </w:trPr>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center"/>
              <w:ind w:lef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2"/>
        </w:trPr>
        <w:tc>
          <w:tcPr>
            <w:tcW w:w="1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Q1</w:t>
            </w:r>
          </w:p>
        </w:tc>
        <w:tc>
          <w:tcPr>
            <w:tcW w:w="12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Q2</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Q3</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Q1</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Q2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Q3</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Q4</w:t>
            </w:r>
          </w:p>
        </w:tc>
        <w:tc>
          <w:tcPr>
            <w:tcW w:w="180" w:type="dxa"/>
            <w:vAlign w:val="bottom"/>
          </w:tcPr>
          <w:p>
            <w:pPr>
              <w:spacing w:after="0"/>
              <w:rPr>
                <w:sz w:val="13"/>
                <w:szCs w:val="13"/>
                <w:color w:val="auto"/>
              </w:rPr>
            </w:pPr>
          </w:p>
        </w:tc>
      </w:tr>
      <w:tr>
        <w:trPr>
          <w:trHeight w:val="163"/>
        </w:trPr>
        <w:tc>
          <w:tcPr>
            <w:tcW w:w="2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LALs Sold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27,579</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27,380</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26,045</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20,218</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24,214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24,554</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29,069</w:t>
            </w:r>
          </w:p>
        </w:tc>
        <w:tc>
          <w:tcPr>
            <w:tcW w:w="180" w:type="dxa"/>
            <w:vAlign w:val="bottom"/>
            <w:shd w:val="clear" w:color="auto" w:fill="CFF0FC"/>
          </w:tcPr>
          <w:p>
            <w:pPr>
              <w:spacing w:after="0"/>
              <w:rPr>
                <w:sz w:val="14"/>
                <w:szCs w:val="14"/>
                <w:color w:val="auto"/>
              </w:rPr>
            </w:pPr>
          </w:p>
        </w:tc>
      </w:tr>
      <w:tr>
        <w:trPr>
          <w:trHeight w:val="172"/>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bl>
    <w:p>
      <w:pPr>
        <w:spacing w:after="0" w:line="168"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During the quarter ended September 30, 2025, we sold 25 LDD's, which was a decrease of 53 LDDs when compared to the prior year period due to slower adoption of our RxSight technology by practices and doctors. LAL sales increased by 1,491 when compared to the quarter ended September 30, 2024 primarily due to a larger LDD installed base.</w:t>
      </w:r>
    </w:p>
    <w:p>
      <w:pPr>
        <w:spacing w:after="0" w:line="54"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Our quarterly and annual financial results may fluctuate as a result of a variety of factors, many of which are outside our control. We may not yet be able to accurately assess seasonality and other trends, and we will continue to evaluate our business in the future using these and other financial metrics as we observe trends in our business. Seasonality may cause fluctuations in our operating results and financial metrics and make forecasting our future operating results and financial metrics more difficult.</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Our sales consist of the sale of LALs used in cataract surgeries, the LDDs for delivering light to the LALs to adjust the lens post-surgery, as needed, and service and accessories. Revenue is derived from sales of products mainly in the United States and select international markets. Customers are primarily comprised of ophthalmic practices (LDD sales) and ambulatory surgery centers (LAL sales). We recently completed a full realignment of our U.S. commercial organization by integrating our clinical and sales teams into a single unified Customer Success Organization. Each integrated team within the Customer Success Organization is responsible for a defined group of doctors and practices, managing customer experience from onboarding through long-term LAL utilization growth. Following several years of rapid growth, sales moderated in 2025, and we expect our commercial realignment initiatives to position the company for renewed revenue growth. We plan to drive continued expansion by supporting existing practices and strategically expanding our LDD installed base and helping new adopters in achieving early success and sustained long-term growth.</w:t>
      </w:r>
    </w:p>
    <w:p>
      <w:pPr>
        <w:spacing w:after="0" w:line="65"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the U.S. LALs are held at customer sites on consignment. Revenue is recognized for LALs upon customer notification that the LALs have been implanted in a patient. Outside the U.S., generally, LALs are held at distributor sites and distributor customer locations, with revenue recognized for LALs upon the distributor notification that the LALs have been implanted in a patient.</w:t>
      </w:r>
    </w:p>
    <w:p>
      <w:pPr>
        <w:spacing w:after="0" w:line="5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or shipment to our international distributors.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26" w:name="page27"/>
    <w:bookmarkEnd w:id="26"/>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For the three and nine months ended September 30, 2025 and 2024, revenue from contracts with customers consisted of the following (in thousands):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4"/>
                <w:szCs w:val="14"/>
                <w:color w:val="auto"/>
              </w:rPr>
            </w:pPr>
          </w:p>
        </w:tc>
        <w:tc>
          <w:tcPr>
            <w:tcW w:w="2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LDD (including training)</w:t>
            </w:r>
          </w:p>
        </w:tc>
        <w:tc>
          <w:tcPr>
            <w:tcW w:w="72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10,128</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17,698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29,030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LAL</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79,886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Service warranty, service contracts,</w:t>
            </w:r>
          </w:p>
        </w:tc>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accessories</w:t>
            </w:r>
          </w:p>
        </w:tc>
        <w:tc>
          <w:tcPr>
            <w:tcW w:w="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Total Sales</w:t>
            </w:r>
          </w:p>
        </w:tc>
        <w:tc>
          <w:tcPr>
            <w:tcW w:w="720" w:type="dxa"/>
            <w:vAlign w:val="bottom"/>
            <w:gridSpan w:val="2"/>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30,340</w:t>
            </w:r>
          </w:p>
        </w:tc>
        <w:tc>
          <w:tcPr>
            <w:tcW w:w="14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101,871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-245110</wp:posOffset>
            </wp:positionV>
            <wp:extent cx="4064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-245110</wp:posOffset>
            </wp:positionV>
            <wp:extent cx="4064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-245110</wp:posOffset>
            </wp:positionV>
            <wp:extent cx="4064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-245110</wp:posOffset>
            </wp:positionV>
            <wp:extent cx="4064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499" w:firstLine="258"/>
        <w:spacing w:after="0" w:line="292" w:lineRule="auto"/>
        <w:rPr>
          <w:sz w:val="20"/>
          <w:szCs w:val="20"/>
          <w:color w:val="auto"/>
        </w:rPr>
      </w:pPr>
      <w:r>
        <w:rPr>
          <w:rFonts w:ascii="Times New Roman" w:cs="Times New Roman" w:eastAsia="Times New Roman" w:hAnsi="Times New Roman"/>
          <w:sz w:val="14"/>
          <w:szCs w:val="14"/>
          <w:color w:val="auto"/>
        </w:rPr>
        <w:t>For the three and nine months ended September 30, 2025 and 2024 we did not have any one customer who individually accounted for more than 10% of revenue.</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Cost of sales consist of materials, labor and manufacturing overhead internally to produce our products as well as the cost of shipping and handling. Overhead costs include the cost of quality assurance, material procurement, inventory control, facilities, equipment and operations management and stock-based compensation. Cost of sales also includes depreciation expense for production equipment and certain direct costs such as shipping costs. Shipping costs billed to customers are included in sales. As we return to growth, we expect cost of sales to increase in absolute dollars as our revenue grows and higher volume of products are sold.</w:t>
      </w:r>
    </w:p>
    <w:p>
      <w:pPr>
        <w:spacing w:after="0" w:line="58"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We calculate gross margin as gross profit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increase or decrease units of production for both the LDD and LAL and as we adopt new manufacturing processes and technologies.</w:t>
      </w:r>
    </w:p>
    <w:p>
      <w:pPr>
        <w:spacing w:after="0" w:line="56"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Our LDD, as is typical of many medical device capital equipment products, has a lower gross margin, as the material cost of the LDD is a significant portion of the total cost to manufacture. In addition, we do not mark up our LDD substantially because LDDs, once sold, can generate LAL procedures. Our LAL gross margin is higher, with low material cost but high fixed overhead costs. When our manufacturing volume of the LAL increases, we expect gross margins to improve, and conversely, if we produce fewer LALs, our gross margins to decrease.</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0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jc w:val="both"/>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7" w:name="page28"/>
    <w:bookmarkEnd w:id="27"/>
    <w:p>
      <w:pPr>
        <w:ind w:left="1160" w:right="1219"/>
        <w:spacing w:after="0" w:line="261" w:lineRule="auto"/>
        <w:rPr>
          <w:sz w:val="20"/>
          <w:szCs w:val="20"/>
          <w:color w:val="auto"/>
        </w:rPr>
      </w:pPr>
      <w:r>
        <w:rPr>
          <w:rFonts w:ascii="Times New Roman" w:cs="Times New Roman" w:eastAsia="Times New Roman" w:hAnsi="Times New Roman"/>
          <w:sz w:val="14"/>
          <w:szCs w:val="14"/>
          <w:color w:val="auto"/>
        </w:rPr>
        <w:t>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spacing w:after="0" w:line="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expense consists primarily of interest incurred on leases.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101"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Interest and other income, net consists primarily of interest income earned on our short-term investments and cash equivalents.</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01"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September 30, 2025 and 2024</w:t>
      </w:r>
    </w:p>
    <w:p>
      <w:pPr>
        <w:spacing w:after="0" w:line="101"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our results of operations for the three months ended September 30, 2025 and 2024 together with the dollar increase or decrease and percentage change in those items.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040" w:type="dxa"/>
            <w:vAlign w:val="bottom"/>
          </w:tcPr>
          <w:p>
            <w:pPr>
              <w:spacing w:after="0"/>
              <w:rPr>
                <w:sz w:val="14"/>
                <w:szCs w:val="14"/>
                <w:color w:val="auto"/>
              </w:rPr>
            </w:pPr>
          </w:p>
        </w:tc>
        <w:tc>
          <w:tcPr>
            <w:tcW w:w="2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30,340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35,314</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(4,974)</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1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(3,981)</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24,227</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25,220</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(993)</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(3.9)%</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27,345</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25,608</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shd w:val="clear" w:color="auto" w:fill="CFF0FC"/>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8,838</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268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auto"/>
            </w:tcBorders>
            <w:shd w:val="clear" w:color="auto" w:fill="CFF0FC"/>
          </w:tcPr>
          <w:p>
            <w:pPr>
              <w:spacing w:after="0"/>
              <w:rPr>
                <w:sz w:val="13"/>
                <w:szCs w:val="13"/>
                <w:color w:val="auto"/>
              </w:rPr>
            </w:pPr>
          </w:p>
        </w:tc>
        <w:tc>
          <w:tcPr>
            <w:tcW w:w="680" w:type="dxa"/>
            <w:vAlign w:val="bottom"/>
            <w:tcBorders>
              <w:top w:val="single" w:sz="8" w:color="CFF0FC"/>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36,405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auto"/>
            </w:tcBorders>
            <w:shd w:val="clear" w:color="auto" w:fill="CFF0FC"/>
          </w:tcPr>
          <w:p>
            <w:pPr>
              <w:spacing w:after="0"/>
              <w:rPr>
                <w:sz w:val="13"/>
                <w:szCs w:val="13"/>
                <w:color w:val="auto"/>
              </w:rPr>
            </w:pPr>
          </w:p>
        </w:tc>
        <w:tc>
          <w:tcPr>
            <w:tcW w:w="660" w:type="dxa"/>
            <w:vAlign w:val="bottom"/>
            <w:tcBorders>
              <w:top w:val="single" w:sz="8" w:color="CFF0FC"/>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34,446</w:t>
            </w:r>
          </w:p>
        </w:tc>
        <w:tc>
          <w:tcPr>
            <w:tcW w:w="16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200" w:type="dxa"/>
            <w:vAlign w:val="bottom"/>
            <w:tcBorders>
              <w:top w:val="single" w:sz="8" w:color="CFF0FC"/>
              <w:bottom w:val="single" w:sz="8" w:color="auto"/>
            </w:tcBorders>
            <w:shd w:val="clear" w:color="auto" w:fill="CFF0FC"/>
          </w:tcPr>
          <w:p>
            <w:pPr>
              <w:spacing w:after="0"/>
              <w:rPr>
                <w:sz w:val="13"/>
                <w:szCs w:val="13"/>
                <w:color w:val="auto"/>
              </w:rPr>
            </w:pPr>
          </w:p>
        </w:tc>
        <w:tc>
          <w:tcPr>
            <w:tcW w:w="620" w:type="dxa"/>
            <w:vAlign w:val="bottom"/>
            <w:tcBorders>
              <w:top w:val="single" w:sz="8" w:color="CFF0FC"/>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1,959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5.7</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(12,178)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(9,226)</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(2,952)</w:t>
            </w: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(530)</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(18.2)</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CFF0FC"/>
          </w:tcPr>
          <w:p>
            <w:pPr>
              <w:spacing w:after="0" w:line="20" w:lineRule="exact"/>
              <w:rPr>
                <w:sz w:val="1"/>
                <w:szCs w:val="1"/>
                <w:color w:val="auto"/>
              </w:rPr>
            </w:pPr>
          </w:p>
        </w:tc>
        <w:tc>
          <w:tcPr>
            <w:tcW w:w="680" w:type="dxa"/>
            <w:vAlign w:val="bottom"/>
            <w:tcBorders>
              <w:bottom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CFF0FC"/>
          </w:tcPr>
          <w:p>
            <w:pPr>
              <w:spacing w:after="0" w:line="20" w:lineRule="exact"/>
              <w:rPr>
                <w:sz w:val="1"/>
                <w:szCs w:val="1"/>
                <w:color w:val="auto"/>
              </w:rPr>
            </w:pPr>
          </w:p>
        </w:tc>
        <w:tc>
          <w:tcPr>
            <w:tcW w:w="660" w:type="dxa"/>
            <w:vAlign w:val="bottom"/>
            <w:tcBorders>
              <w:bottom w:val="single" w:sz="8" w:color="auto"/>
            </w:tcBorders>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CFF0FC"/>
          </w:tcPr>
          <w:p>
            <w:pPr>
              <w:spacing w:after="0" w:line="20" w:lineRule="exact"/>
              <w:rPr>
                <w:sz w:val="1"/>
                <w:szCs w:val="1"/>
                <w:color w:val="auto"/>
              </w:rPr>
            </w:pPr>
          </w:p>
        </w:tc>
        <w:tc>
          <w:tcPr>
            <w:tcW w:w="620" w:type="dxa"/>
            <w:vAlign w:val="bottom"/>
            <w:tcBorders>
              <w:bottom w:val="single" w:sz="8" w:color="auto"/>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40" w:type="dxa"/>
            <w:vAlign w:val="bottom"/>
          </w:tcPr>
          <w:p>
            <w:pPr>
              <w:spacing w:after="0"/>
              <w:rPr>
                <w:sz w:val="13"/>
                <w:szCs w:val="13"/>
                <w:color w:val="auto"/>
              </w:rPr>
            </w:pPr>
          </w:p>
        </w:tc>
        <w:tc>
          <w:tcPr>
            <w:tcW w:w="268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Total other (expense) income, net: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2,372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2,901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(529)</w:t>
            </w:r>
          </w:p>
        </w:tc>
        <w:tc>
          <w:tcPr>
            <w:tcW w:w="220" w:type="dxa"/>
            <w:vAlign w:val="bottom"/>
          </w:tcPr>
          <w:p>
            <w:pPr>
              <w:spacing w:after="0"/>
              <w:rPr>
                <w:sz w:val="13"/>
                <w:szCs w:val="13"/>
                <w:color w:val="auto"/>
              </w:rPr>
            </w:pPr>
          </w:p>
        </w:tc>
        <w:tc>
          <w:tcPr>
            <w:tcW w:w="800" w:type="dxa"/>
            <w:vAlign w:val="bottom"/>
            <w:gridSpan w:val="2"/>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(18.2)%</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(9,806)</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(6,325)</w:t>
            </w: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(3,481)</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80" w:type="dxa"/>
            <w:vAlign w:val="bottom"/>
            <w:shd w:val="clear" w:color="auto" w:fill="CFF0FC"/>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(19.9)</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(9,816)</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(6,338)</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(3,478)</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54.9%</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(455)</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(71.8)</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(121.7)</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loss</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(462)</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(72.3)</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(9,639)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(5,699)</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(3,940)</w:t>
            </w: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3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1040" w:type="dxa"/>
            <w:vAlign w:val="bottom"/>
            <w:tcBorders>
              <w:bottom w:val="single" w:sz="8" w:color="9A9A9A"/>
            </w:tcBorders>
          </w:tcPr>
          <w:p>
            <w:pPr>
              <w:spacing w:after="0"/>
              <w:rPr>
                <w:sz w:val="24"/>
                <w:szCs w:val="24"/>
                <w:color w:val="auto"/>
              </w:rPr>
            </w:pPr>
          </w:p>
        </w:tc>
        <w:tc>
          <w:tcPr>
            <w:tcW w:w="26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-2884170</wp:posOffset>
            </wp:positionV>
            <wp:extent cx="4064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-2884170</wp:posOffset>
            </wp:positionV>
            <wp:extent cx="4064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-2884170</wp:posOffset>
            </wp:positionV>
            <wp:extent cx="4064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-2884170</wp:posOffset>
            </wp:positionV>
            <wp:extent cx="11620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-2426970</wp:posOffset>
            </wp:positionV>
            <wp:extent cx="4064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-2426970</wp:posOffset>
            </wp:positionV>
            <wp:extent cx="4064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-2426970</wp:posOffset>
            </wp:positionV>
            <wp:extent cx="4064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-2555875</wp:posOffset>
            </wp:positionV>
            <wp:extent cx="141605" cy="147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1605" cy="1479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-1983740</wp:posOffset>
            </wp:positionV>
            <wp:extent cx="4064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-1989455</wp:posOffset>
            </wp:positionV>
            <wp:extent cx="66040" cy="147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-1989455</wp:posOffset>
            </wp:positionV>
            <wp:extent cx="66040" cy="147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-1744980</wp:posOffset>
            </wp:positionV>
            <wp:extent cx="4064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-1744980</wp:posOffset>
            </wp:positionV>
            <wp:extent cx="4064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-1744980</wp:posOffset>
            </wp:positionV>
            <wp:extent cx="4064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-1744980</wp:posOffset>
            </wp:positionV>
            <wp:extent cx="11620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-1520190</wp:posOffset>
            </wp:positionV>
            <wp:extent cx="4064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-1520190</wp:posOffset>
            </wp:positionV>
            <wp:extent cx="4064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-1520190</wp:posOffset>
            </wp:positionV>
            <wp:extent cx="4064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-1520190</wp:posOffset>
            </wp:positionV>
            <wp:extent cx="11620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-1069975</wp:posOffset>
            </wp:positionV>
            <wp:extent cx="4064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-1069975</wp:posOffset>
            </wp:positionV>
            <wp:extent cx="4064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-1069975</wp:posOffset>
            </wp:positionV>
            <wp:extent cx="4064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-1069975</wp:posOffset>
            </wp:positionV>
            <wp:extent cx="11620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8" w:name="page29"/>
    <w:bookmarkEnd w:id="28"/>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Sales decreased by $5.0 million, or 14.1%, to $30.3 million for the three months ended September 30, 2025, from $35.3 million for the three months ended September 30, 2024. The decrease in total sales was primarily due to a 68% reduction, or 53 unit reduction from 78 LDDs sold in the three months ended September 30, 2024, to 25 units sold in the three months ended September 30, 2025. The reduced LDD sales were partially offset by increased LAL sales of 1,491, or a 6% increase, when compared to the prior quarter last year. The reduction in LDD sales was due to slower year-over-year growth in LAL sales in 2025, primarily driven by reduced adoption among practices and doctors, which in turn we believe contributed to reduced demand for LDDs by prospective customers.</w:t>
      </w:r>
    </w:p>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Cost of sales decreased by $4.0 million, or 39.4%, to $6.1 million for the three months ended September 30, 2025, from $10.1 million for the three months ended September 30, 2024, primarily due to the decreased number of LDDs sold during the period. Gross margin increased to 79.9% in the three months ended September 30, 2025, from 71.4% for the three months ended September 30, 2024, primarily due to favorable product mix from a greater percentage of revenue from LAL sales, with LAL revenue comprising 85% of revenue during the three months ended September 30, 2025, compared to 69% of revenue in the three months ended September 30, 2024.</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SG&amp;A expenses</w:t>
      </w:r>
    </w:p>
    <w:p>
      <w:pPr>
        <w:spacing w:after="0" w:line="10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SG&amp;A expenses increased by $1.7 million, or 6.8%, to $27.3 million for the three months ended September 30, 2025, from $25.6 million for the three months ended September 30, 2024. This increase was primarily attributable to an increase in selling and marketing costs of $1.7 million, due to additional marketing study expense, in each case when compared to the three months ended September 30, 2024. General and administrative expenses increased due to increased stock-based compensation of $0.4 million partially offset by reduced compensation and benefits related expenses of $0.2 million, in each case when compared to the three months ended September 30, 2024.</w:t>
      </w:r>
    </w:p>
    <w:p>
      <w:pPr>
        <w:spacing w:after="0" w:line="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Research and development expenses increased by $0.2 million, or 2.5%, to $9.0 million for the three months ended September 30, 2025, from $8.8 million for the three months ended September 30, 2024. This increase was primarily attributable to $0.7 million due to increased overhead costs and $0.4 million from increased stock-based compensation, partially offset by reduced material costs of $0.5 million and reduced compensation and benefits of $0.3 million when compared to the three months ended September 30, 2024.</w:t>
      </w:r>
    </w:p>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0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Other income (expense), net, was $2.4 million for the three months ended September 30, 2025, and $2.9 million for the three months ended September 30, 2024. The decrease in other income was due to reduced interest income from lower cash balances and lower interest rates.</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29" w:name="page30"/>
    <w:bookmarkEnd w:id="29"/>
    <w:p>
      <w:pPr>
        <w:ind w:left="118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September 30, 2025 and 2024</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nine months ended September 30, 2025 and</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2024 together with the dollar increase or decrease and percentage change in those items:</w:t>
      </w:r>
    </w:p>
    <w:p>
      <w:pPr>
        <w:spacing w:after="0" w:line="200" w:lineRule="exact"/>
        <w:rPr>
          <w:sz w:val="20"/>
          <w:szCs w:val="20"/>
          <w:color w:val="auto"/>
        </w:rPr>
      </w:pP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6"/>
                <w:szCs w:val="16"/>
                <w:color w:val="auto"/>
              </w:rPr>
            </w:pPr>
          </w:p>
        </w:tc>
        <w:tc>
          <w:tcPr>
            <w:tcW w:w="1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800" w:type="dxa"/>
            <w:vAlign w:val="bottom"/>
            <w:tcBorders>
              <w:bottom w:val="single" w:sz="8" w:color="auto"/>
            </w:tcBorders>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101,871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99,713</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(5,433)</w:t>
            </w:r>
          </w:p>
        </w:tc>
        <w:tc>
          <w:tcPr>
            <w:tcW w:w="2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77,746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70,155</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7,591</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63"/>
        </w:trPr>
        <w:tc>
          <w:tcPr>
            <w:tcW w:w="2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84,956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73,225</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11,731</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29,644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CFF0FC"/>
              <w:bottom w:val="single" w:sz="8" w:color="auto"/>
            </w:tcBorders>
            <w:shd w:val="clear" w:color="auto" w:fill="CFF0FC"/>
          </w:tcPr>
          <w:p>
            <w:pPr>
              <w:spacing w:after="0"/>
              <w:rPr>
                <w:sz w:val="13"/>
                <w:szCs w:val="13"/>
                <w:color w:val="auto"/>
              </w:rPr>
            </w:pPr>
          </w:p>
        </w:tc>
        <w:tc>
          <w:tcPr>
            <w:tcW w:w="660" w:type="dxa"/>
            <w:vAlign w:val="bottom"/>
            <w:tcBorders>
              <w:top w:val="single" w:sz="8" w:color="CFF0FC"/>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114,600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auto"/>
            </w:tcBorders>
            <w:shd w:val="clear" w:color="auto" w:fill="CFF0FC"/>
          </w:tcPr>
          <w:p>
            <w:pPr>
              <w:spacing w:after="0"/>
              <w:rPr>
                <w:sz w:val="13"/>
                <w:szCs w:val="13"/>
                <w:color w:val="auto"/>
              </w:rPr>
            </w:pPr>
          </w:p>
        </w:tc>
        <w:tc>
          <w:tcPr>
            <w:tcW w:w="660" w:type="dxa"/>
            <w:vAlign w:val="bottom"/>
            <w:tcBorders>
              <w:top w:val="single" w:sz="8" w:color="CFF0FC"/>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98,385</w:t>
            </w:r>
          </w:p>
        </w:tc>
        <w:tc>
          <w:tcPr>
            <w:tcW w:w="16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16,215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(36,854)</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(28,230)</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(8,624)</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1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(29,731)</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(21,479)</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(8,252)</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(29,792)</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(21,517)</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(8,275)</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shd w:val="clear" w:color="auto" w:fill="CFF0FC"/>
          </w:tcPr>
          <w:p>
            <w:pPr>
              <w:ind w:left="140"/>
              <w:spacing w:after="0" w:line="157" w:lineRule="exact"/>
              <w:rPr>
                <w:sz w:val="20"/>
                <w:szCs w:val="20"/>
                <w:color w:val="auto"/>
              </w:rPr>
            </w:pPr>
            <w:r>
              <w:rPr>
                <w:rFonts w:ascii="Times New Roman" w:cs="Times New Roman" w:eastAsia="Times New Roman" w:hAnsi="Times New Roman"/>
                <w:sz w:val="14"/>
                <w:szCs w:val="14"/>
                <w:color w:val="auto"/>
              </w:rPr>
              <w:t>Unrealized (loss) gain on short-term</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6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(647)</w:t>
            </w:r>
          </w:p>
        </w:tc>
        <w:tc>
          <w:tcPr>
            <w:tcW w:w="2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172"/>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(631)</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(29,897)</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(20,991)</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(8,906)</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-2045335</wp:posOffset>
            </wp:positionV>
            <wp:extent cx="4064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-2045335</wp:posOffset>
            </wp:positionV>
            <wp:extent cx="4064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-2045335</wp:posOffset>
            </wp:positionV>
            <wp:extent cx="4064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-2045335</wp:posOffset>
            </wp:positionV>
            <wp:extent cx="8890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-1588135</wp:posOffset>
            </wp:positionV>
            <wp:extent cx="4064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-1588135</wp:posOffset>
            </wp:positionV>
            <wp:extent cx="4064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-1717040</wp:posOffset>
            </wp:positionV>
            <wp:extent cx="66040" cy="147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-1717040</wp:posOffset>
            </wp:positionV>
            <wp:extent cx="114300" cy="147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4300" cy="14795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-1157605</wp:posOffset>
            </wp:positionV>
            <wp:extent cx="66040" cy="147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-1157605</wp:posOffset>
            </wp:positionV>
            <wp:extent cx="66040" cy="147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-1157605</wp:posOffset>
            </wp:positionV>
            <wp:extent cx="66040" cy="147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-135890</wp:posOffset>
            </wp:positionV>
            <wp:extent cx="4064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-135890</wp:posOffset>
            </wp:positionV>
            <wp:extent cx="4064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-135890</wp:posOffset>
            </wp:positionV>
            <wp:extent cx="4064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-135890</wp:posOffset>
            </wp:positionV>
            <wp:extent cx="8890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Sales increased by $2.2 million, or 2.2%, to $101.9 million for the nine months ended September 30, 2025, from $99.7 million for the nine months ended September 30, 2024. The increase was due to incremental sales of 12,018 LALs primarily due to an increased LDD installed base, offset by a reduction of LDDs sales during 2025. The LDD sales decrease was 84 units, a 38% reduction from 222 LDDs sold in the nine months ended September 30, 2024 to 138 units sold in the nine months ended September 30, 2025. LDD sales declined in the nine months ended September 30, 2025, starting in the second quarter of 2025 and declining again in the third quarter of 2025, as compared to the nine months ended September 30, 2024, as LAL sales starting in the first quarter of 2025 declined sequentially and largely remained the same in the second and third quarters of 2025, which in turn we believe contributed to reduced demand for LDDs by prospective customers. The reduced LDD sales were offset by increased LAL sales of 12,018 LALs, a 27% increase, when compared to the nine months ended September 30, 2024.</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Cost of sales decreased by $5.4 million, or 18.4%, to $24.1 million for the nine months ended September 30, 2025, from $29.6 million for the nine months ended September 30, 2024, primarily due to the decrease in the number of LDDs sold during the period. Gross margin increased to 76.3% for the nine months ended September 30, 2025, from 70.4% for the nine months ended September 30, 2024, primarily due to favorable product mix from a greater percentage of revenue from LAL sales, with LAL revenue comprising 78% of revenue during the nine months ended September 30, 2025, compared to 68% of revenue for the nine months ended September 30, 2024.</w:t>
      </w:r>
    </w:p>
    <w:p>
      <w:pPr>
        <w:spacing w:after="0" w:line="200" w:lineRule="exact"/>
        <w:rPr>
          <w:sz w:val="20"/>
          <w:szCs w:val="20"/>
          <w:color w:val="auto"/>
        </w:rPr>
      </w:pP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30" w:name="page31"/>
    <w:bookmarkEnd w:id="30"/>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SG&amp;A expenses</w:t>
      </w:r>
    </w:p>
    <w:p>
      <w:pPr>
        <w:spacing w:after="0" w:line="101"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SG&amp;A expenses increased by $11.7 million, or 16.0%, to $85.0 million for the nine months ended September 30, 2025, from $73.2 million for the nine months ended September 30, 2024. This increase was primarily attributable to an increase in selling and marketing costs of $10.7 million, mainly due to increased compensation and benefits of $3.0 million and $2.3 million of increased stock-based compensation expense, $3.3 million in additional post market study costs, new customer acquisition costs and increased travel costs of $0.3 million, in each case when compared to the nine months ended September 30, 2024. General and administrative expenses increased $1.1 million due to increased personnel expenses of $0.3 million and increased stock-based compensation of $1.6 million partially offset by reduced professional fees of $0.6 million when compared to the nine months ended September 30, 2024.</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Research and development expenses increased by $4.5 million, or 17.8%, to $29.6 million for the nine months ended September 30, 2025, from $25.2 million for the nine months ended September 30, 2024. This increase was primarily attributable to $3.5 million in increased personnel costs including $1.9 million from increased stock-based compensation and increased overhead costs of $2.9 million which were partially offset by reduced materials and supplies of $0.8 million when compared to the nine months ended September 30, 2024.</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Other income (expense), net, was $7.1 million for the nine months ended September 30, 2025, as compared to</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income of $6.8 million for the nine months ended September 30, 2024. The increase in other income was due to</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$120.3 million in financing proceeds received in 2024, consisting of the issuance of common stock in the May 2024</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public offering of $108.1 million, net of fees and expenses, and proceeds from issuance of common stock from stock</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option exercises of $17.8 million, partially offset by $4.8 million of tax payments for employee stock compensation.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financing proceeds received in 2024 resulted in higher average cash, cash equivalents and investments for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nine months ended September 30, 2025 than for the nine months ended September 30, 2025.</w:t>
      </w:r>
    </w:p>
    <w:p>
      <w:pPr>
        <w:spacing w:after="0" w:line="1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We have incurred significant operating losses and negative cash flows from operations since our inception, and we anticipate that we will incur significant losses in the future.</w:t>
      </w:r>
    </w:p>
    <w:p>
      <w:pPr>
        <w:spacing w:after="0" w:line="38"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As of September 30, 2025, we had cash, cash equivalents and short-term investments of $227.5 million. For the nine months ended September 30, 2025, and 2024, our loss from operations were $36.9 million and $28.2 million, respectively. We had an accumulated deficit of $651.9 million as of September 30, 2025.</w:t>
      </w:r>
    </w:p>
    <w:p>
      <w:pPr>
        <w:spacing w:after="0" w:line="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future liquidity and capital funding requirements will depend on numerous factors, including:</w:t>
      </w:r>
    </w:p>
    <w:p>
      <w:pPr>
        <w:spacing w:after="0" w:line="97" w:lineRule="exact"/>
        <w:rPr>
          <w:sz w:val="20"/>
          <w:szCs w:val="20"/>
          <w:color w:val="auto"/>
        </w:rPr>
      </w:pPr>
    </w:p>
    <w:p>
      <w:pPr>
        <w:ind w:left="1920" w:hanging="251"/>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sales growth, including international expansion;</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efforts;</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activities;</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investments, primarily in inventories and accounts receivable;</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funds or borrow to finance our operations;</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any clinical trial results for our current or future products;</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and effect of competing or complementary products;</w:t>
      </w:r>
    </w:p>
    <w:p>
      <w:pPr>
        <w:spacing w:after="0" w:line="96" w:lineRule="exact"/>
        <w:rPr>
          <w:rFonts w:ascii="Times New Roman" w:cs="Times New Roman" w:eastAsia="Times New Roman" w:hAnsi="Times New Roman"/>
          <w:sz w:val="14"/>
          <w:szCs w:val="14"/>
          <w:color w:val="auto"/>
        </w:rPr>
      </w:pPr>
    </w:p>
    <w:p>
      <w:pPr>
        <w:ind w:left="1920" w:right="1379" w:hanging="251"/>
        <w:spacing w:after="0" w:line="268" w:lineRule="auto"/>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0" w:right="1440" w:bottom="1440" w:gutter="0" w:footer="0" w:header="0"/>
        </w:sectPr>
      </w:pPr>
    </w:p>
    <w:bookmarkStart w:id="31" w:name="page32"/>
    <w:bookmarkEnd w:id="31"/>
    <w:p>
      <w:pPr>
        <w:ind w:left="1920" w:right="1459" w:hanging="251"/>
        <w:spacing w:after="0" w:line="292" w:lineRule="auto"/>
        <w:tabs>
          <w:tab w:leader="none" w:pos="1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current employees and the need and ability to hire additional management, sales, research and development, scientific and customer support personnel;</w:t>
      </w:r>
    </w:p>
    <w:p>
      <w:pPr>
        <w:spacing w:after="0" w:line="37" w:lineRule="exact"/>
        <w:rPr>
          <w:rFonts w:ascii="Times New Roman" w:cs="Times New Roman" w:eastAsia="Times New Roman" w:hAnsi="Times New Roman"/>
          <w:sz w:val="14"/>
          <w:szCs w:val="14"/>
          <w:color w:val="auto"/>
        </w:rPr>
      </w:pPr>
    </w:p>
    <w:p>
      <w:pPr>
        <w:ind w:left="1920" w:right="1659" w:hanging="251"/>
        <w:spacing w:after="0" w:line="292" w:lineRule="auto"/>
        <w:tabs>
          <w:tab w:leader="none" w:pos="1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collaborative, licensing or other arrangements that we have or may establish;</w:t>
      </w:r>
    </w:p>
    <w:p>
      <w:pPr>
        <w:spacing w:after="0" w:line="37"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finance lease payments for our facilities; and</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or technologies.</w:t>
      </w:r>
    </w:p>
    <w:p>
      <w:pPr>
        <w:spacing w:after="0" w:line="9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If we determine that we need to raise additional funds,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 If we raise additional funds by issuing equity securities, our stockholders may experience dilution.</w:t>
      </w:r>
    </w:p>
    <w:p>
      <w:pPr>
        <w:spacing w:after="0" w:line="65" w:lineRule="exact"/>
        <w:rPr>
          <w:sz w:val="20"/>
          <w:szCs w:val="20"/>
          <w:color w:val="auto"/>
        </w:rPr>
      </w:pPr>
    </w:p>
    <w:p>
      <w:pPr>
        <w:ind w:left="1160" w:right="1959" w:firstLine="258"/>
        <w:spacing w:after="0" w:line="292" w:lineRule="auto"/>
        <w:rPr>
          <w:sz w:val="20"/>
          <w:szCs w:val="20"/>
          <w:color w:val="auto"/>
        </w:rPr>
      </w:pPr>
      <w:r>
        <w:rPr>
          <w:rFonts w:ascii="Times New Roman" w:cs="Times New Roman" w:eastAsia="Times New Roman" w:hAnsi="Times New Roman"/>
          <w:sz w:val="14"/>
          <w:szCs w:val="14"/>
          <w:color w:val="auto"/>
        </w:rPr>
        <w:t>See Part II, Item 1A (“Risk Factors”) of this report for additional risks associated with our funding requirements.</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Summary statement of cash flows</w:t>
      </w:r>
    </w:p>
    <w:p>
      <w:pPr>
        <w:spacing w:after="0" w:line="101"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primary sources and uses of cash, cash equivalents, and restricted cash for each of the periods presented below (in thousands):</w:t>
      </w:r>
    </w:p>
    <w:p>
      <w:pPr>
        <w:spacing w:after="0" w:line="4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(14,395)</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(12,686)</w:t>
            </w:r>
          </w:p>
        </w:tc>
        <w:tc>
          <w:tcPr>
            <w:tcW w:w="0" w:type="dxa"/>
            <w:vAlign w:val="bottom"/>
          </w:tcPr>
          <w:p>
            <w:pPr>
              <w:spacing w:after="0"/>
              <w:rPr>
                <w:sz w:val="1"/>
                <w:szCs w:val="1"/>
                <w:color w:val="auto"/>
              </w:rPr>
            </w:pPr>
          </w:p>
        </w:tc>
      </w:tr>
      <w:tr>
        <w:trPr>
          <w:trHeight w:val="172"/>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26,503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(100,631)</w:t>
            </w:r>
          </w:p>
        </w:tc>
        <w:tc>
          <w:tcPr>
            <w:tcW w:w="0" w:type="dxa"/>
            <w:vAlign w:val="bottom"/>
          </w:tcPr>
          <w:p>
            <w:pPr>
              <w:spacing w:after="0"/>
              <w:rPr>
                <w:sz w:val="1"/>
                <w:szCs w:val="1"/>
                <w:color w:val="auto"/>
              </w:rPr>
            </w:pPr>
          </w:p>
        </w:tc>
      </w:tr>
      <w:tr>
        <w:trPr>
          <w:trHeight w:val="172"/>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120,343</w:t>
            </w:r>
          </w:p>
        </w:tc>
        <w:tc>
          <w:tcPr>
            <w:tcW w:w="0" w:type="dxa"/>
            <w:vAlign w:val="bottom"/>
          </w:tcPr>
          <w:p>
            <w:pPr>
              <w:spacing w:after="0"/>
              <w:rPr>
                <w:sz w:val="1"/>
                <w:szCs w:val="1"/>
                <w:color w:val="auto"/>
              </w:rPr>
            </w:pPr>
          </w:p>
        </w:tc>
      </w:tr>
      <w:tr>
        <w:trPr>
          <w:trHeight w:val="157"/>
        </w:trPr>
        <w:tc>
          <w:tcPr>
            <w:tcW w:w="4580" w:type="dxa"/>
            <w:vAlign w:val="bottom"/>
            <w:shd w:val="clear" w:color="auto" w:fill="CFF0FC"/>
          </w:tcPr>
          <w:p>
            <w:pPr>
              <w:ind w:left="140"/>
              <w:spacing w:after="0" w:line="157" w:lineRule="exact"/>
              <w:rPr>
                <w:sz w:val="20"/>
                <w:szCs w:val="20"/>
                <w:color w:val="auto"/>
              </w:rPr>
            </w:pPr>
            <w:r>
              <w:rPr>
                <w:rFonts w:ascii="Times New Roman" w:cs="Times New Roman" w:eastAsia="Times New Roman" w:hAnsi="Times New Roman"/>
                <w:sz w:val="14"/>
                <w:szCs w:val="14"/>
                <w:color w:val="auto"/>
              </w:rPr>
              <w:t>Effect of foreign exchange rate on cash, cash equivalents</w:t>
            </w:r>
          </w:p>
        </w:tc>
        <w:tc>
          <w:tcPr>
            <w:tcW w:w="12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vMerge w:val="restart"/>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and restricted cash</w:t>
            </w:r>
          </w:p>
        </w:tc>
        <w:tc>
          <w:tcPr>
            <w:tcW w:w="1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60" w:type="dxa"/>
            <w:vAlign w:val="bottom"/>
            <w:tcBorders>
              <w:bottom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12,926</w:t>
            </w:r>
          </w:p>
        </w:tc>
        <w:tc>
          <w:tcPr>
            <w:tcW w:w="12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7,029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-135890</wp:posOffset>
            </wp:positionV>
            <wp:extent cx="4064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Cash used in operating activities</w:t>
      </w:r>
    </w:p>
    <w:p>
      <w:pPr>
        <w:spacing w:after="0" w:line="99"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for the nine months ended September 30, 2025, was $14.4 million, consisting primarily of a net loss of $29.8 million and a change in operating assets and liabilities of $5.5 million, partially offset by non-cash stock-based compensation of $23.8 million and depreciation and amortization of $2.4 million.</w:t>
      </w:r>
    </w:p>
    <w:p>
      <w:pPr>
        <w:spacing w:after="0" w:line="54"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for the nine months ended September 30, 2024, was $12.7 million, consisting primarily of a net loss of $21.5 million and a change in operating assets and liabilities of $5.6 million, partially offset by non-cash stock-based compensation of $17.4 million and depreciation and amortization of $3.1 million.</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2" w:name="page33"/>
    <w:bookmarkEnd w:id="32"/>
    <w:p>
      <w:pPr>
        <w:ind w:left="1160"/>
        <w:spacing w:after="0"/>
        <w:rPr>
          <w:sz w:val="20"/>
          <w:szCs w:val="20"/>
          <w:color w:val="auto"/>
        </w:rPr>
      </w:pPr>
      <w:r>
        <w:rPr>
          <w:rFonts w:ascii="Times New Roman" w:cs="Times New Roman" w:eastAsia="Times New Roman" w:hAnsi="Times New Roman"/>
          <w:sz w:val="14"/>
          <w:szCs w:val="14"/>
          <w:b w:val="1"/>
          <w:bCs w:val="1"/>
          <w:color w:val="auto"/>
        </w:rPr>
        <w:t>Cash provided by (used in) investing activities</w:t>
      </w:r>
    </w:p>
    <w:p>
      <w:pPr>
        <w:spacing w:after="0" w:line="99" w:lineRule="exact"/>
        <w:rPr>
          <w:sz w:val="20"/>
          <w:szCs w:val="20"/>
          <w:color w:val="auto"/>
        </w:rPr>
      </w:pPr>
    </w:p>
    <w:p>
      <w:pPr>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Net cash provided by investing activities for the nine months ended September 30, 2025, was $26.5 million, consisting of net maturities of short-term investments of $29.2 million and was partially offset by purchases of property and equipment of $2.7 million.</w:t>
      </w:r>
    </w:p>
    <w:p>
      <w:pPr>
        <w:spacing w:after="0" w:line="50"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Net cash used in investing activities for the nine months ended September 30, 2024, was $100.6 million, consisting of net purchases of short-term investments of $96.0 million and purchases of property and equipment of $4.6 million.</w:t>
      </w:r>
    </w:p>
    <w:p>
      <w:pPr>
        <w:spacing w:after="0" w:line="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Cash provided by financing activities</w:t>
      </w:r>
    </w:p>
    <w:p>
      <w:pPr>
        <w:spacing w:after="0" w:line="99"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Net cash provided by financing activities for the nine months ended September 30, 2025, was $0.8 million consisting of proceeds from issuance of common stock from stock option exercises of $2.9 million, partially offset by tax payments for employee stock compensation of $2.1 million.</w:t>
      </w:r>
    </w:p>
    <w:p>
      <w:pPr>
        <w:spacing w:after="0" w:line="50"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for the nine months ended September 30, 2024, was $120.3 million consisting primarily of proceeds from issuances of common stock from the May 2024 public offering of $108.1 million and, proceeds from issuance of common stock from stock option exercises of $17.8 million, partially offset by tax payments for employee stock compensation of $4.8 million.</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Critical accounting policies, significant judgments and use of estimates</w:t>
      </w:r>
    </w:p>
    <w:p>
      <w:pPr>
        <w:spacing w:after="0" w:line="9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February 25, 2025. We believe that the accounting policies we use are critical to the process of making significant judgments and estimates in the preparation of our financial statements and understanding and evaluating our reported financial results.</w:t>
      </w:r>
    </w:p>
    <w:p>
      <w:pPr>
        <w:spacing w:after="0" w:line="233"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spacing w:after="0" w:line="50"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For a summary of our critical accounting policies and estimates, refer to “Management's Discussion and Analysis of Financial Condition and Results of Operations” included in our Annual Report on Form 10-K filed with the SEC on February 25, 2025. There have been no material changes to our critical accounting policies and estimates during the three months ended September 30, 2025.</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9" w:lineRule="exact"/>
        <w:rPr>
          <w:sz w:val="20"/>
          <w:szCs w:val="20"/>
          <w:color w:val="auto"/>
        </w:rPr>
      </w:pPr>
    </w:p>
    <w:p>
      <w:pPr>
        <w:ind w:left="1160" w:right="1299" w:firstLine="258"/>
        <w:spacing w:after="0" w:line="261" w:lineRule="auto"/>
        <w:rPr>
          <w:sz w:val="20"/>
          <w:szCs w:val="20"/>
          <w:color w:val="auto"/>
        </w:rPr>
      </w:pPr>
      <w:r>
        <w:rPr>
          <w:rFonts w:ascii="Times New Roman" w:cs="Times New Roman" w:eastAsia="Times New Roman" w:hAnsi="Times New Roman"/>
          <w:sz w:val="14"/>
          <w:szCs w:val="14"/>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our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33" w:name="page34"/>
    <w:bookmarkEnd w:id="33"/>
    <w:p>
      <w:pPr>
        <w:ind w:left="11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See the section titled “Summary of Significant Accounting Policies—Recent Accounting Pronouncements” in Note 2 to our financial statements included elsewhere in this report for additional information.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Supply chain constraints and inflation</w:t>
      </w:r>
    </w:p>
    <w:p>
      <w:pPr>
        <w:spacing w:after="0" w:line="99" w:lineRule="exact"/>
        <w:rPr>
          <w:sz w:val="20"/>
          <w:szCs w:val="20"/>
          <w:color w:val="auto"/>
        </w:rPr>
      </w:pPr>
    </w:p>
    <w:p>
      <w:pPr>
        <w:ind w:left="1160" w:right="1219" w:firstLine="258"/>
        <w:spacing w:after="0" w:line="257" w:lineRule="auto"/>
        <w:rPr>
          <w:sz w:val="20"/>
          <w:szCs w:val="20"/>
          <w:color w:val="auto"/>
        </w:rPr>
      </w:pPr>
      <w:r>
        <w:rPr>
          <w:rFonts w:ascii="Times New Roman" w:cs="Times New Roman" w:eastAsia="Times New Roman" w:hAnsi="Times New Roman"/>
          <w:sz w:val="14"/>
          <w:szCs w:val="14"/>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74"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Uncertain macroeconomic conditions including recent inflationary pressures and tariffs have created significant uncertainty in the U.S. economy and capital markets, which may continue through the remainder of 2025 and beyond and could negatively impact our financial results and liquidity.</w:t>
      </w: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9"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is the potential loss arising from the adverse changes in market rates and prices.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Interest Fluctuation Rate Risk</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had cash and cash equivalents and short-term investments of $227.5 million as of September 30, 2025, which includes $197.9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change in interest rates would not have materially impacted the fair value of our marketable securities as of September 30, 2025 and December 31, 2024. If overall interest rates had increased or decreased by 1.00% (100 basis points), our interest income would not have been materially affected during the quarter ended September 30, 2025 or September 30, 2024.</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Foreign Currency Exchange Risk</w:t>
      </w:r>
    </w:p>
    <w:p>
      <w:pPr>
        <w:spacing w:after="0" w:line="99" w:lineRule="exact"/>
        <w:rPr>
          <w:sz w:val="20"/>
          <w:szCs w:val="20"/>
          <w:color w:val="auto"/>
        </w:rPr>
      </w:pPr>
    </w:p>
    <w:p>
      <w:pPr>
        <w:ind w:left="1160" w:right="1539" w:firstLine="258"/>
        <w:spacing w:after="0" w:line="292" w:lineRule="auto"/>
        <w:rPr>
          <w:sz w:val="20"/>
          <w:szCs w:val="20"/>
          <w:color w:val="auto"/>
        </w:rPr>
      </w:pPr>
      <w:r>
        <w:rPr>
          <w:rFonts w:ascii="Times New Roman" w:cs="Times New Roman" w:eastAsia="Times New Roman" w:hAnsi="Times New Roman"/>
          <w:sz w:val="14"/>
          <w:szCs w:val="14"/>
          <w:color w:val="auto"/>
        </w:rPr>
        <w:t>As of September 30, 2025, we have de minimis amounts of revenue and expenses that are denominated in currencies other than U.S. dollars.</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34" w:name="page35"/>
    <w:bookmarkEnd w:id="34"/>
    <w:p>
      <w:pPr>
        <w:ind w:left="116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9"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As of September 30, 2025,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September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identified in connection with the aforementioned evaluation of disclosure controls and procedures during the quarter ended September 30, 2025 that have materially affected, or are reasonably likely to materially affect, our internal control over financial reporting.</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w:t>
      </w:r>
    </w:p>
    <w:p>
      <w:pPr>
        <w:spacing w:after="0" w:line="10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On July 22, 2025, a putative securities class action complaint was filed in the U.S. District Court for the Central District of California against the Company and certain of its officers, captioned Makaveev v. RxSight, Inc., et al., No. 8:25-cv-01596. The lawsuit asserts claims under Sections 10(b) and 20(a) of the Securities Exchange Act of 1934 and SEC Rule 10b-5, alleging that the defendants made materially false and misleading statements and omitted material adverse facts regarding demand for our products and financial guidance. On September 16, 2025, a related putative securities class action complaint was filed in the U.S. District Court for the Central District of California against us and certain of our officers, captioned Gémesi v. RxSight, Inc., et al., No. 25-cv-02093. On October 6, 2025, the court entered an order consolidating the Makaveev and Gémesi actions, appointing a lead plaintiff and approving selection of lead counsel, and re-captioning the case as In re RxSight Securities Litigation, No. 8:25-cv-01596-FWS-KES. The plaintiffs seek unspecified compensatory and punitive damages, and reasonable costs and expenses, including attorneys’ fees.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Shareholder Derivative Actions</w:t>
      </w:r>
    </w:p>
    <w:p>
      <w:pPr>
        <w:spacing w:after="0" w:line="99"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On August 18, 2025, a shareholder derivative action was filed in the U.S. District Court for the Central District of California against certain of our officers and directors, captioned Swift v. Kurtz, et al., Case No. 8:25-cv-01820-FWS-KES. The plaintiff purports to bring the action derivatively on behalf of us, and we are named as a nominal defendant. The complaint generally alleges that the defendants made false and misleading statements and omitted material adverse facts regarding declining sales, demand for our products, and financial guidance, and we lacked</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35" w:name="page36"/>
    <w:bookmarkEnd w:id="35"/>
    <w:p>
      <w:pPr>
        <w:ind w:left="1160" w:right="1279"/>
        <w:spacing w:after="0" w:line="263" w:lineRule="auto"/>
        <w:rPr>
          <w:sz w:val="20"/>
          <w:szCs w:val="20"/>
          <w:color w:val="auto"/>
        </w:rPr>
      </w:pPr>
      <w:r>
        <w:rPr>
          <w:rFonts w:ascii="Times New Roman" w:cs="Times New Roman" w:eastAsia="Times New Roman" w:hAnsi="Times New Roman"/>
          <w:sz w:val="14"/>
          <w:szCs w:val="14"/>
          <w:color w:val="auto"/>
        </w:rPr>
        <w:t>internal controls. The complaint asserts claims for alleged violations of Section 14(a) of the Exchange Act, as well as claims for alleged breaches of fiduciary duties, aiding and abetting, unjust enrichment, and waste of corporate assets. The complaint seeks unspecified damages on behalf of the Company, declaratory relief, a constructive trust, punitive damages, and an award of costs and expenses, including attorneys’ fees. On October 2, 2025, the court entered an order staying proceedings in the Swift action until a final resolution of the Securities Class Actions, including the exhaustion of any appeals.</w:t>
      </w:r>
    </w:p>
    <w:p>
      <w:pPr>
        <w:spacing w:after="0" w:line="58" w:lineRule="exact"/>
        <w:rPr>
          <w:sz w:val="20"/>
          <w:szCs w:val="20"/>
          <w:color w:val="auto"/>
        </w:rPr>
      </w:pPr>
    </w:p>
    <w:p>
      <w:pPr>
        <w:ind w:left="1160" w:right="1199" w:firstLine="293"/>
        <w:spacing w:after="0" w:line="263" w:lineRule="auto"/>
        <w:rPr>
          <w:sz w:val="20"/>
          <w:szCs w:val="20"/>
          <w:color w:val="auto"/>
        </w:rPr>
      </w:pPr>
      <w:r>
        <w:rPr>
          <w:rFonts w:ascii="Times New Roman" w:cs="Times New Roman" w:eastAsia="Times New Roman" w:hAnsi="Times New Roman"/>
          <w:sz w:val="14"/>
          <w:szCs w:val="14"/>
          <w:color w:val="auto"/>
        </w:rPr>
        <w:t>On October 10, 2025, a related shareholder derivative action was filed in the U.S. District Court for the Central District of California against certain of our officers and directors, captioned Yost v. Kurtz, et al., Case No. 8:25-cv-2295. The complaint asserts claims for alleged breaches of fiduciary duties, gross mismanagement, waste of corporate assets, unjust enrichment, aiding and abetting, insider trading, and alleged violations of Section 14(a) of the Exchange Act and seeks unspecified damages on behalf of us, declaratory relief, disgorgement, corporate governance reforms, and an award of costs and expenses, including attorneys’ fees.</w:t>
      </w:r>
    </w:p>
    <w:p>
      <w:pPr>
        <w:spacing w:after="0" w:line="58" w:lineRule="exact"/>
        <w:rPr>
          <w:sz w:val="20"/>
          <w:szCs w:val="20"/>
          <w:color w:val="auto"/>
        </w:rPr>
      </w:pPr>
    </w:p>
    <w:p>
      <w:pPr>
        <w:ind w:left="1160" w:right="1159" w:firstLine="293"/>
        <w:spacing w:after="0" w:line="265" w:lineRule="auto"/>
        <w:rPr>
          <w:sz w:val="20"/>
          <w:szCs w:val="20"/>
          <w:color w:val="auto"/>
        </w:rPr>
      </w:pPr>
      <w:r>
        <w:rPr>
          <w:rFonts w:ascii="Times New Roman" w:cs="Times New Roman" w:eastAsia="Times New Roman" w:hAnsi="Times New Roman"/>
          <w:sz w:val="14"/>
          <w:szCs w:val="14"/>
          <w:color w:val="auto"/>
        </w:rPr>
        <w:t>While it is too early to predict the outcome of the litigation or a reasonable range of potential losses and whether an adverse result would have a material adverse impact on our results of operations or financial position, we believe we have meritorious defenses, vehemently deny the allegations and intend to defend the case vigorously. Failure to obtain a favorable resolution of this lawsuit could have a material adverse effect on our business, results of operations and financial condition.</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9" w:lineRule="exact"/>
        <w:rPr>
          <w:sz w:val="20"/>
          <w:szCs w:val="20"/>
          <w:color w:val="auto"/>
        </w:rPr>
      </w:pPr>
    </w:p>
    <w:p>
      <w:pPr>
        <w:ind w:left="1160" w:right="1719" w:firstLine="258"/>
        <w:spacing w:after="0" w:line="274" w:lineRule="auto"/>
        <w:rPr>
          <w:sz w:val="20"/>
          <w:szCs w:val="20"/>
          <w:color w:val="auto"/>
        </w:rPr>
      </w:pPr>
      <w:r>
        <w:rPr>
          <w:rFonts w:ascii="Times New Roman" w:cs="Times New Roman" w:eastAsia="Times New Roman" w:hAnsi="Times New Roman"/>
          <w:sz w:val="14"/>
          <w:szCs w:val="14"/>
          <w:color w:val="auto"/>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products:</w:t>
      </w:r>
    </w:p>
    <w:p>
      <w:pPr>
        <w:spacing w:after="0" w:line="99" w:lineRule="exact"/>
        <w:rPr>
          <w:sz w:val="20"/>
          <w:szCs w:val="20"/>
          <w:color w:val="auto"/>
        </w:rPr>
      </w:pPr>
    </w:p>
    <w:p>
      <w:pPr>
        <w:jc w:val="both"/>
        <w:ind w:left="1860" w:right="1379" w:hanging="357"/>
        <w:spacing w:after="0" w:line="274"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effectively train our sales force, increase our sales and marketing capabilities, or develop broad brand awareness in a cost-effective manner, our growth will be impeded, and our business will suffer.</w:t>
      </w:r>
    </w:p>
    <w:p>
      <w:pPr>
        <w:spacing w:after="0" w:line="50"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net operating losses, and we expect to continue to incur losses in the future. If we ever achieve profitability, we may not be able to sustain it.</w:t>
      </w:r>
    </w:p>
    <w:p>
      <w:pPr>
        <w:spacing w:after="0" w:line="37"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support our continued operations and the growth of our business, we may seek to raise additional capital, which may not be available to us on acceptable terms, or at all.</w:t>
      </w:r>
    </w:p>
    <w:p>
      <w:pPr>
        <w:spacing w:after="0" w:line="37" w:lineRule="exact"/>
        <w:rPr>
          <w:rFonts w:ascii="Times New Roman" w:cs="Times New Roman" w:eastAsia="Times New Roman" w:hAnsi="Times New Roman"/>
          <w:sz w:val="14"/>
          <w:szCs w:val="14"/>
          <w:color w:val="auto"/>
        </w:rPr>
      </w:pPr>
    </w:p>
    <w:p>
      <w:pPr>
        <w:jc w:val="both"/>
        <w:ind w:left="1860" w:right="1299" w:hanging="357"/>
        <w:spacing w:after="0" w:line="274"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50"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if we are unable to compete effectively, we may not be able to achieve or maintain significant market penetration or improve our results of operations.</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6" w:name="page37"/>
    <w:bookmarkEnd w:id="36"/>
    <w:p>
      <w:pPr>
        <w:ind w:left="1860" w:right="1519" w:hanging="357"/>
        <w:spacing w:after="0" w:line="274" w:lineRule="auto"/>
        <w:tabs>
          <w:tab w:leader="none" w:pos="1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expand sales of our products internationally in the future, but we may experience difficulties in obtaining regulatory clearance or approval or in successfully marketing our products internationally even if approved.</w:t>
      </w:r>
    </w:p>
    <w:p>
      <w:pPr>
        <w:spacing w:after="0" w:line="50"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variety of risks associated with marketing our products internationally could materially adversely affect our business.</w:t>
      </w:r>
    </w:p>
    <w:p>
      <w:pPr>
        <w:spacing w:after="0" w:line="37" w:lineRule="exact"/>
        <w:rPr>
          <w:rFonts w:ascii="Times New Roman" w:cs="Times New Roman" w:eastAsia="Times New Roman" w:hAnsi="Times New Roman"/>
          <w:sz w:val="14"/>
          <w:szCs w:val="14"/>
          <w:color w:val="auto"/>
        </w:rPr>
      </w:pPr>
    </w:p>
    <w:p>
      <w:pPr>
        <w:ind w:left="1860" w:right="1299" w:hanging="357"/>
        <w:spacing w:after="0" w:line="274" w:lineRule="auto"/>
        <w:tabs>
          <w:tab w:leader="none" w:pos="1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50" w:lineRule="exact"/>
        <w:rPr>
          <w:rFonts w:ascii="Times New Roman" w:cs="Times New Roman" w:eastAsia="Times New Roman" w:hAnsi="Times New Roman"/>
          <w:sz w:val="14"/>
          <w:szCs w:val="14"/>
          <w:color w:val="auto"/>
        </w:rPr>
      </w:pPr>
    </w:p>
    <w:p>
      <w:pPr>
        <w:ind w:left="1860" w:right="1299" w:hanging="357"/>
        <w:spacing w:after="0" w:line="292" w:lineRule="auto"/>
        <w:tabs>
          <w:tab w:leader="none" w:pos="1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a significant disruption in our information technology systems or breaches of data security.</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9" w:lineRule="exact"/>
        <w:rPr>
          <w:sz w:val="20"/>
          <w:szCs w:val="20"/>
          <w:color w:val="auto"/>
        </w:rPr>
      </w:pPr>
    </w:p>
    <w:p>
      <w:pPr>
        <w:ind w:left="1860" w:right="1179" w:hanging="357"/>
        <w:spacing w:after="0" w:line="274" w:lineRule="auto"/>
        <w:tabs>
          <w:tab w:leader="none" w:pos="18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50"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protect the confidentiality of our trade secrets and other proprietary information, our business and competitive position may be harmed.</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protect our intellectual property rights throughout the world, which could impair our business.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9" w:lineRule="exact"/>
        <w:rPr>
          <w:sz w:val="20"/>
          <w:szCs w:val="20"/>
          <w:color w:val="auto"/>
        </w:rPr>
      </w:pPr>
    </w:p>
    <w:p>
      <w:pPr>
        <w:ind w:left="1860" w:right="1379" w:hanging="357"/>
        <w:spacing w:after="0" w:line="274"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reliance on third parties:</w:t>
      </w:r>
    </w:p>
    <w:p>
      <w:pPr>
        <w:spacing w:after="0" w:line="99" w:lineRule="exact"/>
        <w:rPr>
          <w:sz w:val="20"/>
          <w:szCs w:val="20"/>
          <w:color w:val="auto"/>
        </w:rPr>
      </w:pPr>
    </w:p>
    <w:p>
      <w:pPr>
        <w:ind w:left="1860" w:right="1219" w:hanging="357"/>
        <w:spacing w:after="0" w:line="274"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upon third parties, including single and sole source suppliers, to manufacture certain components and subcomponents of the RxSight system, making us vulnerable to supply disruptions and price fluctuations.</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9" w:lineRule="exact"/>
        <w:rPr>
          <w:sz w:val="20"/>
          <w:szCs w:val="20"/>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stock may be volatile, and you could lose all or part of your investment.</w:t>
      </w:r>
    </w:p>
    <w:p>
      <w:pPr>
        <w:spacing w:after="0" w:line="96" w:lineRule="exact"/>
        <w:rPr>
          <w:rFonts w:ascii="Times New Roman" w:cs="Times New Roman" w:eastAsia="Times New Roman" w:hAnsi="Times New Roman"/>
          <w:sz w:val="14"/>
          <w:szCs w:val="14"/>
          <w:color w:val="auto"/>
        </w:rPr>
      </w:pPr>
    </w:p>
    <w:p>
      <w:pPr>
        <w:jc w:val="both"/>
        <w:ind w:left="1860" w:right="1179" w:hanging="357"/>
        <w:spacing w:after="0" w:line="274"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9" w:lineRule="exact"/>
        <w:rPr>
          <w:sz w:val="20"/>
          <w:szCs w:val="20"/>
          <w:color w:val="auto"/>
        </w:rPr>
      </w:pPr>
    </w:p>
    <w:p>
      <w:pPr>
        <w:ind w:left="1860" w:right="1479" w:hanging="357"/>
        <w:spacing w:after="0" w:line="292"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recruit, retain, manage and motivate qualified executives as we build out the management team, and we are highly dependent on our management team.</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74"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and future litigation proceedings could adversely affect our business, including the putative securities class action complaint filed in July 2025 in the U.S. District Court for the Central District of California which is pending.</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products</w:t>
      </w:r>
    </w:p>
    <w:p>
      <w:pPr>
        <w:spacing w:after="0" w:line="267"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effectively train our sales force, increase our sales and marketing capabilities or develop broad brand awareness in a cost-effective manner, our growth will be impeded, and our business will suffer.</w:t>
      </w:r>
    </w:p>
    <w:p>
      <w:pPr>
        <w:spacing w:after="0" w:line="34" w:lineRule="exact"/>
        <w:rPr>
          <w:sz w:val="20"/>
          <w:szCs w:val="20"/>
          <w:color w:val="auto"/>
        </w:rPr>
      </w:pPr>
    </w:p>
    <w:p>
      <w:pPr>
        <w:ind w:left="1160" w:right="1519" w:firstLine="258"/>
        <w:spacing w:after="0" w:line="292" w:lineRule="auto"/>
        <w:rPr>
          <w:sz w:val="20"/>
          <w:szCs w:val="20"/>
          <w:color w:val="auto"/>
        </w:rPr>
      </w:pPr>
      <w:r>
        <w:rPr>
          <w:rFonts w:ascii="Times New Roman" w:cs="Times New Roman" w:eastAsia="Times New Roman" w:hAnsi="Times New Roman"/>
          <w:sz w:val="14"/>
          <w:szCs w:val="14"/>
          <w:color w:val="auto"/>
        </w:rPr>
        <w:t>If we are unable to establish or scale effective sales and marketing capabilities, or if we are unable to commercialize any of our products, we may not be able to generate sufficient product revenue, sustain revenue</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7" w:name="page38"/>
    <w:bookmarkEnd w:id="37"/>
    <w:p>
      <w:pPr>
        <w:ind w:left="1160" w:right="1259"/>
        <w:spacing w:after="0" w:line="292" w:lineRule="auto"/>
        <w:rPr>
          <w:sz w:val="20"/>
          <w:szCs w:val="20"/>
          <w:color w:val="auto"/>
        </w:rPr>
      </w:pPr>
      <w:r>
        <w:rPr>
          <w:rFonts w:ascii="Times New Roman" w:cs="Times New Roman" w:eastAsia="Times New Roman" w:hAnsi="Times New Roman"/>
          <w:sz w:val="14"/>
          <w:szCs w:val="14"/>
          <w:color w:val="auto"/>
        </w:rPr>
        <w:t>growth and compete effectively. In order to generate future growth, we plan to continue to expand and leverage our sales and marketing infrastructure to increase our customer base and grow our business.</w:t>
      </w:r>
    </w:p>
    <w:p>
      <w:pPr>
        <w:spacing w:after="0" w:line="38"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63"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63"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While sales declined in 2025 following several years of rapid growth, we have implemented changes in our sales organization in an effort to return to revenue growth in absolute dollars. In order to increase LAL use at our current customers, we recently realigned our commercial structure by unifying our LAL sales and clinical support personnel into a single Customer Success Organization. Each team within the Customer Success Organization is responsible for a defined group of doctors and practices, overseeing customer experience from initial onboarding through ongoing efforts to drive long-term utilization growth. Our LDD sales team remains focused on acquiring new high-potential accounts, that are subsequently transitioned to the Customer Success Organization for clinical support, education, and to maximize long-term utilization and growth and LAL use.</w:t>
      </w:r>
    </w:p>
    <w:p>
      <w:pPr>
        <w:spacing w:after="0" w:line="60"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59" w:lineRule="exact"/>
        <w:rPr>
          <w:sz w:val="20"/>
          <w:szCs w:val="20"/>
          <w:color w:val="auto"/>
        </w:rPr>
      </w:pPr>
    </w:p>
    <w:p>
      <w:pPr>
        <w:ind w:left="1160" w:right="1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net losses, and we expect to continue to incur losses in the future. If we ever achieve profitability, we may not be able to sustain it.</w:t>
      </w:r>
    </w:p>
    <w:p>
      <w:pPr>
        <w:spacing w:after="0" w:line="3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We have incurred losses from operations since our inception and expect to continue to incur losses from operations in the future. We reported losses from operations of $36.9 million and $50.1 million for the years ended December 31, 2024 and 2023, respectively, and $36.9 million for the nine months ended September 30, 2025. As a result of these losses, as of September 30, 2025, we had an accumulated deficit of $651.9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8" w:name="page39"/>
    <w:bookmarkEnd w:id="38"/>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46"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3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59" w:lineRule="exact"/>
        <w:rPr>
          <w:sz w:val="20"/>
          <w:szCs w:val="20"/>
          <w:color w:val="auto"/>
        </w:rPr>
      </w:pPr>
    </w:p>
    <w:p>
      <w:pPr>
        <w:jc w:val="both"/>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Because of these and other factors, we expect to continue to incur net losses and negative cash flows from operations in the future. Our future liquidity and capital funding requirements will depend on numerous factors, including:</w:t>
      </w:r>
    </w:p>
    <w:p>
      <w:pPr>
        <w:spacing w:after="0" w:line="50" w:lineRule="exact"/>
        <w:rPr>
          <w:sz w:val="20"/>
          <w:szCs w:val="20"/>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growth;</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efforts;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activities;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leveraging future strategic partnerships;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investments, primarily in inventories and accounts receivable;</w:t>
      </w:r>
    </w:p>
    <w:p>
      <w:pPr>
        <w:spacing w:after="0" w:line="96"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borrow or raise additional funds through future debt or equity offerings to finance our operations;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any clinical trial results for our current or future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and effect of competing or complementary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amount of reimbursement for procedures using our products;</w:t>
      </w:r>
    </w:p>
    <w:p>
      <w:pPr>
        <w:spacing w:after="0" w:line="96" w:lineRule="exact"/>
        <w:rPr>
          <w:rFonts w:ascii="Times New Roman" w:cs="Times New Roman" w:eastAsia="Times New Roman" w:hAnsi="Times New Roman"/>
          <w:sz w:val="14"/>
          <w:szCs w:val="14"/>
          <w:color w:val="auto"/>
        </w:rPr>
      </w:pPr>
    </w:p>
    <w:p>
      <w:pPr>
        <w:ind w:left="1860" w:right="1219" w:hanging="357"/>
        <w:spacing w:after="0" w:line="268"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54"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current employees and the need and ability to hire additional management, sales, research and development, scientific and customer support personnel;</w:t>
      </w:r>
    </w:p>
    <w:p>
      <w:pPr>
        <w:spacing w:after="0" w:line="37"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collaborative, licensing or other arrangements that we have or may establish;</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finance lease payments for our facilities;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or technologies.</w:t>
      </w:r>
    </w:p>
    <w:p>
      <w:pPr>
        <w:spacing w:after="0" w:line="269"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9" w:name="page40"/>
    <w:bookmarkEnd w:id="39"/>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the Middle East and otherwise.</w:t>
      </w:r>
    </w:p>
    <w:p>
      <w:pPr>
        <w:spacing w:after="0" w:line="60"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As of September 30, 2025 and December 31, 2024, we had $227.5 million and $237.2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such metric may be disclosed in the Company’s future Annual Reports on Form 10-K or Quarterly Reports on Form 10-Q filed with the SEC,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p>
    <w:p>
      <w:pPr>
        <w:spacing w:after="0" w:line="57" w:lineRule="exact"/>
        <w:rPr>
          <w:sz w:val="20"/>
          <w:szCs w:val="20"/>
          <w:color w:val="auto"/>
        </w:rPr>
      </w:pPr>
    </w:p>
    <w:p>
      <w:pPr>
        <w:jc w:val="both"/>
        <w:ind w:left="1160" w:right="1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Global economic, political and market conditions, including downgrades of the U.S. credit rating, and inflation may adversely affect our business, results of operations and financial condition, including our revenue growth and profitability.</w:t>
      </w:r>
    </w:p>
    <w:p>
      <w:pPr>
        <w:spacing w:after="0" w:line="48"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spacing w:after="0" w:line="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Deterioration in the economic conditions globally resulting in instability in global financial markets, including:</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inflation and rising interest rates and instability in the capital markets.</w:t>
      </w:r>
    </w:p>
    <w:p>
      <w:pPr>
        <w:spacing w:after="0" w:line="83"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spacing w:after="0" w:line="56"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Additionally, the current inflationary environment may materially affect our business and operating results by increasing the costs of our supplies and may drive the U.S. Federal Reserve system to increase interest rates, which in turn may increase our overhead costs. Rising interest rates could make it more difficult to obtain traditional financing on acceptable terms, if at all. Additionally, the general consensus among economists suggests that we should expect a higher recession risk to continue over the next year, which,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positions or results of operations to date, additional high inflation could increase our operating costs, including our labor costs and research and development costs. These costs may also be negatively impacted due to supply chain constraints, global geopolitical tensions, worsening macroeconomic conditions and employee availability and wage increases, which may result in additional stress on our working capital. We import from China certain materials and other</w:t>
      </w: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0" w:name="page41"/>
    <w:bookmarkEnd w:id="40"/>
    <w:p>
      <w:pPr>
        <w:ind w:left="1160" w:right="1719"/>
        <w:spacing w:after="0" w:line="292" w:lineRule="auto"/>
        <w:rPr>
          <w:sz w:val="20"/>
          <w:szCs w:val="20"/>
          <w:color w:val="auto"/>
        </w:rPr>
      </w:pPr>
      <w:r>
        <w:rPr>
          <w:rFonts w:ascii="Times New Roman" w:cs="Times New Roman" w:eastAsia="Times New Roman" w:hAnsi="Times New Roman"/>
          <w:sz w:val="14"/>
          <w:szCs w:val="14"/>
          <w:color w:val="auto"/>
        </w:rPr>
        <w:t>components for use in our products, and such goods are subject to tariffs. Increases in tariffs could result in increased costs.</w:t>
      </w:r>
    </w:p>
    <w:p>
      <w:pPr>
        <w:spacing w:after="0" w:line="34" w:lineRule="exact"/>
        <w:rPr>
          <w:sz w:val="20"/>
          <w:szCs w:val="20"/>
          <w:color w:val="auto"/>
        </w:rPr>
      </w:pPr>
    </w:p>
    <w:p>
      <w:pPr>
        <w:ind w:left="1160" w:right="15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United States trade policy, including recently announced tariffs, could have a material adverse impact on our business, financial condition, and results of operations.</w:t>
      </w:r>
    </w:p>
    <w:p>
      <w:pPr>
        <w:spacing w:after="0" w:line="34"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Changes in United States trade policy, including recently announced tariffs, could have a material adverse impact on our business, financial condition, and results of operations. The imposition of retaliatory or new tariffs or increases in existing tariffs on goods imported from countries where we source our products could result in increased material costs for our products. If we are unable to mitigate these risks through supply chain adjustments, such as changing vendors, pricing strategies, or other measures could adversely effect our gross margins, business, financial condition and results of operations.</w:t>
      </w:r>
    </w:p>
    <w:p>
      <w:pPr>
        <w:spacing w:after="0" w:line="54"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spacing w:after="0" w:line="59" w:lineRule="exact"/>
        <w:rPr>
          <w:sz w:val="20"/>
          <w:szCs w:val="20"/>
          <w:color w:val="auto"/>
        </w:rPr>
      </w:pPr>
    </w:p>
    <w:p>
      <w:pPr>
        <w:jc w:val="both"/>
        <w:ind w:left="1160" w:right="13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48"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50" w:lineRule="exact"/>
        <w:rPr>
          <w:sz w:val="20"/>
          <w:szCs w:val="20"/>
          <w:color w:val="auto"/>
        </w:rPr>
      </w:pPr>
    </w:p>
    <w:p>
      <w:pPr>
        <w:ind w:left="1860" w:right="157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and perceived effectiveness and reliability of our RxSight system, especially relative to alternative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adverse patient events involving our RxSight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studies and trials relating to our RxSight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sustain meaningful clinical benefits for our patients;</w:t>
      </w:r>
    </w:p>
    <w:p>
      <w:pPr>
        <w:spacing w:after="0" w:line="96" w:lineRule="exact"/>
        <w:rPr>
          <w:rFonts w:ascii="Times New Roman" w:cs="Times New Roman" w:eastAsia="Times New Roman" w:hAnsi="Times New Roman"/>
          <w:sz w:val="14"/>
          <w:szCs w:val="14"/>
          <w:color w:val="auto"/>
        </w:rPr>
      </w:pPr>
    </w:p>
    <w:p>
      <w:pPr>
        <w:ind w:left="1860" w:right="129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approval to market our planned or future products for use in the United States or internationally;</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relative cost and perceived advantages and disadvantages of alternative technologies or treatment methods for conditions treated by our products;</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74"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patient willingness to pay for the additional costs associated with our premium intraocular lens out of pocket or return for an additional two to three clinic visits compared to traditional cataract surgery;</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to which doctors adopt our RxSight system;</w:t>
      </w:r>
    </w:p>
    <w:p>
      <w:pPr>
        <w:spacing w:after="0" w:line="96" w:lineRule="exact"/>
        <w:rPr>
          <w:rFonts w:ascii="Times New Roman" w:cs="Times New Roman" w:eastAsia="Times New Roman" w:hAnsi="Times New Roman"/>
          <w:sz w:val="14"/>
          <w:szCs w:val="14"/>
          <w:color w:val="auto"/>
        </w:rPr>
      </w:pPr>
    </w:p>
    <w:p>
      <w:pPr>
        <w:ind w:left="1860" w:right="1259" w:hanging="357"/>
        <w:spacing w:after="0" w:line="265"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1" w:name="page42"/>
    <w:bookmarkEnd w:id="41"/>
    <w:p>
      <w:pPr>
        <w:ind w:left="1860" w:right="123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in and to our RxSight system;</w:t>
      </w:r>
    </w:p>
    <w:p>
      <w:pPr>
        <w:spacing w:after="0" w:line="37"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to which patients value the customized vision delivered by the RxSight system and are satisfied with their results;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and maintaining compliance with regulatory requirements applicable to our products;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are successful in educating doctors about IOLs in general, and the benefits of our RxSight system;</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among doctors;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marketing and commercial organization;</w:t>
      </w:r>
    </w:p>
    <w:p>
      <w:pPr>
        <w:spacing w:after="0" w:line="96"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marketing and sales efforts in the United States, including our efforts to build out our sales team;</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the commercialization of our products into international markets;</w:t>
      </w:r>
    </w:p>
    <w:p>
      <w:pPr>
        <w:spacing w:after="0" w:line="96" w:lineRule="exact"/>
        <w:rPr>
          <w:rFonts w:ascii="Times New Roman" w:cs="Times New Roman" w:eastAsia="Times New Roman" w:hAnsi="Times New Roman"/>
          <w:sz w:val="14"/>
          <w:szCs w:val="14"/>
          <w:color w:val="auto"/>
        </w:rPr>
      </w:pPr>
    </w:p>
    <w:p>
      <w:pPr>
        <w:jc w:val="both"/>
        <w:ind w:left="1860" w:right="1319" w:hanging="357"/>
        <w:spacing w:after="0" w:line="274"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develop, validate and maintain a commercially viable manufacturing process that is compliant with the Quality Systems Regulations (“QSR”), or QSMR when it goes into effect in February 2026, and other applicable foreign, federal and state regulatory requirements;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ongoing or future clinical trials; and</w:t>
      </w:r>
    </w:p>
    <w:p>
      <w:pPr>
        <w:spacing w:after="0" w:line="96" w:lineRule="exact"/>
        <w:rPr>
          <w:rFonts w:ascii="Times New Roman" w:cs="Times New Roman" w:eastAsia="Times New Roman" w:hAnsi="Times New Roman"/>
          <w:sz w:val="14"/>
          <w:szCs w:val="14"/>
          <w:color w:val="auto"/>
        </w:rPr>
      </w:pPr>
    </w:p>
    <w:p>
      <w:pPr>
        <w:ind w:left="1860" w:right="175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required by the FDA or comparable non-U.S. regulatory authorities to conduct additional clinical trials for current or future indications.</w:t>
      </w:r>
    </w:p>
    <w:p>
      <w:pPr>
        <w:spacing w:after="0" w:line="3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59" w:lineRule="exact"/>
        <w:rPr>
          <w:sz w:val="20"/>
          <w:szCs w:val="20"/>
          <w:color w:val="auto"/>
        </w:rPr>
      </w:pPr>
    </w:p>
    <w:p>
      <w:pPr>
        <w:ind w:left="1160" w:right="14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3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63"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2" w:name="page43"/>
    <w:bookmarkEnd w:id="42"/>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product liability claims. The use or misuse of our products may in the future result in complications and potentially lead to product liability claims.</w:t>
      </w:r>
    </w:p>
    <w:p>
      <w:pPr>
        <w:spacing w:after="0" w:line="38"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The commercial success of our RxSight system will depend upon attaining significant market acceptance of these products among patients and doctors.</w:t>
      </w:r>
    </w:p>
    <w:p>
      <w:pPr>
        <w:spacing w:after="0" w:line="3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current customers that have adopted our RxSight system. Our future growth and profitability largely depend on our ability to increase other doctors’ awareness of our RxSight system and our products and on the willingness of doctors and patients to adopt them. These parties may not adopt our products like our current customers have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69" w:lineRule="exact"/>
        <w:rPr>
          <w:sz w:val="20"/>
          <w:szCs w:val="20"/>
          <w:color w:val="auto"/>
        </w:rPr>
      </w:pPr>
    </w:p>
    <w:p>
      <w:pPr>
        <w:ind w:left="1860" w:hanging="357"/>
        <w:spacing w:after="0"/>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long-standing relationships with competing companies and distributors that sell other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response and negative selling efforts from providers of alternative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experience with our products and concerns that we are relatively new to market;</w:t>
      </w:r>
    </w:p>
    <w:p>
      <w:pPr>
        <w:spacing w:after="0" w:line="96"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or perceived lack of sufficient clinical evidence, including long-term data, supporting safety or clinical benefits;</w:t>
      </w:r>
    </w:p>
    <w:p>
      <w:pPr>
        <w:spacing w:after="0" w:line="37" w:lineRule="exact"/>
        <w:rPr>
          <w:rFonts w:ascii="Times New Roman" w:cs="Times New Roman" w:eastAsia="Times New Roman" w:hAnsi="Times New Roman"/>
          <w:sz w:val="14"/>
          <w:szCs w:val="14"/>
          <w:color w:val="auto"/>
        </w:rPr>
      </w:pPr>
    </w:p>
    <w:p>
      <w:pPr>
        <w:ind w:left="1860" w:right="1339" w:hanging="357"/>
        <w:spacing w:after="0" w:line="292"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commitment and skill development that may be required to gain familiarity and proficiency with our products;</w:t>
      </w:r>
    </w:p>
    <w:p>
      <w:pPr>
        <w:spacing w:after="0" w:line="37" w:lineRule="exact"/>
        <w:rPr>
          <w:rFonts w:ascii="Times New Roman" w:cs="Times New Roman" w:eastAsia="Times New Roman" w:hAnsi="Times New Roman"/>
          <w:sz w:val="14"/>
          <w:szCs w:val="14"/>
          <w:color w:val="auto"/>
        </w:rPr>
      </w:pPr>
    </w:p>
    <w:p>
      <w:pPr>
        <w:ind w:left="1860" w:right="1259" w:hanging="357"/>
        <w:spacing w:after="0" w:line="292"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confusion regarding the wide range of commercially available premium IOL offerings and their ability to deliver promised results at near, middle and far distances without reliance on glasses;</w:t>
      </w:r>
    </w:p>
    <w:p>
      <w:pPr>
        <w:spacing w:after="0" w:line="37" w:lineRule="exact"/>
        <w:rPr>
          <w:rFonts w:ascii="Times New Roman" w:cs="Times New Roman" w:eastAsia="Times New Roman" w:hAnsi="Times New Roman"/>
          <w:sz w:val="14"/>
          <w:szCs w:val="14"/>
          <w:color w:val="auto"/>
        </w:rPr>
      </w:pPr>
    </w:p>
    <w:p>
      <w:pPr>
        <w:ind w:left="1860" w:right="1399" w:hanging="357"/>
        <w:spacing w:after="0" w:line="292"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reticence to select a premium IOL due to nonperformance and adverse side effects associated with competing products in the market;</w:t>
      </w:r>
    </w:p>
    <w:p>
      <w:pPr>
        <w:spacing w:after="0" w:line="37" w:lineRule="exact"/>
        <w:rPr>
          <w:rFonts w:ascii="Times New Roman" w:cs="Times New Roman" w:eastAsia="Times New Roman" w:hAnsi="Times New Roman"/>
          <w:sz w:val="14"/>
          <w:szCs w:val="14"/>
          <w:color w:val="auto"/>
        </w:rPr>
      </w:pPr>
    </w:p>
    <w:p>
      <w:pPr>
        <w:ind w:left="1860" w:right="1299" w:hanging="357"/>
        <w:spacing w:after="0" w:line="274"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50" w:lineRule="exact"/>
        <w:rPr>
          <w:rFonts w:ascii="Times New Roman" w:cs="Times New Roman" w:eastAsia="Times New Roman" w:hAnsi="Times New Roman"/>
          <w:sz w:val="14"/>
          <w:szCs w:val="14"/>
          <w:color w:val="auto"/>
        </w:rPr>
      </w:pPr>
    </w:p>
    <w:p>
      <w:pPr>
        <w:ind w:left="1860" w:right="1439" w:hanging="357"/>
        <w:spacing w:after="0" w:line="292"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generate patient referral due to dissatisfaction with results obtained through treatment with our products, the out-of-pocket cost of treatments using our products or otherwise.</w:t>
      </w:r>
    </w:p>
    <w:p>
      <w:pPr>
        <w:spacing w:after="0" w:line="38"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50" w:lineRule="exact"/>
        <w:rPr>
          <w:sz w:val="20"/>
          <w:szCs w:val="20"/>
          <w:color w:val="auto"/>
        </w:rPr>
      </w:pPr>
    </w:p>
    <w:p>
      <w:pPr>
        <w:ind w:left="1160" w:right="1419" w:firstLine="258"/>
        <w:spacing w:after="0" w:line="268" w:lineRule="auto"/>
        <w:rPr>
          <w:sz w:val="20"/>
          <w:szCs w:val="20"/>
          <w:color w:val="auto"/>
        </w:rPr>
      </w:pPr>
      <w:r>
        <w:rPr>
          <w:rFonts w:ascii="Times New Roman" w:cs="Times New Roman" w:eastAsia="Times New Roman" w:hAnsi="Times New Roman"/>
          <w:sz w:val="14"/>
          <w:szCs w:val="14"/>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54"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3" w:name="page44"/>
    <w:bookmarkEnd w:id="43"/>
    <w:p>
      <w:pPr>
        <w:ind w:left="1160" w:right="1379"/>
        <w:spacing w:after="0" w:line="274" w:lineRule="auto"/>
        <w:rPr>
          <w:sz w:val="20"/>
          <w:szCs w:val="20"/>
          <w:color w:val="auto"/>
        </w:rPr>
      </w:pPr>
      <w:r>
        <w:rPr>
          <w:rFonts w:ascii="Times New Roman" w:cs="Times New Roman" w:eastAsia="Times New Roman" w:hAnsi="Times New Roman"/>
          <w:sz w:val="14"/>
          <w:szCs w:val="14"/>
          <w:color w:val="auto"/>
        </w:rPr>
        <w:t>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50"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RxSight system involves surgical risks and is contraindicated in certain patients, which may limit adoption.</w:t>
      </w:r>
    </w:p>
    <w:p>
      <w:pPr>
        <w:spacing w:after="0" w:line="9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52" w:lineRule="exact"/>
        <w:rPr>
          <w:sz w:val="20"/>
          <w:szCs w:val="20"/>
          <w:color w:val="auto"/>
        </w:rPr>
      </w:pPr>
    </w:p>
    <w:p>
      <w:pPr>
        <w:ind w:left="1160" w:right="14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3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medical device industry is intensely competitive, subject to rapid change and is constantly impacted by new product introductions and other market activities of industry participants. We compete with manufacturers and distributors of premium and conventional IOLs. Our most significant competitors in the IOL field include Alcon, Johnson &amp; Johnson and Bausch + Lomb, which all continue to develop and release new IOL products and technologies. Most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235" w:lineRule="exact"/>
        <w:rPr>
          <w:sz w:val="20"/>
          <w:szCs w:val="20"/>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patient outcomes, oftentimes measured by visual acuity, and adverse event rates;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experience, including patient recovery time and level of discomfort;</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by treating doctors and referral sources;</w:t>
      </w:r>
    </w:p>
    <w:p>
      <w:pPr>
        <w:spacing w:after="0" w:line="96" w:lineRule="exact"/>
        <w:rPr>
          <w:rFonts w:ascii="Times New Roman" w:cs="Times New Roman" w:eastAsia="Times New Roman" w:hAnsi="Times New Roman"/>
          <w:sz w:val="14"/>
          <w:szCs w:val="14"/>
          <w:color w:val="auto"/>
        </w:rPr>
      </w:pPr>
    </w:p>
    <w:p>
      <w:pPr>
        <w:ind w:left="1860" w:right="1539" w:hanging="357"/>
        <w:spacing w:after="0" w:line="292" w:lineRule="auto"/>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Doctor learning curves and willingness to adopt new technologies, particularly during competitive launch periods;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Ease-of-use and reliability;</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benefits and cost savings;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 of clinical evidence;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distribution and marketing to surgeons and potential patients;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price and qualification for coverage and reimbursement.</w:t>
      </w:r>
    </w:p>
    <w:p>
      <w:pPr>
        <w:spacing w:after="0" w:line="97"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We compete primarily on the basis that our products are designed to enable more doctors to treat more patients more efficiently and effectively. Our continued success depends on our ability to:</w:t>
      </w:r>
    </w:p>
    <w:p>
      <w:pPr>
        <w:spacing w:after="0" w:line="38" w:lineRule="exact"/>
        <w:rPr>
          <w:sz w:val="20"/>
          <w:szCs w:val="20"/>
          <w:color w:val="auto"/>
        </w:rPr>
      </w:pPr>
    </w:p>
    <w:p>
      <w:pPr>
        <w:ind w:left="1860" w:right="1279" w:hanging="357"/>
        <w:spacing w:after="0" w:line="292" w:lineRule="auto"/>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innovative, proprietary products that address significant clinical needs in a manner that is safe and effective for patients and easy-to-use for doctors;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regulatory clearances or approvals;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 safety and effectiveness in our sponsored and third-party clinical trials;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4" w:name="page45"/>
    <w:bookmarkEnd w:id="44"/>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sales force across key markets to increase doctors’ awareness;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coverage and adequate reimbursement for procedures using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research, development, sales and clinical personnel;</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cost-effectively manufacture, market and sell our products;</w:t>
      </w:r>
    </w:p>
    <w:p>
      <w:pPr>
        <w:spacing w:after="0" w:line="96"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doctors with a sufficient return on investment as compared to alternative premium IOL procedures that justifies the upfront cost of our LDD; and</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maintain, enforce and defend our intellectual property rights and operate our business without infringing, misappropriating or otherwise violating the intellectual property rights of others.</w:t>
      </w:r>
    </w:p>
    <w:p>
      <w:pPr>
        <w:spacing w:after="0" w:line="3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59"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54" w:lineRule="exact"/>
        <w:rPr>
          <w:sz w:val="20"/>
          <w:szCs w:val="20"/>
          <w:color w:val="auto"/>
        </w:rPr>
      </w:pPr>
    </w:p>
    <w:p>
      <w:pPr>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4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 or man-made disasters, such as earthquakes, and/or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238"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Furthermore, the current leases on our four facilities expire on January 31, 2031, with two options to extend for five years each.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Technological change may adversely affect sales of our products and may cause our products to become obsolete.</w:t>
      </w:r>
    </w:p>
    <w:p>
      <w:pPr>
        <w:spacing w:after="0" w:line="10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61" w:lineRule="exact"/>
        <w:rPr>
          <w:sz w:val="20"/>
          <w:szCs w:val="20"/>
          <w:color w:val="auto"/>
        </w:rPr>
      </w:pPr>
    </w:p>
    <w:p>
      <w:pPr>
        <w:ind w:left="1160" w:right="14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48"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57"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clinical trials are unsuccessful or significantly delayed, or if we do not complete our clinical trials, our business may be harmed.</w:t>
      </w:r>
    </w:p>
    <w:p>
      <w:pPr>
        <w:spacing w:after="0" w:line="3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63"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50" w:lineRule="exact"/>
        <w:rPr>
          <w:sz w:val="20"/>
          <w:szCs w:val="20"/>
          <w:color w:val="auto"/>
        </w:rPr>
      </w:pPr>
    </w:p>
    <w:p>
      <w:pPr>
        <w:ind w:left="1860" w:right="1219" w:hanging="357"/>
        <w:spacing w:after="0" w:line="292"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and timely completion of nonclinical studies or clinical development of our products, as well as the associated costs, including any unforeseen costs we may incur as a result of clinical trial delays;</w:t>
      </w:r>
    </w:p>
    <w:p>
      <w:pPr>
        <w:spacing w:after="0" w:line="37" w:lineRule="exact"/>
        <w:rPr>
          <w:rFonts w:ascii="Times New Roman" w:cs="Times New Roman" w:eastAsia="Times New Roman" w:hAnsi="Times New Roman"/>
          <w:sz w:val="14"/>
          <w:szCs w:val="14"/>
          <w:color w:val="auto"/>
        </w:rPr>
      </w:pPr>
    </w:p>
    <w:p>
      <w:pPr>
        <w:ind w:left="1860" w:right="1419" w:hanging="357"/>
        <w:spacing w:after="0" w:line="292"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enrollment in our clinical trials may be slower than we anticipate, or we may experience high screen failure rates in our clinical trials, resulting in significant delays;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74"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trials may produce negative or inconclusive results, and we may decide, or regulators may require us, to conduct additional clinical and/or preclinical testing which may be expensive and time-consuming;</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46" w:name="page47"/>
    <w:bookmarkEnd w:id="46"/>
    <w:p>
      <w:pPr>
        <w:ind w:left="1860" w:right="139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trial results may not meet the level of statistical significance required by the FDA or other regulatory authorities;</w:t>
      </w:r>
    </w:p>
    <w:p>
      <w:pPr>
        <w:spacing w:after="0" w:line="37"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find that one or more of our products is not sufficiently safe for investigational use in humans;</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interpret data from preclinical testing and clinical trials in different ways than we do;</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delays or failure in obtaining approval of our clinical trial protocols from the FDA or other regulatory authorities;</w:t>
      </w:r>
    </w:p>
    <w:p>
      <w:pPr>
        <w:spacing w:after="0" w:line="37"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delays in obtaining institutional review board approvals or governmental approvals to conduct clinical trials at prospective sites;</w:t>
      </w:r>
    </w:p>
    <w:p>
      <w:pPr>
        <w:spacing w:after="0" w:line="37" w:lineRule="exact"/>
        <w:rPr>
          <w:rFonts w:ascii="Times New Roman" w:cs="Times New Roman" w:eastAsia="Times New Roman" w:hAnsi="Times New Roman"/>
          <w:sz w:val="14"/>
          <w:szCs w:val="14"/>
          <w:color w:val="auto"/>
        </w:rPr>
      </w:pPr>
    </w:p>
    <w:p>
      <w:pPr>
        <w:ind w:left="1860" w:right="173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find our or our suppliers’ manufacturing processes or facilities unsatisfactory;</w:t>
      </w:r>
    </w:p>
    <w:p>
      <w:pPr>
        <w:spacing w:after="0" w:line="37" w:lineRule="exact"/>
        <w:rPr>
          <w:rFonts w:ascii="Times New Roman" w:cs="Times New Roman" w:eastAsia="Times New Roman" w:hAnsi="Times New Roman"/>
          <w:sz w:val="14"/>
          <w:szCs w:val="14"/>
          <w:color w:val="auto"/>
        </w:rPr>
      </w:pPr>
    </w:p>
    <w:p>
      <w:pPr>
        <w:jc w:val="both"/>
        <w:ind w:left="1860" w:right="1639" w:hanging="357"/>
        <w:spacing w:after="0" w:line="274"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trouble in managing multiple clinical sites;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trouble finding patients to enroll in our trials;</w:t>
      </w:r>
    </w:p>
    <w:p>
      <w:pPr>
        <w:spacing w:after="0" w:line="96"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agreeing on acceptable terms with third-party research organizations and trial sites that may help us conduct the clinical trials; and</w:t>
      </w:r>
    </w:p>
    <w:p>
      <w:pPr>
        <w:spacing w:after="0" w:line="37" w:lineRule="exact"/>
        <w:rPr>
          <w:rFonts w:ascii="Times New Roman" w:cs="Times New Roman" w:eastAsia="Times New Roman" w:hAnsi="Times New Roman"/>
          <w:sz w:val="14"/>
          <w:szCs w:val="14"/>
          <w:color w:val="auto"/>
        </w:rPr>
      </w:pPr>
    </w:p>
    <w:p>
      <w:pPr>
        <w:ind w:left="1860" w:right="149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regulators, may suspend or terminate our clinical trials because the participating patients are being exposed to unacceptable health risks.</w:t>
      </w:r>
    </w:p>
    <w:p>
      <w:pPr>
        <w:spacing w:after="0" w:line="38" w:lineRule="exact"/>
        <w:rPr>
          <w:sz w:val="20"/>
          <w:szCs w:val="20"/>
          <w:color w:val="auto"/>
        </w:rPr>
      </w:pPr>
    </w:p>
    <w:p>
      <w:pPr>
        <w:jc w:val="both"/>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46" w:lineRule="exact"/>
        <w:rPr>
          <w:sz w:val="20"/>
          <w:szCs w:val="20"/>
          <w:color w:val="auto"/>
        </w:rPr>
      </w:pPr>
    </w:p>
    <w:p>
      <w:pPr>
        <w:ind w:left="1160" w:right="1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48"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56" w:lineRule="exact"/>
        <w:rPr>
          <w:sz w:val="20"/>
          <w:szCs w:val="20"/>
          <w:color w:val="auto"/>
        </w:rPr>
      </w:pPr>
    </w:p>
    <w:p>
      <w:pPr>
        <w:ind w:left="1160" w:right="123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systems,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our brand and cause material disruption to our operations.</w:t>
      </w:r>
    </w:p>
    <w:p>
      <w:pPr>
        <w:spacing w:after="0" w:line="57"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7" w:name="page48"/>
    <w:bookmarkEnd w:id="47"/>
    <w:p>
      <w:pPr>
        <w:ind w:left="1160" w:right="1419"/>
        <w:spacing w:after="0" w:line="292" w:lineRule="auto"/>
        <w:rPr>
          <w:sz w:val="20"/>
          <w:szCs w:val="20"/>
          <w:color w:val="auto"/>
        </w:rPr>
      </w:pPr>
      <w:r>
        <w:rPr>
          <w:rFonts w:ascii="Times New Roman" w:cs="Times New Roman" w:eastAsia="Times New Roman" w:hAnsi="Times New Roman"/>
          <w:sz w:val="14"/>
          <w:szCs w:val="14"/>
          <w:color w:val="auto"/>
        </w:rPr>
        <w:t>partners, are increasingly vulnerable to attacks and disruptions on their networks and systems by a wide range of actors on an ongoing and regular basis.</w:t>
      </w:r>
    </w:p>
    <w:p>
      <w:pPr>
        <w:spacing w:after="0" w:line="38"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For example, as previously disclosed, on May 2, 2024, an unauthorized actor targeted the personal cell phone number of an RxSight employee. On May 3, 2024, the unauthorized actor obtained unauthorized access to the employee’s cloud-based work account and to e-mails and files that were accessible from that account. We discovered the incident on the same day, May 3, 2024, promptly disabled the employee’s account, initiated response and investigation procedures, contacted our insurance provider, and retained external cybersecurity experts to assist in our response and investigation. While the unauthorized actor accessed and acquired copies of e-mail messages and other materials that were accessible from the employee’s cloud-based work account, our information systems were never interrupted and remained operational during this unauthorized access, and we have not observed any aspect of this incident that has had a material impact on our operations, financial systems, or financial condition. However, there can be no assurance as to whether the incident will have a future material impact on our operations, financial systems, or financial condition and we remain subject to various risks due to the incident.</w:t>
      </w:r>
    </w:p>
    <w:p>
      <w:pPr>
        <w:spacing w:after="0" w:line="65"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or incident could result in disruptions to our business processes, network degradation, and system down time, along with the potential that a third-party will gain unauthorized access to, acquire, or otherwise use, modify, or process intellectual property, proprietary business information, and data related to our employees, customers, suppliers, and business partners, including personal data, in an unauthorized manner. any disruption, degradation, or other security breach, incident, or other event that results in loss or unavailability of or damage to our data or systems, system downtime or other disruptions, or in inappropriate disclosure or other processing of confidential or personal data, could adversely impact us and our customers, potentially resulting in, among other things, financial losses, loss of customers or business, our inability to transact business, adverse impact on our reputation, actual or alleged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w:t>
      </w:r>
    </w:p>
    <w:p>
      <w:pPr>
        <w:spacing w:after="0" w:line="23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Despite the implementation of security measures in an effort to protect systems that store our information, given their size and complexity and the increasing amounts of information maintained on our internal information technology systems and external processing and storage systems (e.g., hosting), contractors and consultants and other third-party service providers, these systems are potentially vulnerable to breakdown or other damage or interruption. Our systems and the systems of third parties who support our operations are vulnerable to service interruptions, system malfunction, natural disasters, terrorism,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the unauthorized access to, misuse, disclosure, loss, destruction, alteration or dissemination of, or damage to, our data, including trade secrets or other confidential information, intellectual property, proprietary business information, and personal information. For example, companies have experienced an increase in phishing and social engineering attacks from third parties in recent years. Our employees generally work in a hybrid model in our offices and from home, and we may need to adjust our working model from time to time. As a result, we have increased cyber security and data security risks, due to increased use of home wi-fi networks and virtual private networks, as well as increased disbursement of physical machines.</w:t>
      </w:r>
    </w:p>
    <w:p>
      <w:pPr>
        <w:spacing w:after="0" w:line="63" w:lineRule="exact"/>
        <w:rPr>
          <w:sz w:val="20"/>
          <w:szCs w:val="20"/>
          <w:color w:val="auto"/>
        </w:rPr>
      </w:pPr>
    </w:p>
    <w:p>
      <w:pPr>
        <w:jc w:val="both"/>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Any disruption, security incident, or security breach resulting in any loss, destruction, unavailability, alteration or dissemination of, or damage to, our data, could subject us to significant fines or penalties for any noncompliance with certain state, federal and/or international laws relating to privacy, data protection, and information security. Litigation and governmental investigations could force us to spend money in defense or settlement, divert</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8" w:name="page49"/>
    <w:bookmarkEnd w:id="48"/>
    <w:p>
      <w:pPr>
        <w:ind w:left="1160" w:right="1199"/>
        <w:spacing w:after="0" w:line="263" w:lineRule="auto"/>
        <w:rPr>
          <w:sz w:val="20"/>
          <w:szCs w:val="20"/>
          <w:color w:val="auto"/>
        </w:rPr>
      </w:pPr>
      <w:r>
        <w:rPr>
          <w:rFonts w:ascii="Times New Roman" w:cs="Times New Roman" w:eastAsia="Times New Roman" w:hAnsi="Times New Roman"/>
          <w:sz w:val="14"/>
          <w:szCs w:val="14"/>
          <w:color w:val="auto"/>
        </w:rPr>
        <w:t>management’s time and attention, increase our costs of doing business, and/or adversely affect our reputation.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risks of, or to detect, such attacks, breaches or incidents that occur will be successful and our failure to do so could have a material adverse effect on our business, financial condition and results of operations.</w:t>
      </w:r>
    </w:p>
    <w:p>
      <w:pPr>
        <w:spacing w:after="0" w:line="54" w:lineRule="exact"/>
        <w:rPr>
          <w:sz w:val="20"/>
          <w:szCs w:val="20"/>
          <w:color w:val="auto"/>
        </w:rPr>
      </w:pPr>
    </w:p>
    <w:p>
      <w:pPr>
        <w:ind w:left="1160" w:right="16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34"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59" w:lineRule="exact"/>
        <w:rPr>
          <w:sz w:val="20"/>
          <w:szCs w:val="20"/>
          <w:color w:val="auto"/>
        </w:rPr>
      </w:pPr>
    </w:p>
    <w:p>
      <w:pPr>
        <w:jc w:val="both"/>
        <w:ind w:left="116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53"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60"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61"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9" w:name="page50"/>
    <w:bookmarkEnd w:id="49"/>
    <w:p>
      <w:pPr>
        <w:ind w:left="1160" w:right="1179"/>
        <w:spacing w:after="0" w:line="271" w:lineRule="auto"/>
        <w:rPr>
          <w:sz w:val="20"/>
          <w:szCs w:val="20"/>
          <w:color w:val="auto"/>
        </w:rPr>
      </w:pPr>
      <w:r>
        <w:rPr>
          <w:rFonts w:ascii="Times New Roman" w:cs="Times New Roman" w:eastAsia="Times New Roman" w:hAnsi="Times New Roman"/>
          <w:sz w:val="14"/>
          <w:szCs w:val="14"/>
          <w:color w:val="auto"/>
        </w:rPr>
        <w:t>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22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5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If we fail to identify, acquire and develop other products, we may be unable to grow our business.</w:t>
      </w:r>
    </w:p>
    <w:p>
      <w:pPr>
        <w:spacing w:after="0" w:line="97"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54"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58" w:lineRule="exact"/>
        <w:rPr>
          <w:sz w:val="20"/>
          <w:szCs w:val="20"/>
          <w:color w:val="auto"/>
        </w:rPr>
      </w:pPr>
    </w:p>
    <w:p>
      <w:pPr>
        <w:jc w:val="both"/>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56" w:lineRule="exact"/>
        <w:rPr>
          <w:sz w:val="20"/>
          <w:szCs w:val="20"/>
          <w:color w:val="auto"/>
        </w:rPr>
      </w:pPr>
    </w:p>
    <w:p>
      <w:pPr>
        <w:ind w:left="1160" w:right="1179" w:firstLine="258"/>
        <w:spacing w:after="0" w:line="285" w:lineRule="auto"/>
        <w:rPr>
          <w:sz w:val="20"/>
          <w:szCs w:val="20"/>
          <w:color w:val="auto"/>
        </w:rPr>
      </w:pPr>
      <w:r>
        <w:rPr>
          <w:rFonts w:ascii="Times New Roman" w:cs="Times New Roman" w:eastAsia="Times New Roman" w:hAnsi="Times New Roman"/>
          <w:sz w:val="14"/>
          <w:szCs w:val="14"/>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215" w:lineRule="exact"/>
        <w:rPr>
          <w:sz w:val="20"/>
          <w:szCs w:val="20"/>
          <w:color w:val="auto"/>
        </w:rPr>
      </w:pPr>
    </w:p>
    <w:p>
      <w:pPr>
        <w:ind w:left="11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63"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54" w:lineRule="exact"/>
        <w:rPr>
          <w:sz w:val="20"/>
          <w:szCs w:val="20"/>
          <w:color w:val="auto"/>
        </w:rPr>
      </w:pPr>
    </w:p>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3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0" w:name="page51"/>
    <w:bookmarkEnd w:id="50"/>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240"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59"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56"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233" w:lineRule="exact"/>
        <w:rPr>
          <w:sz w:val="20"/>
          <w:szCs w:val="20"/>
          <w:color w:val="auto"/>
        </w:rPr>
      </w:pPr>
    </w:p>
    <w:p>
      <w:pPr>
        <w:ind w:left="1160" w:right="1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3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1" w:name="page52"/>
    <w:bookmarkEnd w:id="51"/>
    <w:p>
      <w:pPr>
        <w:jc w:val="both"/>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50" w:lineRule="exact"/>
        <w:rPr>
          <w:sz w:val="20"/>
          <w:szCs w:val="20"/>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by regulators;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the related litigation;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time and our resources;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exhaustion of any available insurance and our capital resources;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market and sell our products.</w:t>
      </w:r>
    </w:p>
    <w:p>
      <w:pPr>
        <w:spacing w:after="0" w:line="9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23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52" w:lineRule="exact"/>
        <w:rPr>
          <w:sz w:val="20"/>
          <w:szCs w:val="20"/>
          <w:color w:val="auto"/>
        </w:rPr>
      </w:pPr>
    </w:p>
    <w:p>
      <w:pPr>
        <w:ind w:left="1160" w:right="13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53" w:lineRule="exact"/>
        <w:rPr>
          <w:sz w:val="20"/>
          <w:szCs w:val="20"/>
          <w:color w:val="auto"/>
        </w:rPr>
      </w:pPr>
    </w:p>
    <w:p>
      <w:pPr>
        <w:jc w:val="both"/>
        <w:ind w:left="1160" w:right="1719" w:firstLine="258"/>
        <w:spacing w:after="0" w:line="274" w:lineRule="auto"/>
        <w:rPr>
          <w:sz w:val="20"/>
          <w:szCs w:val="20"/>
          <w:color w:val="auto"/>
        </w:rPr>
      </w:pPr>
      <w:r>
        <w:rPr>
          <w:rFonts w:ascii="Times New Roman" w:cs="Times New Roman" w:eastAsia="Times New Roman" w:hAnsi="Times New Roman"/>
          <w:sz w:val="14"/>
          <w:szCs w:val="14"/>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50" w:lineRule="exact"/>
        <w:rPr>
          <w:sz w:val="20"/>
          <w:szCs w:val="20"/>
          <w:color w:val="auto"/>
        </w:rPr>
      </w:pPr>
    </w:p>
    <w:p>
      <w:pPr>
        <w:ind w:left="1860" w:right="1219" w:hanging="357"/>
        <w:spacing w:after="0" w:line="292" w:lineRule="auto"/>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and reimbursement regimes in foreign countries, including changes to regulatory requirements and implementation of new regulations in foreign countries;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compliance with non-U.S. laws and regulations;</w:t>
      </w:r>
    </w:p>
    <w:p>
      <w:pPr>
        <w:spacing w:after="0" w:line="96" w:lineRule="exact"/>
        <w:rPr>
          <w:rFonts w:ascii="Times New Roman" w:cs="Times New Roman" w:eastAsia="Times New Roman" w:hAnsi="Times New Roman"/>
          <w:sz w:val="14"/>
          <w:szCs w:val="14"/>
          <w:color w:val="auto"/>
        </w:rPr>
      </w:pPr>
    </w:p>
    <w:p>
      <w:pPr>
        <w:ind w:left="1860" w:right="1799" w:hanging="357"/>
        <w:spacing w:after="0" w:line="292" w:lineRule="auto"/>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price and exchange controls and other regulatory requirements;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protection measures, import or export licensing requirements, or other restrictive actions by U.S. or non-U.S. governments;</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2" w:name="page53"/>
    <w:bookmarkEnd w:id="52"/>
    <w:p>
      <w:pPr>
        <w:ind w:left="1860" w:right="1519" w:hanging="357"/>
        <w:spacing w:after="0" w:line="292" w:lineRule="auto"/>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foreign economies and markets;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taxes, including withholding of payroll taxes;</w:t>
      </w:r>
    </w:p>
    <w:p>
      <w:pPr>
        <w:spacing w:after="0" w:line="96" w:lineRule="exact"/>
        <w:rPr>
          <w:rFonts w:ascii="Times New Roman" w:cs="Times New Roman" w:eastAsia="Times New Roman" w:hAnsi="Times New Roman"/>
          <w:sz w:val="14"/>
          <w:szCs w:val="14"/>
          <w:color w:val="auto"/>
        </w:rPr>
      </w:pPr>
    </w:p>
    <w:p>
      <w:pPr>
        <w:ind w:left="1860" w:right="1259" w:hanging="357"/>
        <w:spacing w:after="0" w:line="292" w:lineRule="auto"/>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staffing and managing foreign operations;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United States;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under the FCPA or comparable foreign regulations;</w:t>
      </w:r>
    </w:p>
    <w:p>
      <w:pPr>
        <w:spacing w:after="0" w:line="96" w:lineRule="exact"/>
        <w:rPr>
          <w:rFonts w:ascii="Times New Roman" w:cs="Times New Roman" w:eastAsia="Times New Roman" w:hAnsi="Times New Roman"/>
          <w:sz w:val="14"/>
          <w:szCs w:val="14"/>
          <w:color w:val="auto"/>
        </w:rPr>
      </w:pPr>
    </w:p>
    <w:p>
      <w:pPr>
        <w:ind w:left="1860" w:right="1459" w:hanging="357"/>
        <w:spacing w:after="0" w:line="274" w:lineRule="auto"/>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Times New Roman" w:cs="Times New Roman" w:eastAsia="Times New Roman" w:hAnsi="Times New Roman"/>
          <w:sz w:val="14"/>
          <w:szCs w:val="14"/>
          <w:color w:val="auto"/>
        </w:rPr>
      </w:pPr>
    </w:p>
    <w:p>
      <w:pPr>
        <w:ind w:left="1860" w:right="1739" w:hanging="357"/>
        <w:spacing w:after="0" w:line="292" w:lineRule="auto"/>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w:t>
      </w:r>
    </w:p>
    <w:p>
      <w:pPr>
        <w:spacing w:after="0" w:line="97"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5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6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235"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3" w:name="page54"/>
    <w:bookmarkEnd w:id="53"/>
    <w:p>
      <w:pPr>
        <w:ind w:left="1160" w:right="1299"/>
        <w:spacing w:after="0" w:line="260" w:lineRule="auto"/>
        <w:rPr>
          <w:sz w:val="20"/>
          <w:szCs w:val="20"/>
          <w:color w:val="auto"/>
        </w:rPr>
      </w:pPr>
      <w:r>
        <w:rPr>
          <w:rFonts w:ascii="Times New Roman" w:cs="Times New Roman" w:eastAsia="Times New Roman" w:hAnsi="Times New Roman"/>
          <w:sz w:val="14"/>
          <w:szCs w:val="14"/>
          <w:color w:val="auto"/>
        </w:rPr>
        <w:t>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achieve or maintain satisfactory pricing and margins for our products.</w:t>
      </w:r>
    </w:p>
    <w:p>
      <w:pPr>
        <w:spacing w:after="0" w:line="10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59"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sizes of the markets for our current and future products have not been established with precision and may be smaller than we estimate.</w:t>
      </w:r>
    </w:p>
    <w:p>
      <w:pPr>
        <w:spacing w:after="0" w:line="34"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61" w:lineRule="exact"/>
        <w:rPr>
          <w:sz w:val="20"/>
          <w:szCs w:val="20"/>
          <w:color w:val="auto"/>
        </w:rPr>
      </w:pPr>
    </w:p>
    <w:p>
      <w:pPr>
        <w:ind w:left="1160" w:right="12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p>
    <w:p>
      <w:pPr>
        <w:spacing w:after="0" w:line="5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spacing w:after="0" w:line="200" w:lineRule="exact"/>
        <w:rPr>
          <w:sz w:val="20"/>
          <w:szCs w:val="20"/>
          <w:color w:val="auto"/>
        </w:rPr>
      </w:pPr>
    </w:p>
    <w:p>
      <w:pPr>
        <w:spacing w:after="0" w:line="3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4" w:name="page55"/>
    <w:bookmarkEnd w:id="54"/>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228" w:lineRule="exact"/>
        <w:rPr>
          <w:sz w:val="20"/>
          <w:szCs w:val="20"/>
          <w:color w:val="auto"/>
        </w:rPr>
      </w:pPr>
    </w:p>
    <w:p>
      <w:pPr>
        <w:ind w:left="1160" w:right="1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quarterly and annual results may fluctuate significantly and may not fully reflect the underlying performance of our business.</w:t>
      </w:r>
    </w:p>
    <w:p>
      <w:pPr>
        <w:spacing w:after="0" w:line="34"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56"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expanded, and may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48" w:lineRule="exact"/>
        <w:rPr>
          <w:sz w:val="20"/>
          <w:szCs w:val="20"/>
          <w:color w:val="auto"/>
        </w:rPr>
      </w:pPr>
    </w:p>
    <w:p>
      <w:pPr>
        <w:ind w:left="1160" w:right="1359" w:firstLine="258"/>
        <w:spacing w:after="0" w:line="260" w:lineRule="auto"/>
        <w:rPr>
          <w:sz w:val="20"/>
          <w:szCs w:val="20"/>
          <w:color w:val="auto"/>
        </w:rPr>
      </w:pPr>
      <w:r>
        <w:rPr>
          <w:rFonts w:ascii="Times New Roman" w:cs="Times New Roman" w:eastAsia="Times New Roman" w:hAnsi="Times New Roman"/>
          <w:sz w:val="14"/>
          <w:szCs w:val="14"/>
          <w:color w:val="auto"/>
        </w:rPr>
        <w:t>We have experienced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Certain of our operating results and financial metrics may be difficult to predict as a result of seasonality.</w:t>
      </w:r>
    </w:p>
    <w:p>
      <w:pPr>
        <w:spacing w:after="0" w:line="10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54" w:lineRule="exact"/>
        <w:rPr>
          <w:sz w:val="20"/>
          <w:szCs w:val="20"/>
          <w:color w:val="auto"/>
        </w:rPr>
      </w:pPr>
    </w:p>
    <w:p>
      <w:pPr>
        <w:ind w:left="1160" w:right="14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to offset future taxable income may be subject to certain limitations.</w:t>
      </w:r>
    </w:p>
    <w:p>
      <w:pPr>
        <w:spacing w:after="0" w:line="34"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As of December 31, 2024, we had federal net operating loss carryforwards (“NOLs”) of approximately $345.2 million, some of which will begin to expire in various years ranging from 2025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beginning after December 31, 2020 the deductibility of such federal NOLs is generally limited to 80% of the current year taxable income. Various states may conform to the Tax Act, as modified by the CARES Act, to different extents.</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5" w:name="page56"/>
    <w:bookmarkEnd w:id="55"/>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5"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48"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56"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235"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patents and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60"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56"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w:t>
      </w:r>
    </w:p>
    <w:p>
      <w:pPr>
        <w:spacing w:after="0" w:line="3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6" w:name="page57"/>
    <w:bookmarkEnd w:id="56"/>
    <w:p>
      <w:pPr>
        <w:ind w:left="1160" w:right="1179"/>
        <w:spacing w:after="0" w:line="263" w:lineRule="auto"/>
        <w:rPr>
          <w:sz w:val="20"/>
          <w:szCs w:val="20"/>
          <w:color w:val="auto"/>
        </w:rPr>
      </w:pPr>
      <w:r>
        <w:rPr>
          <w:rFonts w:ascii="Times New Roman" w:cs="Times New Roman" w:eastAsia="Times New Roman" w:hAnsi="Times New Roman"/>
          <w:sz w:val="14"/>
          <w:szCs w:val="14"/>
          <w:color w:val="auto"/>
        </w:rPr>
        <w:t>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58"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63"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240" w:lineRule="exact"/>
        <w:rPr>
          <w:sz w:val="20"/>
          <w:szCs w:val="20"/>
          <w:color w:val="auto"/>
        </w:rPr>
      </w:pPr>
    </w:p>
    <w:p>
      <w:pPr>
        <w:ind w:left="1160" w:right="1359" w:firstLine="258"/>
        <w:spacing w:after="0" w:line="265" w:lineRule="auto"/>
        <w:rPr>
          <w:sz w:val="20"/>
          <w:szCs w:val="20"/>
          <w:color w:val="auto"/>
        </w:rPr>
      </w:pPr>
      <w:r>
        <w:rPr>
          <w:rFonts w:ascii="Times New Roman" w:cs="Times New Roman" w:eastAsia="Times New Roman" w:hAnsi="Times New Roman"/>
          <w:sz w:val="14"/>
          <w:szCs w:val="14"/>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56"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63" w:lineRule="exact"/>
        <w:rPr>
          <w:sz w:val="20"/>
          <w:szCs w:val="20"/>
          <w:color w:val="auto"/>
        </w:rPr>
      </w:pPr>
    </w:p>
    <w:p>
      <w:pPr>
        <w:ind w:left="1160" w:right="1179" w:firstLine="258"/>
        <w:spacing w:after="0" w:line="264" w:lineRule="auto"/>
        <w:rPr>
          <w:sz w:val="20"/>
          <w:szCs w:val="20"/>
          <w:color w:val="auto"/>
        </w:rPr>
      </w:pPr>
      <w:r>
        <w:rPr>
          <w:rFonts w:ascii="Times New Roman" w:cs="Times New Roman" w:eastAsia="Times New Roman" w:hAnsi="Times New Roman"/>
          <w:sz w:val="14"/>
          <w:szCs w:val="14"/>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231" w:lineRule="exact"/>
        <w:rPr>
          <w:sz w:val="20"/>
          <w:szCs w:val="20"/>
          <w:color w:val="auto"/>
        </w:rPr>
      </w:pPr>
    </w:p>
    <w:p>
      <w:pPr>
        <w:jc w:val="both"/>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7" w:name="page58"/>
    <w:bookmarkEnd w:id="57"/>
    <w:p>
      <w:pPr>
        <w:ind w:left="1160" w:right="1179"/>
        <w:spacing w:after="0" w:line="268" w:lineRule="auto"/>
        <w:rPr>
          <w:sz w:val="20"/>
          <w:szCs w:val="20"/>
          <w:color w:val="auto"/>
        </w:rPr>
      </w:pPr>
      <w:r>
        <w:rPr>
          <w:rFonts w:ascii="Times New Roman" w:cs="Times New Roman" w:eastAsia="Times New Roman" w:hAnsi="Times New Roman"/>
          <w:sz w:val="14"/>
          <w:szCs w:val="14"/>
          <w:color w:val="auto"/>
        </w:rPr>
        <w:t>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5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232"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The United States government has recently taken actions to indicate a closer review of patents resulting from government funding for compliance with the Bayh-Dole Act, which, if found noncompliant, may authorize the government to exercise its march-in right. Any exercise by the government of such rights could harm our competitive position, business, financial condition, results of operations and prospects.</w:t>
      </w:r>
    </w:p>
    <w:p>
      <w:pPr>
        <w:spacing w:after="0" w:line="66"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54"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technology for an adequate amount of time.</w:t>
      </w:r>
    </w:p>
    <w:p>
      <w:pPr>
        <w:spacing w:after="0" w:line="3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56" w:lineRule="exact"/>
        <w:rPr>
          <w:sz w:val="20"/>
          <w:szCs w:val="20"/>
          <w:color w:val="auto"/>
        </w:rPr>
      </w:pPr>
    </w:p>
    <w:p>
      <w:pPr>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8" w:name="page59"/>
    <w:bookmarkEnd w:id="58"/>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61" w:lineRule="exact"/>
        <w:rPr>
          <w:sz w:val="20"/>
          <w:szCs w:val="20"/>
          <w:color w:val="auto"/>
        </w:rPr>
      </w:pPr>
    </w:p>
    <w:p>
      <w:pPr>
        <w:jc w:val="both"/>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34" w:lineRule="exact"/>
        <w:rPr>
          <w:sz w:val="20"/>
          <w:szCs w:val="20"/>
          <w:color w:val="auto"/>
        </w:rPr>
      </w:pPr>
    </w:p>
    <w:p>
      <w:pPr>
        <w:jc w:val="both"/>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5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55"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34"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Because we rely on third parties to supply components, raw materials, chemicals and other supplies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69"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54" w:lineRule="exact"/>
        <w:rPr>
          <w:sz w:val="20"/>
          <w:szCs w:val="20"/>
          <w:color w:val="auto"/>
        </w:rPr>
      </w:pPr>
    </w:p>
    <w:p>
      <w:pPr>
        <w:jc w:val="both"/>
        <w:ind w:left="1160" w:right="12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53" w:lineRule="exact"/>
        <w:rPr>
          <w:sz w:val="20"/>
          <w:szCs w:val="20"/>
          <w:color w:val="auto"/>
        </w:rPr>
      </w:pPr>
    </w:p>
    <w:p>
      <w:pPr>
        <w:ind w:left="1160" w:right="1499" w:firstLine="258"/>
        <w:spacing w:after="0" w:line="292" w:lineRule="auto"/>
        <w:rPr>
          <w:sz w:val="20"/>
          <w:szCs w:val="20"/>
          <w:color w:val="auto"/>
        </w:rPr>
      </w:pPr>
      <w:r>
        <w:rPr>
          <w:rFonts w:ascii="Times New Roman" w:cs="Times New Roman" w:eastAsia="Times New Roman" w:hAnsi="Times New Roman"/>
          <w:sz w:val="14"/>
          <w:szCs w:val="14"/>
          <w:color w:val="auto"/>
        </w:rPr>
        <w:t>Many of our employees and consultants were previously employed at or engaged by other medical device, biotechnology or pharmaceutical companies, including our competitors or potential competitors. Some of these</w:t>
      </w:r>
    </w:p>
    <w:p>
      <w:pPr>
        <w:spacing w:after="0" w:line="3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9" w:name="page60"/>
    <w:bookmarkEnd w:id="59"/>
    <w:p>
      <w:pPr>
        <w:ind w:left="1160" w:right="1199"/>
        <w:spacing w:after="0" w:line="259" w:lineRule="auto"/>
        <w:rPr>
          <w:sz w:val="20"/>
          <w:szCs w:val="20"/>
          <w:color w:val="auto"/>
        </w:rPr>
      </w:pPr>
      <w:r>
        <w:rPr>
          <w:rFonts w:ascii="Times New Roman" w:cs="Times New Roman" w:eastAsia="Times New Roman" w:hAnsi="Times New Roman"/>
          <w:sz w:val="14"/>
          <w:szCs w:val="14"/>
          <w:color w:val="auto"/>
        </w:rPr>
        <w:t>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65"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6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65"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56"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3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w:t>
      </w: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0" w:name="page61"/>
    <w:bookmarkEnd w:id="60"/>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6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65"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56"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235"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60"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1" w:name="page62"/>
    <w:bookmarkEnd w:id="61"/>
    <w:p>
      <w:pPr>
        <w:ind w:left="1160" w:right="1159"/>
        <w:spacing w:after="0" w:line="260" w:lineRule="auto"/>
        <w:rPr>
          <w:sz w:val="20"/>
          <w:szCs w:val="20"/>
          <w:color w:val="auto"/>
        </w:rPr>
      </w:pPr>
      <w:r>
        <w:rPr>
          <w:rFonts w:ascii="Times New Roman" w:cs="Times New Roman" w:eastAsia="Times New Roman" w:hAnsi="Times New Roman"/>
          <w:sz w:val="14"/>
          <w:szCs w:val="14"/>
          <w:color w:val="auto"/>
        </w:rPr>
        <w:t>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232"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6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229" w:lineRule="exact"/>
        <w:rPr>
          <w:sz w:val="20"/>
          <w:szCs w:val="20"/>
          <w:color w:val="auto"/>
        </w:rPr>
      </w:pPr>
    </w:p>
    <w:p>
      <w:pPr>
        <w:ind w:left="1160" w:right="15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Because of the expense and uncertainty of litigation, we may not be in a position to enforce our intellectual property rights against third parties.</w:t>
      </w:r>
    </w:p>
    <w:p>
      <w:pPr>
        <w:spacing w:after="0" w:line="3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54"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rights to develop and commercialize our products are subject, in part, to the terms and conditions of licenses granted to us by others.</w:t>
      </w:r>
    </w:p>
    <w:p>
      <w:pPr>
        <w:spacing w:after="0" w:line="34"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Although we do not currently rely upon any material licenses to any patent rights, proprietary technology, or other intellectual property from any third parties for the development of our products and technology, we may in the future rely, in part, upon licenses to certain patent rights, proprietary technology and other intellectual property from third parties that are important or necessary to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2" w:name="page63"/>
    <w:bookmarkEnd w:id="62"/>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60"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50"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62" w:lineRule="exact"/>
        <w:rPr>
          <w:sz w:val="20"/>
          <w:szCs w:val="20"/>
          <w:color w:val="auto"/>
        </w:rPr>
      </w:pPr>
    </w:p>
    <w:p>
      <w:pPr>
        <w:ind w:left="116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53"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58" w:lineRule="exact"/>
        <w:rPr>
          <w:sz w:val="20"/>
          <w:szCs w:val="20"/>
          <w:color w:val="auto"/>
        </w:rPr>
      </w:pPr>
    </w:p>
    <w:p>
      <w:pPr>
        <w:ind w:left="1160" w:right="1559" w:firstLine="258"/>
        <w:spacing w:after="0" w:line="292" w:lineRule="auto"/>
        <w:rPr>
          <w:sz w:val="20"/>
          <w:szCs w:val="20"/>
          <w:color w:val="auto"/>
        </w:rPr>
      </w:pPr>
      <w:r>
        <w:rPr>
          <w:rFonts w:ascii="Times New Roman" w:cs="Times New Roman" w:eastAsia="Times New Roman" w:hAnsi="Times New Roman"/>
          <w:sz w:val="14"/>
          <w:szCs w:val="14"/>
          <w:color w:val="auto"/>
        </w:rPr>
        <w:t>Disputes may arise between us and our future licensors regarding intellectual property subject to a license agreement, including:</w:t>
      </w:r>
    </w:p>
    <w:p>
      <w:pPr>
        <w:spacing w:after="0" w:line="38" w:lineRule="exact"/>
        <w:rPr>
          <w:sz w:val="20"/>
          <w:szCs w:val="20"/>
          <w:color w:val="auto"/>
        </w:rPr>
      </w:pPr>
    </w:p>
    <w:p>
      <w:pPr>
        <w:ind w:left="1860" w:hanging="357"/>
        <w:spacing w:after="0"/>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6" w:lineRule="exact"/>
        <w:rPr>
          <w:rFonts w:ascii="Times New Roman" w:cs="Times New Roman" w:eastAsia="Times New Roman" w:hAnsi="Times New Roman"/>
          <w:sz w:val="14"/>
          <w:szCs w:val="14"/>
          <w:color w:val="auto"/>
        </w:rPr>
      </w:pPr>
    </w:p>
    <w:p>
      <w:pPr>
        <w:ind w:left="1860" w:right="137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patents and other rights to third parties;</w:t>
      </w:r>
    </w:p>
    <w:p>
      <w:pPr>
        <w:spacing w:after="0" w:line="96" w:lineRule="exact"/>
        <w:rPr>
          <w:rFonts w:ascii="Times New Roman" w:cs="Times New Roman" w:eastAsia="Times New Roman" w:hAnsi="Times New Roman"/>
          <w:sz w:val="14"/>
          <w:szCs w:val="14"/>
          <w:color w:val="auto"/>
        </w:rPr>
      </w:pPr>
    </w:p>
    <w:p>
      <w:pPr>
        <w:ind w:left="1860" w:right="1719" w:hanging="357"/>
        <w:spacing w:after="0" w:line="274"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products, and what activities satisfy those diligence obligations;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transfer or assign the license; and</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3" w:name="page64"/>
    <w:bookmarkEnd w:id="63"/>
    <w:p>
      <w:pPr>
        <w:ind w:left="1860" w:right="1619" w:hanging="357"/>
        <w:spacing w:after="0" w:line="292"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any of our future licensors and us and our partners.</w:t>
      </w:r>
    </w:p>
    <w:p>
      <w:pPr>
        <w:spacing w:after="0" w:line="38"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50"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54"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63"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50"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59"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54"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necessary rights to any products we may develop through acquisitions and in-licenses.</w:t>
      </w:r>
    </w:p>
    <w:p>
      <w:pPr>
        <w:spacing w:after="0" w:line="34"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4" w:name="page65"/>
    <w:bookmarkEnd w:id="64"/>
    <w:p>
      <w:pPr>
        <w:ind w:left="1160" w:right="1339"/>
        <w:spacing w:after="0" w:line="292" w:lineRule="auto"/>
        <w:rPr>
          <w:sz w:val="20"/>
          <w:szCs w:val="20"/>
          <w:color w:val="auto"/>
        </w:rPr>
      </w:pPr>
      <w:r>
        <w:rPr>
          <w:rFonts w:ascii="Times New Roman" w:cs="Times New Roman" w:eastAsia="Times New Roman" w:hAnsi="Times New Roman"/>
          <w:sz w:val="14"/>
          <w:szCs w:val="14"/>
          <w:color w:val="auto"/>
        </w:rPr>
        <w:t>unable to do so, we may be unable to develop or commercialize the affected products, which could materially and adversely affect our business, financial condition and results of operations.</w:t>
      </w:r>
    </w:p>
    <w:p>
      <w:pPr>
        <w:spacing w:after="0" w:line="34"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34"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50" w:lineRule="exact"/>
        <w:rPr>
          <w:sz w:val="20"/>
          <w:szCs w:val="20"/>
          <w:color w:val="auto"/>
        </w:rPr>
      </w:pPr>
    </w:p>
    <w:p>
      <w:pPr>
        <w:ind w:left="1860" w:right="1259" w:hanging="357"/>
        <w:spacing w:after="0" w:line="292"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collaborations;</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68"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54"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current and future products;</w:t>
      </w:r>
    </w:p>
    <w:p>
      <w:pPr>
        <w:spacing w:after="0" w:line="37" w:lineRule="exact"/>
        <w:rPr>
          <w:rFonts w:ascii="Times New Roman" w:cs="Times New Roman" w:eastAsia="Times New Roman" w:hAnsi="Times New Roman"/>
          <w:sz w:val="14"/>
          <w:szCs w:val="14"/>
          <w:color w:val="auto"/>
        </w:rPr>
      </w:pPr>
    </w:p>
    <w:p>
      <w:pPr>
        <w:jc w:val="both"/>
        <w:ind w:left="1860" w:right="1359" w:hanging="357"/>
        <w:spacing w:after="0" w:line="292"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manufacturing and distribution rights to one or more products may not commit sufficient resources to or otherwise not perform satisfactorily in carrying out these activities;</w:t>
      </w:r>
    </w:p>
    <w:p>
      <w:pPr>
        <w:spacing w:after="0" w:line="37" w:lineRule="exact"/>
        <w:rPr>
          <w:rFonts w:ascii="Times New Roman" w:cs="Times New Roman" w:eastAsia="Times New Roman" w:hAnsi="Times New Roman"/>
          <w:sz w:val="14"/>
          <w:szCs w:val="14"/>
          <w:color w:val="auto"/>
        </w:rPr>
      </w:pPr>
    </w:p>
    <w:p>
      <w:pPr>
        <w:ind w:left="1860" w:right="1559" w:hanging="357"/>
        <w:spacing w:after="0" w:line="292"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grant exclusive rights to our collaborators that would prevent us from collaborating with others;</w:t>
      </w:r>
    </w:p>
    <w:p>
      <w:pPr>
        <w:spacing w:after="0" w:line="37" w:lineRule="exact"/>
        <w:rPr>
          <w:rFonts w:ascii="Times New Roman" w:cs="Times New Roman" w:eastAsia="Times New Roman" w:hAnsi="Times New Roman"/>
          <w:sz w:val="14"/>
          <w:szCs w:val="14"/>
          <w:color w:val="auto"/>
        </w:rPr>
      </w:pPr>
    </w:p>
    <w:p>
      <w:pPr>
        <w:ind w:left="1860" w:right="1259" w:hanging="357"/>
        <w:spacing w:after="0" w:line="268"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4" w:lineRule="exact"/>
        <w:rPr>
          <w:rFonts w:ascii="Times New Roman" w:cs="Times New Roman" w:eastAsia="Times New Roman" w:hAnsi="Times New Roman"/>
          <w:sz w:val="14"/>
          <w:szCs w:val="14"/>
          <w:color w:val="auto"/>
        </w:rPr>
      </w:pPr>
    </w:p>
    <w:p>
      <w:pPr>
        <w:ind w:left="1860" w:right="1239" w:hanging="357"/>
        <w:spacing w:after="0" w:line="274"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0" w:lineRule="exact"/>
        <w:rPr>
          <w:rFonts w:ascii="Times New Roman" w:cs="Times New Roman" w:eastAsia="Times New Roman" w:hAnsi="Times New Roman"/>
          <w:sz w:val="14"/>
          <w:szCs w:val="14"/>
          <w:color w:val="auto"/>
        </w:rPr>
      </w:pPr>
    </w:p>
    <w:p>
      <w:pPr>
        <w:ind w:left="1860" w:right="1559" w:hanging="357"/>
        <w:spacing w:after="0" w:line="292"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current or future products;</w:t>
      </w:r>
    </w:p>
    <w:p>
      <w:pPr>
        <w:spacing w:after="0" w:line="37" w:lineRule="exact"/>
        <w:rPr>
          <w:rFonts w:ascii="Times New Roman" w:cs="Times New Roman" w:eastAsia="Times New Roman" w:hAnsi="Times New Roman"/>
          <w:sz w:val="14"/>
          <w:szCs w:val="14"/>
          <w:color w:val="auto"/>
        </w:rPr>
      </w:pPr>
    </w:p>
    <w:p>
      <w:pPr>
        <w:ind w:left="1860" w:right="1539" w:hanging="357"/>
        <w:spacing w:after="0" w:line="274"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0" w:lineRule="exact"/>
        <w:rPr>
          <w:rFonts w:ascii="Times New Roman" w:cs="Times New Roman" w:eastAsia="Times New Roman" w:hAnsi="Times New Roman"/>
          <w:sz w:val="14"/>
          <w:szCs w:val="14"/>
          <w:color w:val="auto"/>
        </w:rPr>
      </w:pPr>
    </w:p>
    <w:p>
      <w:pPr>
        <w:ind w:left="1860" w:right="1619" w:hanging="357"/>
        <w:spacing w:after="0" w:line="292"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collaborator’s sales and marketing activities or other operations may not be in compliance with applicable laws resulting in civil or criminal proceedings.</w:t>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of our patents and other intellectual property.</w:t>
      </w:r>
    </w:p>
    <w:p>
      <w:pPr>
        <w:spacing w:after="0" w:line="10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5" w:name="page66"/>
    <w:bookmarkEnd w:id="65"/>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and other proprietary information, our business and competitive position may be harmed.</w:t>
      </w:r>
    </w:p>
    <w:p>
      <w:pPr>
        <w:spacing w:after="0" w:line="34"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6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60"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63"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230"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34"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66" w:name="page67"/>
    <w:bookmarkEnd w:id="66"/>
    <w:p>
      <w:pPr>
        <w:ind w:left="1160" w:right="1199"/>
        <w:spacing w:after="0" w:line="259" w:lineRule="auto"/>
        <w:rPr>
          <w:sz w:val="20"/>
          <w:szCs w:val="20"/>
          <w:color w:val="auto"/>
        </w:rPr>
      </w:pPr>
      <w:r>
        <w:rPr>
          <w:rFonts w:ascii="Times New Roman" w:cs="Times New Roman" w:eastAsia="Times New Roman" w:hAnsi="Times New Roman"/>
          <w:sz w:val="14"/>
          <w:szCs w:val="14"/>
          <w:color w:val="auto"/>
        </w:rPr>
        <w:t>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6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59" w:lineRule="exact"/>
        <w:rPr>
          <w:sz w:val="20"/>
          <w:szCs w:val="20"/>
          <w:color w:val="auto"/>
        </w:rPr>
      </w:pPr>
    </w:p>
    <w:p>
      <w:pPr>
        <w:ind w:left="1160" w:right="15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 which could impair our business.</w:t>
      </w:r>
    </w:p>
    <w:p>
      <w:pPr>
        <w:spacing w:after="0" w:line="34"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6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7" w:name="page68"/>
    <w:bookmarkEnd w:id="67"/>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58"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Since June 1, 2023, European applications have the option, upon grant of a patent, of becoming a Unitary Patent which will be subject to the jurisdiction of the Unitary Patent Court (“UPC”). This is a significant change in European patent practice. As the UPC is a new court system, precedent is developing for the court, increasing the uncertainty of any litigation.</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101" w:lineRule="exact"/>
        <w:rPr>
          <w:sz w:val="20"/>
          <w:szCs w:val="20"/>
          <w:color w:val="auto"/>
        </w:rPr>
      </w:pPr>
    </w:p>
    <w:p>
      <w:pPr>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0" w:lineRule="exact"/>
        <w:rPr>
          <w:sz w:val="20"/>
          <w:szCs w:val="20"/>
          <w:color w:val="auto"/>
        </w:rPr>
      </w:pPr>
    </w:p>
    <w:p>
      <w:pPr>
        <w:ind w:left="1860" w:right="1199" w:hanging="357"/>
        <w:spacing w:after="0" w:line="274"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50" w:lineRule="exact"/>
        <w:rPr>
          <w:rFonts w:ascii="Times New Roman" w:cs="Times New Roman" w:eastAsia="Times New Roman" w:hAnsi="Times New Roman"/>
          <w:sz w:val="14"/>
          <w:szCs w:val="14"/>
          <w:color w:val="auto"/>
        </w:rPr>
      </w:pPr>
    </w:p>
    <w:p>
      <w:pPr>
        <w:ind w:left="1860" w:right="1159" w:hanging="357"/>
        <w:spacing w:after="0" w:line="274"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50"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any of our current or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current or future owned or in-licensed patent applications will not lead to issued patents;</w:t>
      </w:r>
    </w:p>
    <w:p>
      <w:pPr>
        <w:spacing w:after="0" w:line="37" w:lineRule="exact"/>
        <w:rPr>
          <w:rFonts w:ascii="Times New Roman" w:cs="Times New Roman" w:eastAsia="Times New Roman" w:hAnsi="Times New Roman"/>
          <w:sz w:val="14"/>
          <w:szCs w:val="14"/>
          <w:color w:val="auto"/>
        </w:rPr>
      </w:pPr>
    </w:p>
    <w:p>
      <w:pPr>
        <w:ind w:left="1860" w:right="1179" w:hanging="357"/>
        <w:spacing w:after="0" w:line="274"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50" w:lineRule="exact"/>
        <w:rPr>
          <w:rFonts w:ascii="Times New Roman" w:cs="Times New Roman" w:eastAsia="Times New Roman" w:hAnsi="Times New Roman"/>
          <w:sz w:val="14"/>
          <w:szCs w:val="14"/>
          <w:color w:val="auto"/>
        </w:rPr>
      </w:pPr>
    </w:p>
    <w:p>
      <w:pPr>
        <w:ind w:left="1860" w:right="1499" w:hanging="357"/>
        <w:spacing w:after="0" w:line="265"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 and</w:t>
      </w:r>
    </w:p>
    <w:p>
      <w:pPr>
        <w:spacing w:after="0" w:line="96" w:lineRule="exact"/>
        <w:rPr>
          <w:rFonts w:ascii="Times New Roman" w:cs="Times New Roman" w:eastAsia="Times New Roman" w:hAnsi="Times New Roman"/>
          <w:sz w:val="14"/>
          <w:szCs w:val="14"/>
          <w:color w:val="auto"/>
        </w:rPr>
      </w:pPr>
    </w:p>
    <w:p>
      <w:pPr>
        <w:ind w:left="1860" w:right="173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file a patent for certain trade secrets or know-how, and a third party may subsequently file a patent covering such intellectual property.</w:t>
      </w:r>
    </w:p>
    <w:p>
      <w:pPr>
        <w:spacing w:after="0" w:line="34"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use of “open source” software could subject our proprietary software to general release, adversely affect our ability to sell our products and subject us to possible litigation.</w:t>
      </w:r>
    </w:p>
    <w:p>
      <w:pPr>
        <w:spacing w:after="0" w:line="3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may incorporate open source software in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w:t>
      </w:r>
    </w:p>
    <w:p>
      <w:pPr>
        <w:spacing w:after="0" w:line="3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8" w:name="page69"/>
    <w:bookmarkEnd w:id="68"/>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57"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34" w:lineRule="exact"/>
        <w:rPr>
          <w:sz w:val="20"/>
          <w:szCs w:val="20"/>
          <w:color w:val="auto"/>
        </w:rPr>
      </w:pPr>
    </w:p>
    <w:p>
      <w:pPr>
        <w:ind w:left="1160" w:right="1199" w:firstLine="258"/>
        <w:spacing w:after="0" w:line="257" w:lineRule="auto"/>
        <w:rPr>
          <w:sz w:val="20"/>
          <w:szCs w:val="20"/>
          <w:color w:val="auto"/>
        </w:rPr>
      </w:pPr>
      <w:r>
        <w:rPr>
          <w:rFonts w:ascii="Times New Roman" w:cs="Times New Roman" w:eastAsia="Times New Roman" w:hAnsi="Times New Roman"/>
          <w:sz w:val="14"/>
          <w:szCs w:val="14"/>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5" w:lineRule="exact"/>
        <w:rPr>
          <w:sz w:val="20"/>
          <w:szCs w:val="20"/>
          <w:color w:val="auto"/>
        </w:rPr>
      </w:pPr>
    </w:p>
    <w:p>
      <w:pPr>
        <w:jc w:val="both"/>
        <w:ind w:left="11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48" w:lineRule="exact"/>
        <w:rPr>
          <w:sz w:val="20"/>
          <w:szCs w:val="20"/>
          <w:color w:val="auto"/>
        </w:rPr>
      </w:pPr>
    </w:p>
    <w:p>
      <w:pPr>
        <w:jc w:val="both"/>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50" w:lineRule="exact"/>
        <w:rPr>
          <w:sz w:val="20"/>
          <w:szCs w:val="20"/>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design, development and manufacture;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laboratory, preclinical and clinical testing, labeling, packaging, storage and distribution;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premarketing clearance or approval;</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keeping;</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safety and effective;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changes;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9" w:name="page70"/>
    <w:bookmarkEnd w:id="69"/>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marketing, promotion and advertising, sales and distribution; and</w:t>
      </w:r>
    </w:p>
    <w:p>
      <w:pPr>
        <w:spacing w:after="0" w:line="96"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 marketing surveillance, including reporting of deaths or serious injuries and recalls and correction and removals.</w:t>
      </w:r>
    </w:p>
    <w:p>
      <w:pPr>
        <w:spacing w:after="0" w:line="38"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p>
    <w:p>
      <w:pPr>
        <w:spacing w:after="0" w:line="50" w:lineRule="exact"/>
        <w:rPr>
          <w:sz w:val="20"/>
          <w:szCs w:val="20"/>
          <w:color w:val="auto"/>
        </w:rPr>
      </w:pPr>
    </w:p>
    <w:p>
      <w:pPr>
        <w:ind w:left="1160" w:right="1279" w:firstLine="258"/>
        <w:spacing w:after="0" w:line="258" w:lineRule="auto"/>
        <w:rPr>
          <w:sz w:val="20"/>
          <w:szCs w:val="20"/>
          <w:color w:val="auto"/>
        </w:rPr>
      </w:pPr>
      <w:r>
        <w:rPr>
          <w:rFonts w:ascii="Times New Roman" w:cs="Times New Roman" w:eastAsia="Times New Roman" w:hAnsi="Times New Roman"/>
          <w:sz w:val="14"/>
          <w:szCs w:val="14"/>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FDA can delay, limit or deny clearance or approval of a device for many reasons, including:</w:t>
      </w:r>
    </w:p>
    <w:p>
      <w:pPr>
        <w:spacing w:after="0" w:line="97" w:lineRule="exact"/>
        <w:rPr>
          <w:sz w:val="20"/>
          <w:szCs w:val="20"/>
          <w:color w:val="auto"/>
        </w:rPr>
      </w:pPr>
    </w:p>
    <w:p>
      <w:pPr>
        <w:ind w:left="1860" w:right="123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the applicable regulatory entity or notified body that our products are safe or effective for their intended uses;</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74"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and unexpected adverse device effects experienced by participants in our clinical trials;</w:t>
      </w:r>
    </w:p>
    <w:p>
      <w:pPr>
        <w:spacing w:after="0" w:line="96" w:lineRule="exact"/>
        <w:rPr>
          <w:rFonts w:ascii="Times New Roman" w:cs="Times New Roman" w:eastAsia="Times New Roman" w:hAnsi="Times New Roman"/>
          <w:sz w:val="14"/>
          <w:szCs w:val="14"/>
          <w:color w:val="auto"/>
        </w:rPr>
      </w:pPr>
    </w:p>
    <w:p>
      <w:pPr>
        <w:ind w:left="1860" w:right="153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from our pre-clinical studies and clinical trials may be insufficient to support clearance or approval, where required;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that the clinical and other benefits of the device outweigh the risks;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65"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5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authority may identify significant deficiencies in our manufacturing processes, facilities or analytical methods or those of our third-party contract manufacturers;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74"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50"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foreign regulatory authorities may audit our clinical trial data and conclude that the data is not sufficiently reliable to support approval or clearance.</w:t>
      </w:r>
    </w:p>
    <w:p>
      <w:pPr>
        <w:spacing w:after="0" w:line="38"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0" w:name="page71"/>
    <w:bookmarkEnd w:id="70"/>
    <w:p>
      <w:pPr>
        <w:ind w:left="1160" w:right="1239"/>
        <w:spacing w:after="0" w:line="268" w:lineRule="auto"/>
        <w:rPr>
          <w:sz w:val="20"/>
          <w:szCs w:val="20"/>
          <w:color w:val="auto"/>
        </w:rPr>
      </w:pPr>
      <w:r>
        <w:rPr>
          <w:rFonts w:ascii="Times New Roman" w:cs="Times New Roman" w:eastAsia="Times New Roman" w:hAnsi="Times New Roman"/>
          <w:sz w:val="14"/>
          <w:szCs w:val="14"/>
          <w:color w:val="auto"/>
        </w:rPr>
        <w:t>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5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59"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56"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58"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59"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50" w:lineRule="exact"/>
        <w:rPr>
          <w:sz w:val="20"/>
          <w:szCs w:val="20"/>
          <w:color w:val="auto"/>
        </w:rPr>
      </w:pPr>
    </w:p>
    <w:p>
      <w:pPr>
        <w:ind w:left="1860" w:hanging="357"/>
        <w:spacing w:after="0"/>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warning letters, fines, injunctions, consent decrees and civil penalties;</w:t>
      </w:r>
    </w:p>
    <w:p>
      <w:pPr>
        <w:spacing w:after="0" w:line="96"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 replacement, refunds, recalls, termination of distribution, administrative detention or seizure of our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partial suspension or total shutdown of production;</w:t>
      </w:r>
    </w:p>
    <w:p>
      <w:pPr>
        <w:spacing w:after="0" w:line="96"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denial of our requests for 510(k) clearance or PMA of new products, new intended uses or modifications to existing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510(k) clearance or PMAs that have already been granted;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w:t>
      </w:r>
    </w:p>
    <w:p>
      <w:pPr>
        <w:spacing w:after="0" w:line="9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1" w:name="page72"/>
    <w:bookmarkEnd w:id="71"/>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products and operations are subject to extensive government regulation and oversight in the United States.</w:t>
      </w:r>
    </w:p>
    <w:p>
      <w:pPr>
        <w:spacing w:after="0" w:line="10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Medical devices regulated by the FDA are subject to “general controls” which include: registration with the FDA; listing commercially distributed products with the FDA; complying with all applicable requirements under the QSR, or QSMR when its goes into effect in February 2026;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60"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5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63"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23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w:t>
      </w: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72" w:name="page73"/>
    <w:bookmarkEnd w:id="72"/>
    <w:p>
      <w:pPr>
        <w:ind w:left="1160" w:right="1359"/>
        <w:spacing w:after="0" w:line="274" w:lineRule="auto"/>
        <w:rPr>
          <w:sz w:val="20"/>
          <w:szCs w:val="20"/>
          <w:color w:val="auto"/>
        </w:rPr>
      </w:pPr>
      <w:r>
        <w:rPr>
          <w:rFonts w:ascii="Times New Roman" w:cs="Times New Roman" w:eastAsia="Times New Roman" w:hAnsi="Times New Roman"/>
          <w:sz w:val="14"/>
          <w:szCs w:val="14"/>
          <w:color w:val="auto"/>
        </w:rPr>
        <w:t>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50"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54"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If we fail to comply with applicable regulatory requirements, a regulatory agency or enforcement authority may, among other things:</w:t>
      </w:r>
    </w:p>
    <w:p>
      <w:pPr>
        <w:spacing w:after="0" w:line="38" w:lineRule="exact"/>
        <w:rPr>
          <w:sz w:val="20"/>
          <w:szCs w:val="20"/>
          <w:color w:val="auto"/>
        </w:rPr>
      </w:pPr>
    </w:p>
    <w:p>
      <w:pPr>
        <w:ind w:left="1860" w:right="1259" w:hanging="357"/>
        <w:spacing w:after="0" w:line="292" w:lineRule="auto"/>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our facility to an adverse inspectional finding or Form 483, or other compliance or enforcement notice, communication or correspondence;</w:t>
      </w:r>
    </w:p>
    <w:p>
      <w:pPr>
        <w:spacing w:after="0" w:line="37"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warning or untitled letters that would result in adverse publicity or may require corrective advertising;</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civil or criminal penalties;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regulatory clearances or approvals;</w:t>
      </w:r>
    </w:p>
    <w:p>
      <w:pPr>
        <w:spacing w:after="0" w:line="96"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clear or approve pending applications or supplements to approved applications submitted by us;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restrictions on our operations, including closing our sub-assembly suppliers’ facilities;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or detain products; or</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product recall.</w:t>
      </w:r>
    </w:p>
    <w:p>
      <w:pPr>
        <w:spacing w:after="0" w:line="97"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50" w:lineRule="exact"/>
        <w:rPr>
          <w:sz w:val="20"/>
          <w:szCs w:val="20"/>
          <w:color w:val="auto"/>
        </w:rPr>
      </w:pPr>
    </w:p>
    <w:p>
      <w:pPr>
        <w:ind w:left="1160" w:right="1439" w:firstLine="258"/>
        <w:spacing w:after="0" w:line="265"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56"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Recently, the U.S. Supreme Court overruled the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63"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Further, under the new leadership at the HHS under the Trump administration, agency reorganization, departure of high-profile regulators at the FDA, and reduction in force (RIF) initiative, or layoffs,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It is unclear how our industry and our clinical programs will be impacted by policies and regulations implemented under the Trump administration and the new FDA</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3" w:name="page74"/>
    <w:bookmarkEnd w:id="73"/>
    <w:p>
      <w:pPr>
        <w:ind w:left="1160" w:right="1319"/>
        <w:spacing w:after="0" w:line="263" w:lineRule="auto"/>
        <w:rPr>
          <w:sz w:val="20"/>
          <w:szCs w:val="20"/>
          <w:color w:val="auto"/>
        </w:rPr>
      </w:pPr>
      <w:r>
        <w:rPr>
          <w:rFonts w:ascii="Times New Roman" w:cs="Times New Roman" w:eastAsia="Times New Roman" w:hAnsi="Times New Roman"/>
          <w:sz w:val="14"/>
          <w:szCs w:val="14"/>
          <w:color w:val="auto"/>
        </w:rPr>
        <w:t>commissioner, Dr. Martin Makary, or other executive orders. There is significant uncertainty in the industry and how federal agencies like the FDA will change in the coming years under the Trump administration. To the extent the agency reorganization and other agency changes lead to disruptions in FDA’s operations, including changes resulting from executive orders; freeze on hiring, federal funding for research, and external communications; layoffs; return-to-office policies, and changes in funding for certain programs at the FDA, correspondence and regulatory review processes with the FDA may be materially delayed.</w:t>
      </w:r>
    </w:p>
    <w:p>
      <w:pPr>
        <w:spacing w:after="0" w:line="54" w:lineRule="exact"/>
        <w:rPr>
          <w:sz w:val="20"/>
          <w:szCs w:val="20"/>
          <w:color w:val="auto"/>
        </w:rPr>
      </w:pPr>
    </w:p>
    <w:p>
      <w:pPr>
        <w:ind w:left="1160" w:right="15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3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Modifications that could significantly affect the safety and effectiveness of our approved or cleared products, such as changes to the intended use or technological characteristics of our products, will require new PMAs, PMA Supplements or 510(k) clearances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61" w:lineRule="exact"/>
        <w:rPr>
          <w:sz w:val="20"/>
          <w:szCs w:val="20"/>
          <w:color w:val="auto"/>
        </w:rPr>
      </w:pPr>
    </w:p>
    <w:p>
      <w:pPr>
        <w:ind w:left="1160" w:right="13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53"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65"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several foreign countries.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60"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4" w:name="page75"/>
    <w:bookmarkEnd w:id="74"/>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foreign clinical trials are intended to serve as the basis for marketing approval in the United States, the FDA will generally not approve the 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59"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34"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5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59"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58"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46" w:lineRule="exact"/>
        <w:rPr>
          <w:sz w:val="20"/>
          <w:szCs w:val="20"/>
          <w:color w:val="auto"/>
        </w:rPr>
      </w:pPr>
    </w:p>
    <w:p>
      <w:pPr>
        <w:jc w:val="both"/>
        <w:ind w:left="1160" w:right="1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or our suppliers, fail to comply with the FDA’s QSR or QSMR when it goes into effect in February 2026, or other applicable foreign regulations, our manufacturing or distribution operations could be delayed or shut down and our revenue could suffer.</w:t>
      </w:r>
    </w:p>
    <w:p>
      <w:pPr>
        <w:spacing w:after="0" w:line="48" w:lineRule="exact"/>
        <w:rPr>
          <w:sz w:val="20"/>
          <w:szCs w:val="20"/>
          <w:color w:val="auto"/>
        </w:rPr>
      </w:pPr>
    </w:p>
    <w:p>
      <w:pPr>
        <w:ind w:left="1160" w:right="1259" w:firstLine="258"/>
        <w:spacing w:after="0" w:line="259" w:lineRule="auto"/>
        <w:rPr>
          <w:sz w:val="20"/>
          <w:szCs w:val="20"/>
          <w:color w:val="auto"/>
        </w:rPr>
      </w:pPr>
      <w:r>
        <w:rPr>
          <w:rFonts w:ascii="Times New Roman" w:cs="Times New Roman" w:eastAsia="Times New Roman" w:hAnsi="Times New Roman"/>
          <w:sz w:val="14"/>
          <w:szCs w:val="14"/>
          <w:color w:val="auto"/>
        </w:rPr>
        <w:t>Our manufacturing and design processes and those of our third-party component suppliers are required to comply with the FDA’s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the FDA issued a final rule in February 2024 replacing the QSR with Quality Management System Regulation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If we or any of our suppliers or contractors fail to meet the regulatory requirements or a regulatory inspection, our operations could be disrupted and our manufacturing interrupted.</w:t>
      </w: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5" w:name="page76"/>
    <w:bookmarkEnd w:id="75"/>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58"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54"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We can provide no assurance that we will continue to remain in material compliance with the QSR, or QSMR when it goes into effect in February 2026.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54" w:lineRule="exact"/>
        <w:rPr>
          <w:sz w:val="20"/>
          <w:szCs w:val="20"/>
          <w:color w:val="auto"/>
        </w:rPr>
      </w:pPr>
    </w:p>
    <w:p>
      <w:pPr>
        <w:ind w:left="1160" w:right="1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34"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58"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59"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new Trump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63"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6" w:name="page77"/>
    <w:bookmarkEnd w:id="76"/>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54" w:lineRule="exact"/>
        <w:rPr>
          <w:sz w:val="20"/>
          <w:szCs w:val="20"/>
          <w:color w:val="auto"/>
        </w:rPr>
      </w:pPr>
    </w:p>
    <w:p>
      <w:pPr>
        <w:ind w:left="1860" w:hanging="357"/>
        <w:spacing w:after="0"/>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set a price that we believe is fair for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and achieve or maintain profitability;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9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62" w:lineRule="exact"/>
        <w:rPr>
          <w:sz w:val="20"/>
          <w:szCs w:val="20"/>
          <w:color w:val="auto"/>
        </w:rPr>
      </w:pPr>
    </w:p>
    <w:p>
      <w:pPr>
        <w:ind w:left="1160" w:right="14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48"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235"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60" w:lineRule="exact"/>
        <w:rPr>
          <w:sz w:val="20"/>
          <w:szCs w:val="20"/>
          <w:color w:val="auto"/>
        </w:rPr>
      </w:pPr>
    </w:p>
    <w:p>
      <w:pPr>
        <w:ind w:left="1860" w:right="1179" w:hanging="357"/>
        <w:spacing w:after="0" w:line="263" w:lineRule="auto"/>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7" w:name="page78"/>
    <w:bookmarkEnd w:id="77"/>
    <w:p>
      <w:pPr>
        <w:ind w:left="1860" w:right="1519"/>
        <w:spacing w:after="0" w:line="292" w:lineRule="auto"/>
        <w:rPr>
          <w:sz w:val="20"/>
          <w:szCs w:val="20"/>
          <w:color w:val="auto"/>
        </w:rPr>
      </w:pPr>
      <w:r>
        <w:rPr>
          <w:rFonts w:ascii="Times New Roman" w:cs="Times New Roman" w:eastAsia="Times New Roman" w:hAnsi="Times New Roman"/>
          <w:sz w:val="14"/>
          <w:szCs w:val="14"/>
          <w:color w:val="auto"/>
        </w:rPr>
        <w:t>federal Anti-Kickback Statute constitutes a false or fraudulent claim for purposes of the civil False Claims Act;</w:t>
      </w:r>
    </w:p>
    <w:p>
      <w:pPr>
        <w:spacing w:after="0" w:line="38" w:lineRule="exact"/>
        <w:rPr>
          <w:sz w:val="20"/>
          <w:szCs w:val="20"/>
          <w:color w:val="auto"/>
        </w:rPr>
      </w:pPr>
    </w:p>
    <w:p>
      <w:pPr>
        <w:ind w:left="1860" w:right="1339" w:hanging="357"/>
        <w:spacing w:after="0" w:line="263"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58" w:lineRule="exact"/>
        <w:rPr>
          <w:rFonts w:ascii="Times New Roman" w:cs="Times New Roman" w:eastAsia="Times New Roman" w:hAnsi="Times New Roman"/>
          <w:sz w:val="14"/>
          <w:szCs w:val="14"/>
          <w:color w:val="auto"/>
        </w:rPr>
      </w:pPr>
    </w:p>
    <w:p>
      <w:pPr>
        <w:ind w:left="1860" w:right="1339" w:hanging="357"/>
        <w:spacing w:after="0" w:line="274"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0" w:lineRule="exact"/>
        <w:rPr>
          <w:rFonts w:ascii="Times New Roman" w:cs="Times New Roman" w:eastAsia="Times New Roman" w:hAnsi="Times New Roman"/>
          <w:sz w:val="14"/>
          <w:szCs w:val="14"/>
          <w:color w:val="auto"/>
        </w:rPr>
      </w:pPr>
    </w:p>
    <w:p>
      <w:pPr>
        <w:ind w:left="1860" w:right="1259" w:hanging="357"/>
        <w:spacing w:after="0" w:line="265"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56" w:lineRule="exact"/>
        <w:rPr>
          <w:rFonts w:ascii="Times New Roman" w:cs="Times New Roman" w:eastAsia="Times New Roman" w:hAnsi="Times New Roman"/>
          <w:sz w:val="14"/>
          <w:szCs w:val="14"/>
          <w:color w:val="auto"/>
        </w:rPr>
      </w:pPr>
    </w:p>
    <w:p>
      <w:pPr>
        <w:ind w:left="1860" w:right="1299" w:hanging="357"/>
        <w:spacing w:after="0" w:line="260"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62" w:lineRule="exact"/>
        <w:rPr>
          <w:rFonts w:ascii="Times New Roman" w:cs="Times New Roman" w:eastAsia="Times New Roman" w:hAnsi="Times New Roman"/>
          <w:sz w:val="14"/>
          <w:szCs w:val="14"/>
          <w:color w:val="auto"/>
        </w:rPr>
      </w:pPr>
    </w:p>
    <w:p>
      <w:pPr>
        <w:ind w:left="1860" w:right="1199" w:hanging="357"/>
        <w:spacing w:after="0" w:line="259"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65"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60"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78" w:name="page79"/>
    <w:bookmarkEnd w:id="78"/>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63"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CMS fee schedules may harm our revenue and operating results.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233" w:lineRule="exact"/>
        <w:rPr>
          <w:sz w:val="20"/>
          <w:szCs w:val="20"/>
          <w:color w:val="auto"/>
        </w:rPr>
      </w:pPr>
    </w:p>
    <w:p>
      <w:pPr>
        <w:ind w:left="1160" w:right="1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4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59"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In June 2024, the U.S. Supreme Court overruled the Chevron doctrine, which gives deference to regulatory agencies’ statutory interpretations in litigation against federal government agencies where the law is ambiguous. This landmark Supreme Court decision may invite more stakeholders to bring lawsuits against the FDA and other</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9" w:name="page80"/>
    <w:bookmarkEnd w:id="79"/>
    <w:p>
      <w:pPr>
        <w:jc w:val="both"/>
        <w:ind w:left="1160" w:right="1279"/>
        <w:spacing w:after="0" w:line="262" w:lineRule="auto"/>
        <w:rPr>
          <w:sz w:val="20"/>
          <w:szCs w:val="20"/>
          <w:color w:val="auto"/>
        </w:rPr>
      </w:pPr>
      <w:r>
        <w:rPr>
          <w:rFonts w:ascii="Times New Roman" w:cs="Times New Roman" w:eastAsia="Times New Roman" w:hAnsi="Times New Roman"/>
          <w:sz w:val="14"/>
          <w:szCs w:val="14"/>
          <w:color w:val="auto"/>
        </w:rPr>
        <w:t>federal agencies to challenge longstanding decisions and policies, which could lead to uncertainties in the industry. Further, changes in the leadership of the FDA and other federal agencies under the new Trump administration may lead to new policies and changes in the regulations that can increase our compliance costs. 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55"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48"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63" w:lineRule="exact"/>
        <w:rPr>
          <w:sz w:val="20"/>
          <w:szCs w:val="20"/>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some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emphasis on clinical data;</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transparency, including publication of clinical trial data and safety summaries;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content and structure for technical files to support registration;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unique device identification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burden on post-market surveillance and clinical follow-up;</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of adverse event reporting time from 30 to 15 days after the event;</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review times;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power to notified bodies.</w:t>
      </w:r>
    </w:p>
    <w:p>
      <w:pPr>
        <w:spacing w:after="0" w:line="9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54"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3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0" w:name="page81"/>
    <w:bookmarkEnd w:id="80"/>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of potential approval of our products. Even if regulatory approval is secured for any of our products, the terms of such approval may limit the scope and use of our products, which may also limit their commercial potential.</w:t>
      </w:r>
    </w:p>
    <w:p>
      <w:pPr>
        <w:spacing w:after="0" w:line="34" w:lineRule="exact"/>
        <w:rPr>
          <w:sz w:val="20"/>
          <w:szCs w:val="20"/>
          <w:color w:val="auto"/>
        </w:rPr>
      </w:pPr>
    </w:p>
    <w:p>
      <w:pPr>
        <w:ind w:left="1160" w:right="1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Defects or failures associated with our products could lead to recalls, safety alerts or litigation, as well as significant costs and negative publicity.</w:t>
      </w:r>
    </w:p>
    <w:p>
      <w:pPr>
        <w:spacing w:after="0" w:line="34"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60"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231"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233"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23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w:t>
      </w:r>
    </w:p>
    <w:p>
      <w:pPr>
        <w:spacing w:after="0" w:line="3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1" w:name="page82"/>
    <w:bookmarkEnd w:id="81"/>
    <w:p>
      <w:pPr>
        <w:ind w:left="1160" w:right="1619"/>
        <w:spacing w:after="0" w:line="292" w:lineRule="auto"/>
        <w:rPr>
          <w:sz w:val="20"/>
          <w:szCs w:val="20"/>
          <w:color w:val="auto"/>
        </w:rPr>
      </w:pPr>
      <w:r>
        <w:rPr>
          <w:rFonts w:ascii="Times New Roman" w:cs="Times New Roman" w:eastAsia="Times New Roman" w:hAnsi="Times New Roman"/>
          <w:sz w:val="14"/>
          <w:szCs w:val="14"/>
          <w:color w:val="auto"/>
        </w:rPr>
        <w:t>from operating our business and may harm our reputation and have a material adverse effect on our business, financial condition and results of operations.</w:t>
      </w:r>
    </w:p>
    <w:p>
      <w:pPr>
        <w:spacing w:after="0" w:line="34" w:lineRule="exact"/>
        <w:rPr>
          <w:sz w:val="20"/>
          <w:szCs w:val="20"/>
          <w:color w:val="auto"/>
        </w:rPr>
      </w:pPr>
    </w:p>
    <w:p>
      <w:pPr>
        <w:ind w:left="1160" w:right="119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218"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6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Environmental health and safety laws may result in liabilities, expenses and restrictions on our operations.</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environmental laws and regulations could subject us to significant liability.</w:t>
      </w:r>
    </w:p>
    <w:p>
      <w:pPr>
        <w:spacing w:after="0" w:line="83"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63"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2" w:name="page83"/>
    <w:bookmarkEnd w:id="82"/>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57" w:lineRule="exact"/>
        <w:rPr>
          <w:sz w:val="20"/>
          <w:szCs w:val="20"/>
          <w:color w:val="auto"/>
        </w:rPr>
      </w:pPr>
    </w:p>
    <w:p>
      <w:pPr>
        <w:ind w:left="1160" w:right="12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our collection and use of data, which could result in investigations, inquiries, litigation, fines, legislative and regulatory action and negative press about our privacy and data and security protection practices.</w:t>
      </w:r>
    </w:p>
    <w:p>
      <w:pPr>
        <w:spacing w:after="0" w:line="4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have been and could again be subject to attacks on our systems by outside parties, or by fraudulent or inappropriate behavior by our service providers or employees. Third parties may also gain access to users’ accounts using stolen or inferred credentials, computer malware, viruses, spamming, sim-swap attacks, phishing attacks or other means, and may use such access to obtain users’ personal data or prevent use of their accounts. Data breaches or other incidents could result in a violation of applicable United States and international privacy, data protection, security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69" w:lineRule="exact"/>
        <w:rPr>
          <w:sz w:val="20"/>
          <w:szCs w:val="20"/>
          <w:color w:val="auto"/>
        </w:rPr>
      </w:pPr>
    </w:p>
    <w:p>
      <w:pPr>
        <w:ind w:left="1160" w:right="1199" w:firstLine="258"/>
        <w:spacing w:after="0" w:line="257" w:lineRule="auto"/>
        <w:rPr>
          <w:sz w:val="20"/>
          <w:szCs w:val="20"/>
          <w:color w:val="auto"/>
        </w:rPr>
      </w:pPr>
      <w:r>
        <w:rPr>
          <w:rFonts w:ascii="Times New Roman" w:cs="Times New Roman" w:eastAsia="Times New Roman" w:hAnsi="Times New Roman"/>
          <w:sz w:val="14"/>
          <w:szCs w:val="14"/>
          <w:color w:val="auto"/>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United States, California adopted the CCPA in January 2020, which requires certain companies that process information of California consumers to, among other things, provide certain disclosures to California consumers and afford such consumers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Similar legislation has been proposed, and in certain cases enacted, in other states.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w:t>
      </w:r>
    </w:p>
    <w:p>
      <w:pPr>
        <w:spacing w:after="0" w:line="3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3" w:name="page84"/>
    <w:bookmarkEnd w:id="83"/>
    <w:p>
      <w:pPr>
        <w:jc w:val="both"/>
        <w:ind w:left="1160" w:right="1199"/>
        <w:spacing w:after="0" w:line="274" w:lineRule="auto"/>
        <w:rPr>
          <w:sz w:val="20"/>
          <w:szCs w:val="20"/>
          <w:color w:val="auto"/>
        </w:rPr>
      </w:pPr>
      <w:r>
        <w:rPr>
          <w:rFonts w:ascii="Times New Roman" w:cs="Times New Roman" w:eastAsia="Times New Roman" w:hAnsi="Times New Roman"/>
          <w:sz w:val="14"/>
          <w:szCs w:val="14"/>
          <w:color w:val="auto"/>
        </w:rPr>
        <w:t>The effects of the CCPA, CPRA and other laws relating to privacy, data protection and cybersecurity are potentially significant, and may require us to modify our practices and policies and to incur substantial costs and expenses in an effort to comply.</w:t>
      </w:r>
    </w:p>
    <w:p>
      <w:pPr>
        <w:spacing w:after="0" w:line="50"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63"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the GDPR can be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Kingdom has adopted the UK General Data Protection Regulation and UK Data Protection Act, which retain the GDPR in the United Kingdom’s national law and provide for a penalty structure similar to the GDPR. The UK enacted the UK Data (Use and Access) Act 2025 on June 19, 2025, which made targeted amendments to the UK GDPR and the UK Data Protection Act. These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data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spacing w:after="0" w:line="63" w:lineRule="exact"/>
        <w:rPr>
          <w:sz w:val="20"/>
          <w:szCs w:val="20"/>
          <w:color w:val="auto"/>
        </w:rPr>
      </w:pPr>
    </w:p>
    <w:p>
      <w:pPr>
        <w:ind w:left="1160" w:right="1179" w:firstLine="258"/>
        <w:spacing w:after="0" w:line="257" w:lineRule="auto"/>
        <w:rPr>
          <w:sz w:val="20"/>
          <w:szCs w:val="20"/>
          <w:color w:val="auto"/>
        </w:rPr>
      </w:pPr>
      <w:r>
        <w:rPr>
          <w:rFonts w:ascii="Times New Roman" w:cs="Times New Roman" w:eastAsia="Times New Roman" w:hAnsi="Times New Roman"/>
          <w:sz w:val="14"/>
          <w:szCs w:val="14"/>
          <w:color w:val="auto"/>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and the United Kingdom has adopted its own new standard contractual clauses. In June 2021, the European Commission issued an adequacy decision in respect of the United Kingdom’s data protection framework, enabling data transfers from EU member states to the United Kingdom to continue without requiring contractual or other additional measures. the European Commission’s adequacy decision must be renewed in 2025 and is subject to revocation at any point. The modifications to the UK GDPR and UK Data Protection Act in the UK Data (Use and Access) Act 2025 may impact the European Commission’s renewal of its adequacy decision regarding the UK’s data protection framework. Any nonrenewal or revocation of, or modifications to, this adequacy decision could lead to additional costs and increase our overall risk exposure. The U.S. Department of Justice also has issued rules regarding certain bulk sensitive personal data transfers. These developments and other regulatory guidance or developments may impose additional obligations with respect to cross-border data transfers, all of which could restrict our activities in certain jurisdictions, limit our ability to provide our products and services in certain jurisdictions, require us to modify our policies and practices, and to engage in additional contractual negotiations, or increase our costs and obligations and impose limitations upon our ability to efficiently transfer personal data across borders. Any of these events, if occurring, could adversely affect the manner in which we provide our services and thus materially affect our operations and financial results.</w:t>
      </w:r>
    </w:p>
    <w:p>
      <w:pPr>
        <w:spacing w:after="0" w:line="74"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Because the interpretation and application of laws, regulations, standards and other obligations relating to privacy, data protection and security are still uncertain, it is possible that these laws, regulations, standards and other</w:t>
      </w:r>
    </w:p>
    <w:p>
      <w:pPr>
        <w:spacing w:after="0" w:line="3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4" w:name="page85"/>
    <w:bookmarkEnd w:id="84"/>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obligations may be interpreted and applied in a manner that is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or is alleged to be, inconsistent with our practices and policies. Any noncompliance, or perceived noncompliance, with laws, regulations, standards and other obligations 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59" w:lineRule="exact"/>
        <w:rPr>
          <w:sz w:val="20"/>
          <w:szCs w:val="20"/>
          <w:color w:val="auto"/>
        </w:rPr>
      </w:pPr>
    </w:p>
    <w:p>
      <w:pPr>
        <w:ind w:left="1160" w:right="1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3"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5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w:t>
      </w:r>
    </w:p>
    <w:p>
      <w:pPr>
        <w:spacing w:after="0" w:line="234" w:lineRule="exact"/>
        <w:rPr>
          <w:sz w:val="20"/>
          <w:szCs w:val="20"/>
          <w:color w:val="auto"/>
        </w:rPr>
      </w:pPr>
    </w:p>
    <w:p>
      <w:pPr>
        <w:jc w:val="both"/>
        <w:ind w:left="11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48"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w:t>
      </w: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5" w:name="page86"/>
    <w:bookmarkEnd w:id="85"/>
    <w:p>
      <w:pPr>
        <w:ind w:left="1160" w:right="1179"/>
        <w:spacing w:after="0" w:line="292" w:lineRule="auto"/>
        <w:rPr>
          <w:sz w:val="20"/>
          <w:szCs w:val="20"/>
          <w:color w:val="auto"/>
        </w:rPr>
      </w:pPr>
      <w:r>
        <w:rPr>
          <w:rFonts w:ascii="Times New Roman" w:cs="Times New Roman" w:eastAsia="Times New Roman" w:hAnsi="Times New Roman"/>
          <w:sz w:val="14"/>
          <w:szCs w:val="14"/>
          <w:color w:val="auto"/>
        </w:rPr>
        <w:t>contractual obligations. Due to the varying degrees of development of the legal systems of the countries in which we operate, local laws might be insufficient to protect our rights.</w:t>
      </w:r>
    </w:p>
    <w:p>
      <w:pPr>
        <w:spacing w:after="0" w:line="38"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63" w:lineRule="exact"/>
        <w:rPr>
          <w:sz w:val="20"/>
          <w:szCs w:val="20"/>
          <w:color w:val="auto"/>
        </w:rPr>
      </w:pPr>
    </w:p>
    <w:p>
      <w:pPr>
        <w:ind w:left="1160" w:right="1419" w:firstLine="258"/>
        <w:spacing w:after="0" w:line="262" w:lineRule="auto"/>
        <w:rPr>
          <w:sz w:val="20"/>
          <w:szCs w:val="20"/>
          <w:color w:val="auto"/>
        </w:rPr>
      </w:pPr>
      <w:r>
        <w:rPr>
          <w:rFonts w:ascii="Times New Roman" w:cs="Times New Roman" w:eastAsia="Times New Roman" w:hAnsi="Times New Roman"/>
          <w:sz w:val="14"/>
          <w:szCs w:val="14"/>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reliance on third parties</w:t>
      </w:r>
    </w:p>
    <w:p>
      <w:pPr>
        <w:spacing w:after="0" w:line="95" w:lineRule="exact"/>
        <w:rPr>
          <w:sz w:val="20"/>
          <w:szCs w:val="20"/>
          <w:color w:val="auto"/>
        </w:rPr>
      </w:pPr>
    </w:p>
    <w:p>
      <w:pPr>
        <w:ind w:left="1160" w:right="1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48"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59" w:lineRule="exact"/>
        <w:rPr>
          <w:sz w:val="20"/>
          <w:szCs w:val="20"/>
          <w:color w:val="auto"/>
        </w:rPr>
      </w:pPr>
    </w:p>
    <w:p>
      <w:pPr>
        <w:jc w:val="both"/>
        <w:ind w:left="1160" w:right="14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34"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5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6" w:name="page87"/>
    <w:bookmarkEnd w:id="86"/>
    <w:p>
      <w:pPr>
        <w:ind w:left="1160" w:right="1199"/>
        <w:spacing w:after="0" w:line="265" w:lineRule="auto"/>
        <w:rPr>
          <w:sz w:val="20"/>
          <w:szCs w:val="20"/>
          <w:color w:val="auto"/>
        </w:rPr>
      </w:pPr>
      <w:r>
        <w:rPr>
          <w:rFonts w:ascii="Times New Roman" w:cs="Times New Roman" w:eastAsia="Times New Roman" w:hAnsi="Times New Roman"/>
          <w:sz w:val="14"/>
          <w:szCs w:val="14"/>
          <w:color w:val="auto"/>
        </w:rPr>
        <w:t>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56" w:lineRule="exact"/>
        <w:rPr>
          <w:sz w:val="20"/>
          <w:szCs w:val="20"/>
          <w:color w:val="auto"/>
        </w:rPr>
      </w:pPr>
    </w:p>
    <w:p>
      <w:pPr>
        <w:ind w:left="1160" w:right="1159" w:firstLine="258"/>
        <w:spacing w:after="0" w:line="264" w:lineRule="auto"/>
        <w:rPr>
          <w:sz w:val="20"/>
          <w:szCs w:val="20"/>
          <w:color w:val="auto"/>
        </w:rPr>
      </w:pPr>
      <w:r>
        <w:rPr>
          <w:rFonts w:ascii="Times New Roman" w:cs="Times New Roman" w:eastAsia="Times New Roman" w:hAnsi="Times New Roman"/>
          <w:sz w:val="14"/>
          <w:szCs w:val="14"/>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227" w:lineRule="exact"/>
        <w:rPr>
          <w:sz w:val="20"/>
          <w:szCs w:val="20"/>
          <w:color w:val="auto"/>
        </w:rPr>
      </w:pPr>
    </w:p>
    <w:p>
      <w:pPr>
        <w:jc w:val="both"/>
        <w:ind w:left="1160" w:right="13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34" w:lineRule="exact"/>
        <w:rPr>
          <w:sz w:val="20"/>
          <w:szCs w:val="20"/>
          <w:color w:val="auto"/>
        </w:rPr>
      </w:pPr>
    </w:p>
    <w:p>
      <w:pPr>
        <w:ind w:left="1160" w:right="1219" w:firstLine="258"/>
        <w:spacing w:after="0" w:line="257" w:lineRule="auto"/>
        <w:rPr>
          <w:sz w:val="20"/>
          <w:szCs w:val="20"/>
          <w:color w:val="auto"/>
        </w:rPr>
      </w:pPr>
      <w:r>
        <w:rPr>
          <w:rFonts w:ascii="Times New Roman" w:cs="Times New Roman" w:eastAsia="Times New Roman" w:hAnsi="Times New Roman"/>
          <w:sz w:val="14"/>
          <w:szCs w:val="14"/>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70"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failure of third parties to meet their contractual, regulatory, and other obligations could adversely affect our business.</w:t>
      </w:r>
    </w:p>
    <w:p>
      <w:pPr>
        <w:spacing w:after="0" w:line="34"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stock has been and may continue to be volatile, and you could lose all or part of your investment.</w:t>
      </w:r>
    </w:p>
    <w:p>
      <w:pPr>
        <w:spacing w:after="0" w:line="101"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trading price of our common stock has been and may continue to be highly volatile and could be subject to wide fluctuations in response to various factors, some of which we cannot control. From the date of our initial public</w:t>
      </w:r>
    </w:p>
    <w:p>
      <w:pPr>
        <w:spacing w:after="0" w:line="3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7" w:name="page88"/>
    <w:bookmarkEnd w:id="87"/>
    <w:p>
      <w:pPr>
        <w:ind w:left="1160" w:right="1339"/>
        <w:spacing w:after="0" w:line="263" w:lineRule="auto"/>
        <w:rPr>
          <w:sz w:val="20"/>
          <w:szCs w:val="20"/>
          <w:color w:val="auto"/>
        </w:rPr>
      </w:pPr>
      <w:r>
        <w:rPr>
          <w:rFonts w:ascii="Times New Roman" w:cs="Times New Roman" w:eastAsia="Times New Roman" w:hAnsi="Times New Roman"/>
          <w:sz w:val="14"/>
          <w:szCs w:val="14"/>
          <w:color w:val="auto"/>
        </w:rPr>
        <w:t>offering through November 1, 2025, our common stock has traded at a low of $6.32 and a high of $66.54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spacing w:after="0" w:line="58" w:lineRule="exact"/>
        <w:rPr>
          <w:sz w:val="20"/>
          <w:szCs w:val="20"/>
          <w:color w:val="auto"/>
        </w:rPr>
      </w:pPr>
    </w:p>
    <w:p>
      <w:pPr>
        <w:ind w:left="1860" w:right="131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of our results of operations and updates regarding our business, including financial and operational guidance;</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published by securities or industry analysts about our business and prospects;</w:t>
      </w:r>
    </w:p>
    <w:p>
      <w:pPr>
        <w:spacing w:after="0" w:line="96" w:lineRule="exact"/>
        <w:rPr>
          <w:rFonts w:ascii="Times New Roman" w:cs="Times New Roman" w:eastAsia="Times New Roman" w:hAnsi="Times New Roman"/>
          <w:sz w:val="14"/>
          <w:szCs w:val="14"/>
          <w:color w:val="auto"/>
        </w:rPr>
      </w:pPr>
    </w:p>
    <w:p>
      <w:pPr>
        <w:ind w:left="1860" w:right="169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or announcements by potential competitors of their product development efforts;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our products or our competitors’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growth rate, including relative to our competitors;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96"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intellectual property or proprietary rights;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96"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collaborations, joint ventures, collaborations or capital commitments;</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results of preclinical studies and clinical trials of our current and future products or those of our competitors;</w:t>
      </w:r>
    </w:p>
    <w:p>
      <w:pPr>
        <w:spacing w:after="0" w:line="37" w:lineRule="exact"/>
        <w:rPr>
          <w:rFonts w:ascii="Times New Roman" w:cs="Times New Roman" w:eastAsia="Times New Roman" w:hAnsi="Times New Roman"/>
          <w:sz w:val="14"/>
          <w:szCs w:val="14"/>
          <w:color w:val="auto"/>
        </w:rPr>
      </w:pPr>
    </w:p>
    <w:p>
      <w:pPr>
        <w:ind w:left="1860" w:right="201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valuation of companies perceived by investors to be comparable to us;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medical device sector;</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price and volume fluctuations attributable to inconsistent trading volume levels of our shares;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our insiders or our other stockholders; and</w:t>
      </w:r>
    </w:p>
    <w:p>
      <w:pPr>
        <w:spacing w:after="0" w:line="96"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including global and national events, such as the conflicts in Eastern Europe and the Middle East, and general economic downturns.</w:t>
      </w:r>
    </w:p>
    <w:p>
      <w:pPr>
        <w:spacing w:after="0" w:line="38" w:lineRule="exact"/>
        <w:rPr>
          <w:sz w:val="20"/>
          <w:szCs w:val="20"/>
          <w:color w:val="auto"/>
        </w:rPr>
      </w:pPr>
    </w:p>
    <w:p>
      <w:pPr>
        <w:ind w:left="1160" w:right="1219" w:firstLine="258"/>
        <w:spacing w:after="0" w:line="285" w:lineRule="auto"/>
        <w:rPr>
          <w:sz w:val="20"/>
          <w:szCs w:val="20"/>
          <w:color w:val="auto"/>
        </w:rPr>
      </w:pPr>
      <w:r>
        <w:rPr>
          <w:rFonts w:ascii="Times New Roman" w:cs="Times New Roman" w:eastAsia="Times New Roman" w:hAnsi="Times New Roman"/>
          <w:sz w:val="14"/>
          <w:szCs w:val="14"/>
          <w:color w:val="auto"/>
        </w:rPr>
        <w:t>The realization of any of the above risks or any of a broad range of other risks, including those described in this Part II, Item 1A, “Risk Factors,” could have a dramatic and adverse impact on the market price of our common stock.</w:t>
      </w:r>
    </w:p>
    <w:p>
      <w:pPr>
        <w:spacing w:after="0" w:line="219" w:lineRule="exact"/>
        <w:rPr>
          <w:sz w:val="20"/>
          <w:szCs w:val="20"/>
          <w:color w:val="auto"/>
        </w:rPr>
      </w:pPr>
    </w:p>
    <w:p>
      <w:pPr>
        <w:jc w:val="both"/>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In addition, companies that have experienced volatility in the market price of their stock have been subject to securities class action litigation. We have been, and may in the future be, the target of this type of litigation in the future. Securities litigation against us could result in substantial costs and divert our management’s attention from other business concerns, which could seriously harm our business.</w:t>
      </w:r>
    </w:p>
    <w:p>
      <w:pPr>
        <w:spacing w:after="0" w:line="50"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research about our business, our stock price and trading volume could decline.</w:t>
      </w:r>
    </w:p>
    <w:p>
      <w:pPr>
        <w:spacing w:after="0" w:line="34"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8" w:name="page89"/>
    <w:bookmarkEnd w:id="88"/>
    <w:p>
      <w:pPr>
        <w:ind w:left="1160" w:right="1219"/>
        <w:spacing w:after="0" w:line="274" w:lineRule="auto"/>
        <w:rPr>
          <w:sz w:val="20"/>
          <w:szCs w:val="20"/>
          <w:color w:val="auto"/>
        </w:rPr>
      </w:pPr>
      <w:r>
        <w:rPr>
          <w:rFonts w:ascii="Times New Roman" w:cs="Times New Roman" w:eastAsia="Times New Roman" w:hAnsi="Times New Roman"/>
          <w:sz w:val="14"/>
          <w:szCs w:val="14"/>
          <w:color w:val="auto"/>
        </w:rPr>
        <w:t>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46" w:lineRule="exact"/>
        <w:rPr>
          <w:sz w:val="20"/>
          <w:szCs w:val="20"/>
          <w:color w:val="auto"/>
        </w:rPr>
      </w:pPr>
    </w:p>
    <w:p>
      <w:pPr>
        <w:ind w:left="1160" w:right="1179" w:firstLine="258"/>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8"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Our common stock is currently traded on the Nasdaq Global Market, but we can provide no assurance that we will be able to maintain an active trading market on the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56" w:lineRule="exact"/>
        <w:rPr>
          <w:sz w:val="20"/>
          <w:szCs w:val="20"/>
          <w:color w:val="auto"/>
        </w:rPr>
      </w:pPr>
    </w:p>
    <w:p>
      <w:pPr>
        <w:ind w:left="116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common stock in the public market could cause our stock price to fall.</w:t>
      </w:r>
    </w:p>
    <w:p>
      <w:pPr>
        <w:spacing w:after="0" w:line="34"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0"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As of September 30, 2025, we had 41,081,550 shares of common stock issued and outstanding. All of these shares are available for sale in the public market, subject to limitations under Rule 144 with respect to affiliates of our company.</w:t>
      </w:r>
    </w:p>
    <w:p>
      <w:pPr>
        <w:spacing w:after="0" w:line="5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have filed registration statements on Form S-8 under the Securities Act registering the offer and sale of up to an aggregate of 12,277,925 shares of common stock pursuant to our Equity Plans (as defined in Note 2, “Summary of Accounting Policies – Stock-Based Compensation” in our notes to our unaudited condensed consolidated financial statements in this report) and an aggregate of 757,694 shares of common stock pursuant to our 2021 ESPP. Our 2021 Plan and 2021 ESPP each contain an evergreen provision that may increase the number of shares available for issuance pursuant to such plans on the first day of each fiscal year. See Note 6 – Stock-Based Compensation Expense in the notes to the unaudited condensed consolidated financial statements included in this report.</w:t>
      </w:r>
    </w:p>
    <w:p>
      <w:pPr>
        <w:spacing w:after="0" w:line="235"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On May 8, 2024, we filed an automatic shelf registration statement on Form S-3ASR with the SEC that enables us to offer for sale, from time to time and as the capital markets permit, an unspecified amount of common stock, preferred stock, debt securities, warrants and units. The shelf registration statement became automatically effective upon filing and is valid for three years. Each time we offer to sell securities under the registration statement, we will provide a prospectus supplement that will contain specific information about the terms of that offering and the securities being offered. For example, on May 9, 2024, we filed a prospectus supplement for the offer and sale of up to 1,785,714 shares of our common stock in an underwritten public offering (the “Public Offering”). On May 13, 2024, we issued 2,053,571 shares of our common stock at a price to the public of $56.00 per share, which included the full exercise by the underwriters of their option to purchase up to 267,857 additional shares. Our net proceeds from the offering were $107.5 million, after deducting $6.9 in underwriting discounts and commissions and $0.6 million in other offering costs.</w:t>
      </w:r>
    </w:p>
    <w:p>
      <w:pPr>
        <w:spacing w:after="0" w:line="65"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spacing w:after="0" w:line="5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9" w:name="page90"/>
    <w:bookmarkEnd w:id="89"/>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financial statements on a timely basis could be impaired.</w:t>
      </w:r>
    </w:p>
    <w:p>
      <w:pPr>
        <w:spacing w:after="0" w:line="34"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Sarbanes-Oxley Act of 2002 requires, among other things, that we assess the effectiveness of our internal control over financial reporting annually and the effectiveness of our disclosure controls and procedures quarterly. In addition, our independent registered public accounting firm will have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w:t>
      </w:r>
    </w:p>
    <w:p>
      <w:pPr>
        <w:spacing w:after="0" w:line="60"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56"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stock.</w:t>
      </w:r>
    </w:p>
    <w:p>
      <w:pPr>
        <w:spacing w:after="0" w:line="101" w:lineRule="exact"/>
        <w:rPr>
          <w:sz w:val="20"/>
          <w:szCs w:val="20"/>
          <w:color w:val="auto"/>
        </w:rPr>
      </w:pPr>
    </w:p>
    <w:p>
      <w:pPr>
        <w:jc w:val="both"/>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50"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48"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50" w:lineRule="exact"/>
        <w:rPr>
          <w:sz w:val="20"/>
          <w:szCs w:val="20"/>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so that not all members of our board are elected at one time;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only the Board of Directors to establish the number of directors and fill vacancies on the board;</w:t>
      </w:r>
    </w:p>
    <w:p>
      <w:pPr>
        <w:spacing w:after="0" w:line="9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only be removed “for cause” and only with the approval of two-thirds of our stockholders;</w:t>
      </w:r>
    </w:p>
    <w:p>
      <w:pPr>
        <w:spacing w:after="0" w:line="37" w:lineRule="exact"/>
        <w:rPr>
          <w:rFonts w:ascii="Times New Roman" w:cs="Times New Roman" w:eastAsia="Times New Roman" w:hAnsi="Times New Roman"/>
          <w:sz w:val="14"/>
          <w:szCs w:val="14"/>
          <w:color w:val="auto"/>
        </w:rPr>
      </w:pPr>
    </w:p>
    <w:p>
      <w:pPr>
        <w:ind w:left="1860" w:right="1679" w:hanging="357"/>
        <w:spacing w:after="0" w:line="292" w:lineRule="auto"/>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our board could use to implement a stockholder rights plan (also known as a poison pill);</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call special meetings of stockholders;</w:t>
      </w:r>
    </w:p>
    <w:p>
      <w:pPr>
        <w:spacing w:after="0" w:line="96" w:lineRule="exact"/>
        <w:rPr>
          <w:rFonts w:ascii="Times New Roman" w:cs="Times New Roman" w:eastAsia="Times New Roman" w:hAnsi="Times New Roman"/>
          <w:sz w:val="14"/>
          <w:szCs w:val="14"/>
          <w:color w:val="auto"/>
        </w:rPr>
      </w:pPr>
    </w:p>
    <w:p>
      <w:pPr>
        <w:ind w:left="1860" w:right="1379" w:hanging="357"/>
        <w:spacing w:after="0" w:line="292" w:lineRule="auto"/>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requires all stockholder actions to be taken at a meeting of our stockholders;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amend the bylaws;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90" w:name="page91"/>
    <w:bookmarkEnd w:id="90"/>
    <w:p>
      <w:pPr>
        <w:ind w:left="1860" w:right="1199" w:hanging="357"/>
        <w:spacing w:after="0" w:line="292" w:lineRule="auto"/>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annual stockholder meetings;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super-majority vote of stockholders to amend some provisions described above.</w:t>
      </w:r>
    </w:p>
    <w:p>
      <w:pPr>
        <w:spacing w:after="0" w:line="97" w:lineRule="exact"/>
        <w:rPr>
          <w:sz w:val="20"/>
          <w:szCs w:val="20"/>
          <w:color w:val="auto"/>
        </w:rPr>
      </w:pPr>
    </w:p>
    <w:p>
      <w:pPr>
        <w:ind w:left="1160" w:right="1399" w:firstLine="258"/>
        <w:spacing w:after="0" w:line="265" w:lineRule="auto"/>
        <w:rPr>
          <w:sz w:val="20"/>
          <w:szCs w:val="20"/>
          <w:color w:val="auto"/>
        </w:rPr>
      </w:pPr>
      <w:r>
        <w:rPr>
          <w:rFonts w:ascii="Times New Roman" w:cs="Times New Roman" w:eastAsia="Times New Roman" w:hAnsi="Times New Roman"/>
          <w:sz w:val="14"/>
          <w:szCs w:val="14"/>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56" w:lineRule="exact"/>
        <w:rPr>
          <w:sz w:val="20"/>
          <w:szCs w:val="20"/>
          <w:color w:val="auto"/>
        </w:rPr>
      </w:pPr>
    </w:p>
    <w:p>
      <w:pPr>
        <w:ind w:left="1160" w:right="1399" w:firstLine="258"/>
        <w:spacing w:after="0" w:line="268" w:lineRule="auto"/>
        <w:rPr>
          <w:sz w:val="20"/>
          <w:szCs w:val="20"/>
          <w:color w:val="auto"/>
        </w:rPr>
      </w:pPr>
      <w:r>
        <w:rPr>
          <w:rFonts w:ascii="Times New Roman" w:cs="Times New Roman" w:eastAsia="Times New Roman" w:hAnsi="Times New Roman"/>
          <w:sz w:val="14"/>
          <w:szCs w:val="14"/>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50" w:lineRule="exact"/>
        <w:rPr>
          <w:sz w:val="20"/>
          <w:szCs w:val="20"/>
          <w:color w:val="auto"/>
        </w:rPr>
      </w:pPr>
    </w:p>
    <w:p>
      <w:pPr>
        <w:ind w:left="1160" w:right="1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3" w:lineRule="exact"/>
        <w:rPr>
          <w:sz w:val="20"/>
          <w:szCs w:val="20"/>
          <w:color w:val="auto"/>
        </w:rPr>
      </w:pPr>
    </w:p>
    <w:p>
      <w:pPr>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spacing w:after="0" w:line="50" w:lineRule="exact"/>
        <w:rPr>
          <w:sz w:val="20"/>
          <w:szCs w:val="20"/>
          <w:color w:val="auto"/>
        </w:rPr>
      </w:pPr>
    </w:p>
    <w:p>
      <w:pPr>
        <w:ind w:left="1860" w:hanging="357"/>
        <w:spacing w:after="0"/>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fiduciary duty;</w:t>
      </w:r>
    </w:p>
    <w:p>
      <w:pPr>
        <w:spacing w:after="0" w:line="9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DGCL, our amended and restated certificate of incorporation or our bylaws;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9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59"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61"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This Delaware forum provision does not apply to actions arising under the Securities Exchange Act of 1934 because the federal courts have exclusive jurisdiction over such claims.</w:t>
      </w:r>
    </w:p>
    <w:p>
      <w:pPr>
        <w:spacing w:after="0" w:line="34" w:lineRule="exact"/>
        <w:rPr>
          <w:sz w:val="20"/>
          <w:szCs w:val="20"/>
          <w:color w:val="auto"/>
        </w:rPr>
      </w:pPr>
    </w:p>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3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1" w:name="page92"/>
    <w:bookmarkEnd w:id="91"/>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56"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Board of Directors are authorized to issue and designate shares of our preferred stock in additional series without stockholder approval under our charter documents and Delaware law.</w:t>
      </w:r>
    </w:p>
    <w:p>
      <w:pPr>
        <w:spacing w:after="0" w:line="3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55"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3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Tax Act enacted many significant changes to the U.S. tax laws.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charges in the current or future taxable years and could increase our future U.S. tax expense. As an example, for taxable years beginning during or after 2022, the Tax Act eliminated the option to immediately deduct research and development expenditures currently and required taxpayers to capitalize and amortize them over five or fifteen years pursuant to Section 174 of the Code, which may impact our effective tax rate and our cash tax liability. Enacted in July 2025, the legislation commonly known as the “One Big Beautiful Bill” eliminates capitalization of domestic research and experimental expenditures for taxable years beginning January 1, 2025, but retains the requirement to amortize foreign research and experimental expenditure over 15 years.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Development’s Pillar Two Framework. On June 28, 2025, the G7 released a joint statement that it had reached an understanding with the United States for a side-by-side system based on certain accepted principles, including that U.S.-parented groups, such as ours, would be exempt from certain provisions of Pillar Two. Finally, the Inflation Reduction Act of 2022 (the “IRA”) was effective beginning in fiscal year 2023, which imposes a 1% excise tax on stock buybacks and a 15% alternative minimum tax on adjusted financial statement income.</w:t>
      </w:r>
    </w:p>
    <w:p>
      <w:pPr>
        <w:spacing w:after="0" w:line="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5" w:lineRule="exact"/>
        <w:rPr>
          <w:sz w:val="20"/>
          <w:szCs w:val="20"/>
          <w:color w:val="auto"/>
        </w:rPr>
      </w:pPr>
    </w:p>
    <w:p>
      <w:pPr>
        <w:ind w:left="1160" w:right="1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success is highly dependent on our ability to attract and retain highly skilled executive officers and employees.</w:t>
      </w:r>
    </w:p>
    <w:p>
      <w:pPr>
        <w:spacing w:after="0" w:line="3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2" w:name="page93"/>
    <w:bookmarkEnd w:id="92"/>
    <w:p>
      <w:pPr>
        <w:ind w:left="1160" w:right="1859"/>
        <w:spacing w:after="0" w:line="292" w:lineRule="auto"/>
        <w:rPr>
          <w:sz w:val="20"/>
          <w:szCs w:val="20"/>
          <w:color w:val="auto"/>
        </w:rPr>
      </w:pPr>
      <w:r>
        <w:rPr>
          <w:rFonts w:ascii="Times New Roman" w:cs="Times New Roman" w:eastAsia="Times New Roman" w:hAnsi="Times New Roman"/>
          <w:sz w:val="14"/>
          <w:szCs w:val="14"/>
          <w:color w:val="auto"/>
        </w:rPr>
        <w:t>personnel to our company and may be required to expend significant financial resources in our employee recruitment and retention efforts.</w:t>
      </w:r>
    </w:p>
    <w:p>
      <w:pPr>
        <w:spacing w:after="0" w:line="3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operations would suffer in the event of system failures or security breaches or incidents.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spacing w:after="0" w:line="61"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69"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sim swaps,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geopolitical tensions and conflicts, and other developments may increase the risk of such a breach, incident, or compromise. There is no assurance that any security procedures or controls that we, our contractors, or our third-party service providers or other third parties with whom we do business have implemented will be sufficient to prevent data-security related incidents from occurring.</w:t>
      </w:r>
    </w:p>
    <w:p>
      <w:pPr>
        <w:spacing w:after="0" w:line="3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3" w:name="page94"/>
    <w:bookmarkEnd w:id="93"/>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232"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Economic conditions may adversely affect our business.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w:t>
      </w:r>
    </w:p>
    <w:p>
      <w:pPr>
        <w:spacing w:after="0" w:line="235"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For example, we and other key international economies are currently operating in a period of economic uncertainty and the United States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p>
    <w:p>
      <w:pPr>
        <w:spacing w:after="0" w:line="58"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Factors such as geopolitical events (including the conflicts in Eastern Europe and the Middle East), inflationary pressures, public health crises, and U.S. election cycles have caused extreme volatility and disruptions in the capital and credit markets in recent years. Uncertainty or unfavorable global economic conditions could result in a variety of impacts to our business, including weakening demand for our products, and adversely impacting our ability to raise additional capital when needed on acceptable terms, if at all. A weak or declining economy has strained in the past and may in the future strain our manufacturers or suppliers, possibly resulting in supply disruption, or cause our customers to delay making payments for our products. Further, the Trump administration has proposed or enacted tariffs and substantial changes to trade policies, which could adversely affect our business. For example, the Trump administration has imposed tariffs on certain foreign products that in the past have resulted in and may result in future retaliatory tariffs on U.S. goods and products. We cannot predict whether these policies will continue, or if new policies will be enacted, or the impact, if any, that any policy changes could have on our business. Any of the foregoing could harm our business and we cannot anticipate all of the ways in which the economic climate and financial market conditions could adversely affect our business.</w:t>
      </w:r>
    </w:p>
    <w:p>
      <w:pPr>
        <w:spacing w:after="0" w:line="61"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4" w:name="page95"/>
    <w:bookmarkEnd w:id="94"/>
    <w:p>
      <w:pPr>
        <w:ind w:left="1160" w:right="1599"/>
        <w:spacing w:after="0" w:line="292" w:lineRule="auto"/>
        <w:rPr>
          <w:sz w:val="20"/>
          <w:szCs w:val="20"/>
          <w:color w:val="auto"/>
        </w:rPr>
      </w:pPr>
      <w:r>
        <w:rPr>
          <w:rFonts w:ascii="Times New Roman" w:cs="Times New Roman" w:eastAsia="Times New Roman" w:hAnsi="Times New Roman"/>
          <w:sz w:val="14"/>
          <w:szCs w:val="14"/>
          <w:color w:val="auto"/>
        </w:rPr>
        <w:t>economic conditions of the general economy or markets in which we operate do not improve, or worsen from present levels, our business, results of operations, and financial condition could be adversely affected.</w:t>
      </w:r>
    </w:p>
    <w:p>
      <w:pPr>
        <w:spacing w:after="0" w:line="38"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Litigation and other legal proceedings may adversely affect our business.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63"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Following periods of volatility in the market price of a company’s securities, securities class action litigation has often been instituted against that company. Following a stock price drop in our securities, on July 22, 2025, a putative securities class action complaint was filed in the U.S. District Court for the Central District of California against us and certain of our officers, captioned Makaveev v. RxSight, Inc., et al., No. 8:25-cv-01596. A second complaint, captioned Gemesi v. RxSight, Inc., et al., No. 8:25-cv-02093 was filed on September 16, 2025, and has since been consolidated with Makaveev. These lawsuits assert claims under Sections 10(b) and 20(a) of the Securities Exchange Act of 1934 and SEC Rule 10b-5, alleging that the defendants made materially false and misleading statements and omitted material adverse facts regarding demand for our products and financial guidance. The plaintiffs seek unspecified compensatory and punitive damages, and reasonable costs and expenses, including attorneys’ fees.</w:t>
      </w:r>
    </w:p>
    <w:p>
      <w:pPr>
        <w:spacing w:after="0" w:line="235" w:lineRule="exact"/>
        <w:rPr>
          <w:sz w:val="20"/>
          <w:szCs w:val="20"/>
          <w:color w:val="auto"/>
        </w:rPr>
      </w:pPr>
    </w:p>
    <w:p>
      <w:pPr>
        <w:jc w:val="both"/>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While it is too early to predict the outcome of the litigation or a reasonable range of potential losses and whether an adverse result would have a material adverse impact on our results of operations or financial position, we believe we have meritorious defenses, vehemently deny the allegations and intend to defend the case vigorously. Failure to obtain a favorable resolution of this lawsuit could have a material adverse effect on the Company’s business, results of operations and financial condition.</w:t>
      </w:r>
    </w:p>
    <w:p>
      <w:pPr>
        <w:spacing w:after="0" w:line="52" w:lineRule="exact"/>
        <w:rPr>
          <w:sz w:val="20"/>
          <w:szCs w:val="20"/>
          <w:color w:val="auto"/>
        </w:rPr>
      </w:pPr>
    </w:p>
    <w:p>
      <w:pPr>
        <w:jc w:val="both"/>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Business disruptions could seriously harm our future revenue and financial condition and increase our costs and expenses.</w:t>
      </w:r>
    </w:p>
    <w:p>
      <w:pPr>
        <w:spacing w:after="0" w:line="3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59"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could be materially harmed if we are unable to accurately forecast customer demand for our products and manage our inventory.</w:t>
      </w:r>
    </w:p>
    <w:p>
      <w:pPr>
        <w:spacing w:after="0" w:line="34"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5" w:name="page96"/>
    <w:bookmarkEnd w:id="95"/>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235"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ind w:left="1420" w:right="5339" w:hanging="267"/>
        <w:spacing w:after="0" w:line="426" w:lineRule="auto"/>
        <w:tabs>
          <w:tab w:leader="none" w:pos="1365" w:val="left"/>
        </w:tabs>
        <w:numPr>
          <w:ilvl w:val="0"/>
          <w:numId w:val="4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Recent Sales of Unregistered Securities </w:t>
      </w:r>
      <w:r>
        <w:rPr>
          <w:rFonts w:ascii="Times New Roman" w:cs="Times New Roman" w:eastAsia="Times New Roman" w:hAnsi="Times New Roman"/>
          <w:sz w:val="14"/>
          <w:szCs w:val="14"/>
          <w:color w:val="auto"/>
        </w:rPr>
        <w:t>None</w:t>
      </w:r>
    </w:p>
    <w:p>
      <w:pPr>
        <w:spacing w:after="0" w:line="29" w:lineRule="exact"/>
        <w:rPr>
          <w:rFonts w:ascii="Times New Roman" w:cs="Times New Roman" w:eastAsia="Times New Roman" w:hAnsi="Times New Roman"/>
          <w:sz w:val="14"/>
          <w:szCs w:val="14"/>
          <w:b w:val="1"/>
          <w:bCs w:val="1"/>
          <w:i w:val="1"/>
          <w:iCs w:val="1"/>
          <w:color w:val="auto"/>
        </w:rPr>
      </w:pPr>
    </w:p>
    <w:p>
      <w:pPr>
        <w:ind w:left="1420" w:right="5119" w:hanging="267"/>
        <w:spacing w:after="0" w:line="426" w:lineRule="auto"/>
        <w:tabs>
          <w:tab w:leader="none" w:pos="1365" w:val="left"/>
        </w:tabs>
        <w:numPr>
          <w:ilvl w:val="0"/>
          <w:numId w:val="4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Use of Proceeds from Registered Securities </w:t>
      </w:r>
      <w:r>
        <w:rPr>
          <w:rFonts w:ascii="Times New Roman" w:cs="Times New Roman" w:eastAsia="Times New Roman" w:hAnsi="Times New Roman"/>
          <w:sz w:val="14"/>
          <w:szCs w:val="14"/>
          <w:color w:val="auto"/>
        </w:rPr>
        <w:t>None</w:t>
      </w:r>
    </w:p>
    <w:p>
      <w:pPr>
        <w:spacing w:after="0" w:line="115" w:lineRule="exact"/>
        <w:rPr>
          <w:rFonts w:ascii="Times New Roman" w:cs="Times New Roman" w:eastAsia="Times New Roman" w:hAnsi="Times New Roman"/>
          <w:sz w:val="14"/>
          <w:szCs w:val="14"/>
          <w:b w:val="1"/>
          <w:bCs w:val="1"/>
          <w:i w:val="1"/>
          <w:iCs w:val="1"/>
          <w:color w:val="auto"/>
        </w:rPr>
      </w:pPr>
    </w:p>
    <w:p>
      <w:pPr>
        <w:ind w:left="1420" w:right="5459" w:hanging="267"/>
        <w:spacing w:after="0" w:line="401" w:lineRule="auto"/>
        <w:tabs>
          <w:tab w:leader="none" w:pos="1357" w:val="left"/>
        </w:tabs>
        <w:numPr>
          <w:ilvl w:val="0"/>
          <w:numId w:val="4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Issuer Purchases of Equity Securities </w:t>
      </w:r>
      <w:r>
        <w:rPr>
          <w:rFonts w:ascii="Times New Roman" w:cs="Times New Roman" w:eastAsia="Times New Roman" w:hAnsi="Times New Roman"/>
          <w:sz w:val="14"/>
          <w:szCs w:val="14"/>
          <w:color w:val="auto"/>
        </w:rPr>
        <w:t>None</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exhibits are filed as part of, or incorporated by reference into, this report unless otherwise stated.</w:t>
      </w:r>
    </w:p>
    <w:p>
      <w:pPr>
        <w:spacing w:after="0" w:line="95" w:lineRule="exact"/>
        <w:rPr>
          <w:sz w:val="20"/>
          <w:szCs w:val="20"/>
          <w:color w:val="auto"/>
        </w:rPr>
      </w:pPr>
    </w:p>
    <w:tbl>
      <w:tblPr>
        <w:tblLayout w:type="fixed"/>
        <w:tblInd w:w="11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5"/>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8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0"/>
        </w:trPr>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50"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160274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602740" cy="69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u w:val="single" w:color="auto"/>
          <w:color w:val="0000FF"/>
        </w:rPr>
        <w:t>Pursuant to Rules 13a-14(a) and 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57480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7480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under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70370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03705"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5669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08267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82675" cy="6985"/>
                    </a:xfrm>
                    <a:prstGeom prst="rect">
                      <a:avLst/>
                    </a:prstGeom>
                    <a:noFill/>
                  </pic:spPr>
                </pic:pic>
              </a:graphicData>
            </a:graphic>
          </wp:anchor>
        </w:drawing>
      </w:r>
    </w:p>
    <w:p>
      <w:pPr>
        <w:spacing w:after="0" w:line="95"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157734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577340" cy="69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u w:val="single" w:color="auto"/>
          <w:color w:val="0000FF"/>
        </w:rPr>
        <w:t>Pursuant to Rules 13a-14(a) and 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57480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57480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under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70370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703705"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5669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08267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82675" cy="6985"/>
                    </a:xfrm>
                    <a:prstGeom prst="rect">
                      <a:avLst/>
                    </a:prstGeom>
                    <a:noFill/>
                  </pic:spPr>
                </pic:pic>
              </a:graphicData>
            </a:graphic>
          </wp:anchor>
        </w:drawing>
      </w:r>
    </w:p>
    <w:p>
      <w:pPr>
        <w:spacing w:after="0" w:line="95"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160274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602740" cy="69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u w:val="single" w:color="auto"/>
          <w:color w:val="0000FF"/>
        </w:rPr>
        <w:t>Pursuant to 18 U.S.C. Section 1350,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3637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43637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5669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05981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59815" cy="6985"/>
                    </a:xfrm>
                    <a:prstGeom prst="rect">
                      <a:avLst/>
                    </a:prstGeom>
                    <a:noFill/>
                  </pic:spPr>
                </pic:pic>
              </a:graphicData>
            </a:graphic>
          </wp:anchor>
        </w:drawing>
      </w:r>
    </w:p>
    <w:p>
      <w:pPr>
        <w:spacing w:after="0" w:line="95"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157734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577340" cy="69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u w:val="single" w:color="auto"/>
          <w:color w:val="0000FF"/>
        </w:rPr>
        <w:t>Pursuant to 18 U.S.C. Section 1350,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3637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43637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5669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05981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59815"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r>
      <w:tr>
        <w:trPr>
          <w:trHeight w:val="186"/>
        </w:trPr>
        <w:tc>
          <w:tcPr>
            <w:tcW w:w="760" w:type="dxa"/>
            <w:vAlign w:val="bottom"/>
          </w:tcPr>
          <w:p>
            <w:pPr>
              <w:spacing w:after="0"/>
              <w:rPr>
                <w:sz w:val="16"/>
                <w:szCs w:val="16"/>
                <w:color w:val="auto"/>
              </w:rPr>
            </w:pP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File because XBRL tags are embedded within the Inline XBRL document.</w:t>
            </w:r>
          </w:p>
        </w:tc>
      </w:tr>
      <w:tr>
        <w:trPr>
          <w:trHeight w:val="21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r>
      <w:tr>
        <w:trPr>
          <w:trHeight w:val="32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Cover page Interactive Data File (embedded with the Inline XBRL document).</w:t>
            </w:r>
          </w:p>
        </w:tc>
      </w:tr>
    </w:tbl>
    <w:p>
      <w:pPr>
        <w:spacing w:after="0" w:line="200" w:lineRule="exact"/>
        <w:rPr>
          <w:sz w:val="20"/>
          <w:szCs w:val="20"/>
          <w:color w:val="auto"/>
        </w:rPr>
      </w:pP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-99060</wp:posOffset>
            </wp:positionV>
            <wp:extent cx="65468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163" w:lineRule="exact"/>
        <w:rPr>
          <w:sz w:val="20"/>
          <w:szCs w:val="20"/>
          <w:color w:val="auto"/>
        </w:rPr>
      </w:pPr>
    </w:p>
    <w:p>
      <w:pPr>
        <w:ind w:left="1160" w:right="1219" w:hanging="7"/>
        <w:spacing w:after="0" w:line="265" w:lineRule="auto"/>
        <w:tabs>
          <w:tab w:leader="none" w:pos="126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460375</wp:posOffset>
            </wp:positionV>
            <wp:extent cx="560387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1160" w:right="119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9"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RxSight, Inc.</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5, 2025</w:t>
            </w: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By:</w:t>
            </w:r>
          </w:p>
        </w:tc>
        <w:tc>
          <w:tcPr>
            <w:tcW w:w="25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 Ron Kurtz, M.D.</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tcPr>
          <w:p>
            <w:pPr>
              <w:jc w:val="center"/>
              <w:ind w:right="248"/>
              <w:spacing w:after="0" w:line="148" w:lineRule="exact"/>
              <w:rPr>
                <w:sz w:val="20"/>
                <w:szCs w:val="20"/>
                <w:color w:val="auto"/>
              </w:rPr>
            </w:pPr>
            <w:r>
              <w:rPr>
                <w:rFonts w:ascii="Times New Roman" w:cs="Times New Roman" w:eastAsia="Times New Roman" w:hAnsi="Times New Roman"/>
                <w:sz w:val="14"/>
                <w:szCs w:val="14"/>
                <w:color w:val="auto"/>
              </w:rPr>
              <w:t>Ron Kurtz, M.D.</w:t>
            </w:r>
          </w:p>
        </w:tc>
        <w:tc>
          <w:tcPr>
            <w:tcW w:w="0" w:type="dxa"/>
            <w:vAlign w:val="bottom"/>
          </w:tcPr>
          <w:p>
            <w:pPr>
              <w:spacing w:after="0"/>
              <w:rPr>
                <w:sz w:val="1"/>
                <w:szCs w:val="1"/>
                <w:color w:val="auto"/>
              </w:rPr>
            </w:pPr>
          </w:p>
        </w:tc>
      </w:tr>
      <w:tr>
        <w:trPr>
          <w:trHeight w:val="172"/>
        </w:trPr>
        <w:tc>
          <w:tcPr>
            <w:tcW w:w="2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Chief Executive Officer and President</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344"/>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November 5, 2025</w:t>
            </w: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By:</w:t>
            </w:r>
          </w:p>
        </w:tc>
        <w:tc>
          <w:tcPr>
            <w:tcW w:w="254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color w:val="auto"/>
              </w:rPr>
              <w:t>/s/ Shelley Thunen</w:t>
            </w:r>
          </w:p>
        </w:tc>
        <w:tc>
          <w:tcPr>
            <w:tcW w:w="0" w:type="dxa"/>
            <w:vAlign w:val="bottom"/>
          </w:tcPr>
          <w:p>
            <w:pPr>
              <w:spacing w:after="0"/>
              <w:rPr>
                <w:sz w:val="1"/>
                <w:szCs w:val="1"/>
                <w:color w:val="auto"/>
              </w:rPr>
            </w:pPr>
          </w:p>
        </w:tc>
      </w:tr>
      <w:tr>
        <w:trPr>
          <w:trHeight w:val="75"/>
        </w:trPr>
        <w:tc>
          <w:tcPr>
            <w:tcW w:w="23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-5715</wp:posOffset>
            </wp:positionV>
            <wp:extent cx="178689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4"/>
          <w:szCs w:val="14"/>
          <w:color w:val="auto"/>
        </w:rPr>
        <w:t>Shelley Thunen</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Co- President and Chief Financial Officer</w:t>
      </w:r>
    </w:p>
    <w:p>
      <w:pPr>
        <w:spacing w:after="0" w:line="1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460375</wp:posOffset>
            </wp:positionV>
            <wp:extent cx="560387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99" w:name="page100"/>
    <w:bookmarkEnd w:id="99"/>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3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Ron Kurtz, M.D., certify that:</w:t>
      </w:r>
    </w:p>
    <w:p>
      <w:pPr>
        <w:spacing w:after="0" w:line="183" w:lineRule="exact"/>
        <w:rPr>
          <w:sz w:val="20"/>
          <w:szCs w:val="20"/>
          <w:color w:val="auto"/>
        </w:rPr>
      </w:pPr>
    </w:p>
    <w:p>
      <w:pPr>
        <w:ind w:left="960" w:hanging="322"/>
        <w:spacing w:after="0"/>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RxSight, Inc.;</w:t>
      </w:r>
    </w:p>
    <w:p>
      <w:pPr>
        <w:spacing w:after="0" w:line="182" w:lineRule="exact"/>
        <w:rPr>
          <w:rFonts w:ascii="Times New Roman" w:cs="Times New Roman" w:eastAsia="Times New Roman" w:hAnsi="Times New Roman"/>
          <w:sz w:val="14"/>
          <w:szCs w:val="14"/>
          <w:color w:val="auto"/>
        </w:rPr>
      </w:pPr>
    </w:p>
    <w:p>
      <w:pPr>
        <w:ind w:left="960" w:right="859" w:hanging="322"/>
        <w:spacing w:after="0" w:line="274" w:lineRule="auto"/>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60" w:right="919" w:hanging="322"/>
        <w:spacing w:after="0" w:line="274" w:lineRule="auto"/>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60" w:right="719" w:hanging="322"/>
        <w:spacing w:after="0" w:line="274" w:lineRule="auto"/>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60" w:right="939" w:hanging="400"/>
        <w:spacing w:after="0" w:line="268" w:lineRule="auto"/>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360" w:right="879" w:hanging="400"/>
        <w:spacing w:after="0" w:line="274" w:lineRule="auto"/>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60" w:right="779" w:hanging="400"/>
        <w:spacing w:after="0" w:line="274" w:lineRule="auto"/>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60" w:right="859" w:hanging="400"/>
        <w:spacing w:after="0" w:line="268" w:lineRule="auto"/>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960" w:right="979" w:hanging="322"/>
        <w:spacing w:after="0" w:line="274" w:lineRule="auto"/>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60" w:right="719" w:hanging="400"/>
        <w:spacing w:after="0" w:line="274" w:lineRule="auto"/>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60" w:right="1019" w:hanging="400"/>
        <w:spacing w:after="0" w:line="292" w:lineRule="auto"/>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640"/>
        <w:spacing w:after="0"/>
        <w:tabs>
          <w:tab w:leader="none" w:pos="4540" w:val="left"/>
          <w:tab w:leader="none" w:pos="5980" w:val="left"/>
        </w:tabs>
        <w:rPr>
          <w:sz w:val="20"/>
          <w:szCs w:val="20"/>
          <w:color w:val="auto"/>
        </w:rPr>
      </w:pPr>
      <w:r>
        <w:rPr>
          <w:rFonts w:ascii="Times New Roman" w:cs="Times New Roman" w:eastAsia="Times New Roman" w:hAnsi="Times New Roman"/>
          <w:sz w:val="14"/>
          <w:szCs w:val="14"/>
          <w:color w:val="auto"/>
        </w:rPr>
        <w:t>Date: November 5,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16510</wp:posOffset>
            </wp:positionV>
            <wp:extent cx="226377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Ron Kurtz, M.D.</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704215</wp:posOffset>
            </wp:positionV>
            <wp:extent cx="560387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0" w:name="page101"/>
    <w:bookmarkEnd w:id="10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Shelley Thunen, certify that:</w:t>
      </w:r>
    </w:p>
    <w:p>
      <w:pPr>
        <w:spacing w:after="0" w:line="183" w:lineRule="exact"/>
        <w:rPr>
          <w:sz w:val="20"/>
          <w:szCs w:val="20"/>
          <w:color w:val="auto"/>
        </w:rPr>
      </w:pPr>
    </w:p>
    <w:p>
      <w:pPr>
        <w:ind w:left="960" w:hanging="322"/>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RxSight, Inc.;</w:t>
      </w:r>
    </w:p>
    <w:p>
      <w:pPr>
        <w:spacing w:after="0" w:line="182" w:lineRule="exact"/>
        <w:rPr>
          <w:rFonts w:ascii="Times New Roman" w:cs="Times New Roman" w:eastAsia="Times New Roman" w:hAnsi="Times New Roman"/>
          <w:sz w:val="14"/>
          <w:szCs w:val="14"/>
          <w:color w:val="auto"/>
        </w:rPr>
      </w:pPr>
    </w:p>
    <w:p>
      <w:pPr>
        <w:ind w:left="960" w:right="859" w:hanging="322"/>
        <w:spacing w:after="0" w:line="274" w:lineRule="auto"/>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60" w:right="919" w:hanging="322"/>
        <w:spacing w:after="0" w:line="274" w:lineRule="auto"/>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60" w:right="719" w:hanging="322"/>
        <w:spacing w:after="0" w:line="274" w:lineRule="auto"/>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60" w:right="939" w:hanging="400"/>
        <w:spacing w:after="0" w:line="268" w:lineRule="auto"/>
        <w:tabs>
          <w:tab w:leader="none" w:pos="13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360" w:right="879" w:hanging="400"/>
        <w:spacing w:after="0" w:line="274" w:lineRule="auto"/>
        <w:tabs>
          <w:tab w:leader="none" w:pos="13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60" w:right="779" w:hanging="400"/>
        <w:spacing w:after="0" w:line="274" w:lineRule="auto"/>
        <w:tabs>
          <w:tab w:leader="none" w:pos="13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60" w:right="859" w:hanging="400"/>
        <w:spacing w:after="0" w:line="268" w:lineRule="auto"/>
        <w:tabs>
          <w:tab w:leader="none" w:pos="13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960" w:right="979" w:hanging="322"/>
        <w:spacing w:after="0" w:line="274" w:lineRule="auto"/>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60" w:right="719" w:hanging="400"/>
        <w:spacing w:after="0" w:line="274" w:lineRule="auto"/>
        <w:tabs>
          <w:tab w:leader="none" w:pos="13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60" w:right="1019" w:hanging="400"/>
        <w:spacing w:after="0" w:line="292" w:lineRule="auto"/>
        <w:tabs>
          <w:tab w:leader="none" w:pos="13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640"/>
        <w:spacing w:after="0"/>
        <w:tabs>
          <w:tab w:leader="none" w:pos="4540" w:val="left"/>
          <w:tab w:leader="none" w:pos="6020" w:val="left"/>
        </w:tabs>
        <w:rPr>
          <w:sz w:val="20"/>
          <w:szCs w:val="20"/>
          <w:color w:val="auto"/>
        </w:rPr>
      </w:pPr>
      <w:r>
        <w:rPr>
          <w:rFonts w:ascii="Times New Roman" w:cs="Times New Roman" w:eastAsia="Times New Roman" w:hAnsi="Times New Roman"/>
          <w:sz w:val="14"/>
          <w:szCs w:val="14"/>
          <w:color w:val="auto"/>
        </w:rPr>
        <w:t>Date: November 5,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16510</wp:posOffset>
            </wp:positionV>
            <wp:extent cx="226377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Shelley Thunen</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Co-President and Chief Financial Officer</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704215</wp:posOffset>
            </wp:positionV>
            <wp:extent cx="560387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1" w:name="page102"/>
    <w:bookmarkEnd w:id="10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RxSight, Inc. (the “Company”) on Form 10-Q for the quarterly period ended September 30, 2025, as filed with the Securities and Exchange Commission on the date hereof (the “Report”), I, Ron Kurtz, M.D., Chief Executive Officer of the Company, certify, pursuant to 18 U.S.C. §1350, as adopted pursuant to §906 of the Sarbanes-Oxley Act of 2002, that, to my knowledge:</w:t>
      </w:r>
    </w:p>
    <w:p>
      <w:pPr>
        <w:spacing w:after="0" w:line="312" w:lineRule="exact"/>
        <w:rPr>
          <w:sz w:val="20"/>
          <w:szCs w:val="20"/>
          <w:color w:val="auto"/>
        </w:rPr>
      </w:pPr>
    </w:p>
    <w:p>
      <w:pPr>
        <w:ind w:left="1360" w:hanging="400"/>
        <w:spacing w:after="0"/>
        <w:tabs>
          <w:tab w:leader="none" w:pos="13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1340" w:right="999" w:hanging="391"/>
        <w:spacing w:after="0" w:line="292" w:lineRule="auto"/>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p>
      <w:pPr>
        <w:ind w:left="640"/>
        <w:spacing w:after="0"/>
        <w:tabs>
          <w:tab w:leader="none" w:pos="4540" w:val="left"/>
          <w:tab w:leader="none" w:pos="5980" w:val="left"/>
        </w:tabs>
        <w:rPr>
          <w:sz w:val="20"/>
          <w:szCs w:val="20"/>
          <w:color w:val="auto"/>
        </w:rPr>
      </w:pPr>
      <w:r>
        <w:rPr>
          <w:rFonts w:ascii="Times New Roman" w:cs="Times New Roman" w:eastAsia="Times New Roman" w:hAnsi="Times New Roman"/>
          <w:sz w:val="14"/>
          <w:szCs w:val="14"/>
          <w:color w:val="auto"/>
        </w:rPr>
        <w:t>Date: November 5,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Ron Kurtz, M.D.</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594995</wp:posOffset>
            </wp:positionV>
            <wp:extent cx="560387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2" w:name="page103"/>
    <w:bookmarkEnd w:id="10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RxSight, Inc. (the “Company”) on Form 10-Q for the quarterly period ended September 30, 2025, as filed with the Securities and Exchange Commission on the date hereof (the “Report”), I, Shelley Thunen, Chief Financial Officer of the Company, certify, pursuant to 18 U.S.C. §1350, as adopted pursuant to §906 of the Sarbanes-Oxley Act of 2002, that, to my knowledge:</w:t>
      </w:r>
    </w:p>
    <w:p>
      <w:pPr>
        <w:spacing w:after="0" w:line="140" w:lineRule="exact"/>
        <w:rPr>
          <w:sz w:val="20"/>
          <w:szCs w:val="20"/>
          <w:color w:val="auto"/>
        </w:rPr>
      </w:pPr>
    </w:p>
    <w:p>
      <w:pPr>
        <w:ind w:left="1360" w:hanging="400"/>
        <w:spacing w:after="0"/>
        <w:tabs>
          <w:tab w:leader="none" w:pos="13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1360" w:right="979" w:hanging="400"/>
        <w:spacing w:after="0" w:line="292" w:lineRule="auto"/>
        <w:tabs>
          <w:tab w:leader="none" w:pos="13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24" w:lineRule="exact"/>
        <w:rPr>
          <w:sz w:val="20"/>
          <w:szCs w:val="20"/>
          <w:color w:val="auto"/>
        </w:rPr>
      </w:pPr>
    </w:p>
    <w:p>
      <w:pPr>
        <w:ind w:left="640"/>
        <w:spacing w:after="0"/>
        <w:tabs>
          <w:tab w:leader="none" w:pos="4540" w:val="left"/>
          <w:tab w:leader="none" w:pos="6020" w:val="left"/>
        </w:tabs>
        <w:rPr>
          <w:sz w:val="20"/>
          <w:szCs w:val="20"/>
          <w:color w:val="auto"/>
        </w:rPr>
      </w:pPr>
      <w:r>
        <w:rPr>
          <w:rFonts w:ascii="Times New Roman" w:cs="Times New Roman" w:eastAsia="Times New Roman" w:hAnsi="Times New Roman"/>
          <w:sz w:val="14"/>
          <w:szCs w:val="14"/>
          <w:color w:val="auto"/>
        </w:rPr>
        <w:t>Date: November 5,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Shelley Thunen</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Co-President and Chief Financial Officer</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922020</wp:posOffset>
            </wp:positionV>
            <wp:extent cx="560387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3" w:name="page104"/>
    <w:bookmarkEnd w:id="1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decimal"/>
      <w:start w:val="1"/>
    </w:lvl>
  </w:abstractNum>
  <w:abstractNum w:abstractNumId="49">
    <w:nsid w:val="3DC240FB"/>
    <w:multiLevelType w:val="hybridMultilevel"/>
    <w:lvl w:ilvl="0">
      <w:lvlJc w:val="left"/>
      <w:lvlText w:val="%1."/>
      <w:numFmt w:val="decimal"/>
      <w:start w:val="2"/>
    </w:lvl>
    <w:lvl w:ilvl="1">
      <w:lvlJc w:val="left"/>
      <w:lvlText w:val="%2"/>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2025-11-05T15:34:37Z</dcterms:created>
  <dcterms:modified xsi:type="dcterms:W3CDTF">2025-11-05T15:34:37Z</dcterms:modified>
</cp:coreProperties>
</file>