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RxSight, Inc.</w:t>
      </w:r>
    </w:p>
    <w:p>
      <w:pPr>
        <w:sectPr>
          <w:pgSz w:w="11900" w:h="16838" w:orient="portrait"/>
          <w:cols w:equalWidth="0" w:num="1">
            <w:col w:w="11240"/>
          </w:cols>
          <w:pgMar w:left="320" w:top="580"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94-3268801</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580" w:right="339" w:bottom="1440" w:gutter="0" w:footer="0" w:header="0"/>
          <w:type w:val="continuous"/>
        </w:sectPr>
      </w:pPr>
    </w:p>
    <w:p>
      <w:pPr>
        <w:ind w:left="2280"/>
        <w:spacing w:after="0"/>
        <w:rPr>
          <w:sz w:val="20"/>
          <w:szCs w:val="20"/>
          <w:color w:val="auto"/>
        </w:rPr>
      </w:pPr>
      <w:r>
        <w:rPr>
          <w:rFonts w:ascii="Arial" w:cs="Arial" w:eastAsia="Arial" w:hAnsi="Arial"/>
          <w:sz w:val="18"/>
          <w:szCs w:val="18"/>
          <w:b w:val="1"/>
          <w:bCs w:val="1"/>
          <w:color w:val="auto"/>
        </w:rPr>
        <w:t>100 Columbia</w:t>
      </w:r>
    </w:p>
    <w:p>
      <w:pPr>
        <w:ind w:left="1960"/>
        <w:spacing w:after="0"/>
        <w:tabs>
          <w:tab w:leader="none" w:pos="8180" w:val="left"/>
        </w:tabs>
        <w:rPr>
          <w:sz w:val="20"/>
          <w:szCs w:val="20"/>
          <w:color w:val="auto"/>
        </w:rPr>
      </w:pPr>
      <w:r>
        <w:rPr>
          <w:rFonts w:ascii="Arial" w:cs="Arial" w:eastAsia="Arial" w:hAnsi="Arial"/>
          <w:sz w:val="18"/>
          <w:szCs w:val="18"/>
          <w:b w:val="1"/>
          <w:bCs w:val="1"/>
          <w:color w:val="auto"/>
        </w:rPr>
        <w:t>Aliso Viejo, California</w:t>
      </w:r>
      <w:r>
        <w:rPr>
          <w:sz w:val="20"/>
          <w:szCs w:val="20"/>
          <w:color w:val="auto"/>
        </w:rPr>
        <w:tab/>
      </w:r>
      <w:r>
        <w:rPr>
          <w:rFonts w:ascii="Arial" w:cs="Arial" w:eastAsia="Arial" w:hAnsi="Arial"/>
          <w:sz w:val="16"/>
          <w:szCs w:val="16"/>
          <w:b w:val="1"/>
          <w:bCs w:val="1"/>
          <w:color w:val="auto"/>
        </w:rPr>
        <w:t>92656</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0"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RXST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4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4"/>
          <w:szCs w:val="24"/>
          <w:color w:val="auto"/>
        </w:rPr>
      </w:pPr>
    </w:p>
    <w:p>
      <w:pPr>
        <w:ind w:right="100"/>
        <w:spacing w:after="0" w:line="252"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Market on December 31, 2021 was approximately $236 million. The Registrant has elected to use December 31, 2021, which was the last business day of the Registrant’s most recently completed fiscal year, as the calculation date because on June 30, 2021 (the last business day of the Registrant’s mostly recently completed second fiscal quarter), the Registrant was a privately-held company.</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15, 2022 was 27,417,993.</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200"/>
        <w:spacing w:after="0" w:line="273" w:lineRule="auto"/>
        <w:rPr>
          <w:sz w:val="20"/>
          <w:szCs w:val="20"/>
          <w:color w:val="auto"/>
        </w:rPr>
      </w:pPr>
      <w:r>
        <w:rPr>
          <w:rFonts w:ascii="Arial" w:cs="Arial" w:eastAsia="Arial" w:hAnsi="Arial"/>
          <w:sz w:val="14"/>
          <w:szCs w:val="14"/>
          <w:color w:val="auto"/>
        </w:rPr>
        <w:t>The Registrant intends to file a definitive proxy statement pursuant to Regulation 14A within 120 days of the end of the fiscal year ended December 31, 2021. Portions of such definitive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21"/>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100">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 w:type="dxa"/>
            <w:vAlign w:val="bottom"/>
            <w:gridSpan w:val="4"/>
          </w:tcPr>
          <w:p>
            <w:pPr>
              <w:spacing w:after="0" w:line="169" w:lineRule="exact"/>
              <w:rPr>
                <w:rFonts w:ascii="Arial" w:cs="Arial" w:eastAsia="Arial" w:hAnsi="Arial"/>
                <w:sz w:val="18"/>
                <w:szCs w:val="18"/>
                <w:color w:val="0000FF"/>
                <w:w w:val="96"/>
              </w:rPr>
            </w:pPr>
            <w:hyperlink w:anchor="page100">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40" w:type="dxa"/>
            <w:vAlign w:val="bottom"/>
            <w:gridSpan w:val="9"/>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21"/>
          </w:tcPr>
          <w:p>
            <w:pPr>
              <w:spacing w:after="0" w:line="190" w:lineRule="exact"/>
              <w:rPr>
                <w:rFonts w:ascii="Arial" w:cs="Arial" w:eastAsia="Arial" w:hAnsi="Arial"/>
                <w:sz w:val="18"/>
                <w:szCs w:val="18"/>
                <w:color w:val="0000FF"/>
              </w:rPr>
            </w:pPr>
            <w:hyperlink w:anchor="page101">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80" w:type="dxa"/>
            <w:vAlign w:val="bottom"/>
            <w:gridSpan w:val="20"/>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[Reserved]</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8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460" w:type="dxa"/>
            <w:vAlign w:val="bottom"/>
            <w:gridSpan w:val="17"/>
          </w:tcPr>
          <w:p>
            <w:pPr>
              <w:spacing w:after="0" w:line="169" w:lineRule="exact"/>
              <w:rPr>
                <w:rFonts w:ascii="Arial" w:cs="Arial" w:eastAsia="Arial" w:hAnsi="Arial"/>
                <w:sz w:val="18"/>
                <w:szCs w:val="18"/>
                <w:color w:val="0000FF"/>
              </w:rPr>
            </w:pPr>
            <w:hyperlink w:anchor="page115">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360" w:type="dxa"/>
            <w:vAlign w:val="bottom"/>
            <w:gridSpan w:val="14"/>
          </w:tcPr>
          <w:p>
            <w:pPr>
              <w:spacing w:after="0" w:line="169" w:lineRule="exact"/>
              <w:rPr>
                <w:rFonts w:ascii="Arial" w:cs="Arial" w:eastAsia="Arial" w:hAnsi="Arial"/>
                <w:sz w:val="18"/>
                <w:szCs w:val="18"/>
                <w:color w:val="0000FF"/>
              </w:rPr>
            </w:pPr>
            <w:hyperlink w:anchor="page116">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51">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520" w:type="dxa"/>
            <w:vAlign w:val="bottom"/>
            <w:gridSpan w:val="18"/>
          </w:tcPr>
          <w:p>
            <w:pPr>
              <w:spacing w:after="0" w:line="169" w:lineRule="exact"/>
              <w:rPr>
                <w:rFonts w:ascii="Arial" w:cs="Arial" w:eastAsia="Arial" w:hAnsi="Arial"/>
                <w:sz w:val="18"/>
                <w:szCs w:val="18"/>
                <w:color w:val="0000FF"/>
              </w:rPr>
            </w:pPr>
            <w:hyperlink w:anchor="page151">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80" w:type="dxa"/>
            <w:vAlign w:val="bottom"/>
            <w:gridSpan w:val="7"/>
          </w:tcPr>
          <w:p>
            <w:pPr>
              <w:spacing w:after="0" w:line="169" w:lineRule="exact"/>
              <w:rPr>
                <w:rFonts w:ascii="Arial" w:cs="Arial" w:eastAsia="Arial" w:hAnsi="Arial"/>
                <w:sz w:val="18"/>
                <w:szCs w:val="18"/>
                <w:color w:val="0000FF"/>
              </w:rPr>
            </w:pPr>
            <w:hyperlink w:anchor="page152">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52">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21"/>
          </w:tcPr>
          <w:p>
            <w:pPr>
              <w:spacing w:after="0" w:line="190" w:lineRule="exact"/>
              <w:rPr>
                <w:rFonts w:ascii="Arial" w:cs="Arial" w:eastAsia="Arial" w:hAnsi="Arial"/>
                <w:sz w:val="18"/>
                <w:szCs w:val="18"/>
                <w:color w:val="0000FF"/>
              </w:rPr>
            </w:pPr>
            <w:hyperlink w:anchor="page153">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100" w:type="dxa"/>
            <w:vAlign w:val="bottom"/>
            <w:gridSpan w:val="13"/>
          </w:tcPr>
          <w:p>
            <w:pPr>
              <w:spacing w:after="0" w:line="169" w:lineRule="exact"/>
              <w:rPr>
                <w:rFonts w:ascii="Arial" w:cs="Arial" w:eastAsia="Arial" w:hAnsi="Arial"/>
                <w:sz w:val="18"/>
                <w:szCs w:val="18"/>
                <w:color w:val="0000FF"/>
              </w:rPr>
            </w:pPr>
            <w:hyperlink w:anchor="page153">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153">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820" w:type="dxa"/>
            <w:vAlign w:val="bottom"/>
            <w:gridSpan w:val="8"/>
          </w:tcPr>
          <w:p>
            <w:pPr>
              <w:spacing w:after="0" w:line="169" w:lineRule="exact"/>
              <w:rPr>
                <w:rFonts w:ascii="Arial" w:cs="Arial" w:eastAsia="Arial" w:hAnsi="Arial"/>
                <w:sz w:val="18"/>
                <w:szCs w:val="18"/>
                <w:color w:val="0000FF"/>
              </w:rPr>
            </w:pPr>
            <w:hyperlink w:anchor="page153">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300" w:type="dxa"/>
            <w:vAlign w:val="bottom"/>
            <w:gridSpan w:val="19"/>
          </w:tcPr>
          <w:p>
            <w:pPr>
              <w:spacing w:after="0" w:line="169" w:lineRule="exact"/>
              <w:rPr>
                <w:rFonts w:ascii="Arial" w:cs="Arial" w:eastAsia="Arial" w:hAnsi="Arial"/>
                <w:sz w:val="18"/>
                <w:szCs w:val="18"/>
                <w:color w:val="0000FF"/>
              </w:rPr>
            </w:pPr>
            <w:hyperlink w:anchor="page153">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460" w:type="dxa"/>
            <w:vAlign w:val="bottom"/>
            <w:gridSpan w:val="16"/>
          </w:tcPr>
          <w:p>
            <w:pPr>
              <w:spacing w:after="0" w:line="169" w:lineRule="exact"/>
              <w:rPr>
                <w:rFonts w:ascii="Arial" w:cs="Arial" w:eastAsia="Arial" w:hAnsi="Arial"/>
                <w:sz w:val="18"/>
                <w:szCs w:val="18"/>
                <w:color w:val="0000FF"/>
              </w:rPr>
            </w:pPr>
            <w:hyperlink w:anchor="page153">
              <w:r>
                <w:rPr>
                  <w:rFonts w:ascii="Arial" w:cs="Arial" w:eastAsia="Arial" w:hAnsi="Arial"/>
                  <w:sz w:val="18"/>
                  <w:szCs w:val="18"/>
                  <w:color w:val="0000FF"/>
                </w:rPr>
                <w:t>Principal Accounting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21"/>
          </w:tcPr>
          <w:p>
            <w:pPr>
              <w:spacing w:after="0" w:line="190" w:lineRule="exact"/>
              <w:rPr>
                <w:rFonts w:ascii="Arial" w:cs="Arial" w:eastAsia="Arial" w:hAnsi="Arial"/>
                <w:sz w:val="18"/>
                <w:szCs w:val="18"/>
                <w:color w:val="0000FF"/>
              </w:rPr>
            </w:pPr>
            <w:hyperlink w:anchor="page154">
              <w:r>
                <w:rPr>
                  <w:rFonts w:ascii="Arial" w:cs="Arial" w:eastAsia="Arial" w:hAnsi="Arial"/>
                  <w:sz w:val="18"/>
                  <w:szCs w:val="18"/>
                  <w:color w:val="0000FF"/>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900" w:type="dxa"/>
            <w:vAlign w:val="bottom"/>
            <w:gridSpan w:val="11"/>
          </w:tcPr>
          <w:p>
            <w:pPr>
              <w:spacing w:after="0" w:line="169" w:lineRule="exact"/>
              <w:rPr>
                <w:rFonts w:ascii="Arial" w:cs="Arial" w:eastAsia="Arial" w:hAnsi="Arial"/>
                <w:sz w:val="18"/>
                <w:szCs w:val="18"/>
                <w:color w:val="0000FF"/>
              </w:rPr>
            </w:pPr>
            <w:hyperlink w:anchor="page157">
              <w:r>
                <w:rPr>
                  <w:rFonts w:ascii="Arial" w:cs="Arial" w:eastAsia="Arial" w:hAnsi="Arial"/>
                  <w:sz w:val="18"/>
                  <w:szCs w:val="18"/>
                  <w:color w:val="0000FF"/>
                </w:rPr>
                <w:t>Form 10-K Summary</w:t>
              </w:r>
            </w:hyperlink>
          </w:p>
        </w:tc>
        <w:tc>
          <w:tcPr>
            <w:tcW w:w="630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The following discussion and analysis should be read together with our consolidated financial statements and the notes to those statements included elsewhere in this Annual Report on Form 10-K. 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Annual Report on Form 10-K, “we,” “us” and “our” refer to RxSight, Inc.</w:t>
      </w:r>
    </w:p>
    <w:p>
      <w:pPr>
        <w:spacing w:after="0" w:line="189"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The forward-looking statements are contained principally in the section entitled “Risk Factors” in Part I, Item 1A of this Annual Report on Form 10-K and “Management’s Discussion and Analysis of Financial Condition and Results of Operations” in Part II, Item 7 of this Annual Report on Form 10-K. Forward-looking statements include, but are not limited to, statements concerning the following:</w:t>
      </w:r>
    </w:p>
    <w:p>
      <w:pPr>
        <w:spacing w:after="0" w:line="7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conduct further clinical trials and any expectations related to such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expected timeline related to our products, or developing new products, to address additional indications or otherwise;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use of our products by doctors;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and expand regulatory clearances for our products and any new products we create;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growth of our business and our organization;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regarding investment in our business as we pursue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uses of our existing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regarding government and third-party payer coverage and reimbursement;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recruit key personnel, including the continued development of a sales and marketing infrastructure;</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 adequate supply of materials and components for our products from our third-party suppliers, including single- and sole-source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products with sufficient quality;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maintain and enforce intellectual property protection for our products and protect our intellectual property rights;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business into new geographic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SEC rules and Nasdaq continued listing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existing and future government laws, rules and regulations both in the United States and internationally;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allocation of resources toward expenses associated with being a public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 for, or ability to obtain, additional financing;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 a smaller reporting company under the Exchange Act;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and develop new and planned products and/or acquire new products;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and projections relating to our competitors or our industry, including anticipated growth rates for the conventional and premium IOL markets;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including currently known and unknown coronavirus variants, as applied to our business.</w:t>
      </w:r>
    </w:p>
    <w:p>
      <w:pPr>
        <w:spacing w:after="0" w:line="144"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101"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00" w:lineRule="exact"/>
        <w:rPr>
          <w:sz w:val="20"/>
          <w:szCs w:val="20"/>
          <w:color w:val="auto"/>
        </w:rPr>
      </w:pPr>
    </w:p>
    <w:p>
      <w:pPr>
        <w:ind w:right="420" w:firstLine="374"/>
        <w:spacing w:after="0" w:line="270"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96" w:lineRule="exact"/>
        <w:rPr>
          <w:sz w:val="20"/>
          <w:szCs w:val="20"/>
          <w:color w:val="auto"/>
        </w:rPr>
      </w:pPr>
    </w:p>
    <w:p>
      <w:pPr>
        <w:ind w:right="20" w:firstLine="374"/>
        <w:spacing w:after="0" w:line="254"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Financial Statements, which have been prepared in accordance with generally accepted accounting principles in the United States, or GAAP. The preparation of these financial statements requires us to make estimates and judgments that affect the reported amounts of assets, liabilities, revenues and expenses. On an ongoing basis, we evaluate our estimates including those related to revenue recognition; valuation of the Company’s common stock, warrants and other equity awards; estimated probability and timing of redemption of equity instruments,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w:t>
      </w:r>
    </w:p>
    <w:p>
      <w:pPr>
        <w:spacing w:after="0" w:line="100" w:lineRule="exact"/>
        <w:rPr>
          <w:sz w:val="20"/>
          <w:szCs w:val="20"/>
          <w:color w:val="auto"/>
        </w:rPr>
      </w:pPr>
    </w:p>
    <w:p>
      <w:pPr>
        <w:ind w:right="120" w:firstLine="374"/>
        <w:spacing w:after="0"/>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2" w:lineRule="exact"/>
        <w:rPr>
          <w:sz w:val="20"/>
          <w:szCs w:val="20"/>
          <w:color w:val="auto"/>
        </w:rPr>
      </w:pPr>
    </w:p>
    <w:p>
      <w:pPr>
        <w:ind w:right="400" w:firstLine="374"/>
        <w:spacing w:after="0" w:line="241" w:lineRule="auto"/>
        <w:rPr>
          <w:sz w:val="20"/>
          <w:szCs w:val="20"/>
          <w:color w:val="auto"/>
        </w:rPr>
      </w:pPr>
      <w:r>
        <w:rPr>
          <w:rFonts w:ascii="Arial" w:cs="Arial" w:eastAsia="Arial" w:hAnsi="Arial"/>
          <w:sz w:val="18"/>
          <w:szCs w:val="18"/>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374"/>
        <w:spacing w:after="0" w:line="251" w:lineRule="auto"/>
        <w:rPr>
          <w:sz w:val="20"/>
          <w:szCs w:val="20"/>
          <w:color w:val="auto"/>
        </w:rPr>
      </w:pPr>
      <w:r>
        <w:rPr>
          <w:rFonts w:ascii="Arial" w:cs="Arial" w:eastAsia="Arial" w:hAnsi="Arial"/>
          <w:sz w:val="17"/>
          <w:szCs w:val="17"/>
          <w:color w:val="auto"/>
        </w:rPr>
        <w:t>We are a commercial-stage medical technology company dedicated to improving the vision of patients following cataract surgery. Our proprietary RxSight Light Adjustable Lens system (“RxSight system”), comprised of our RxSight Light Adjustable Lens (“LAL”), RxSight Light Delivery Device (“LDD”) and accessories, is the first and only commercially available intraocular lens (“IOL”) technology that enables doctors to customize and optimize visual acuity for patients after cataract surgery. Our LAL is made of proprietary photosensitive material that changes shape in response to specific patterns of ultraviolet (“UV”) light generated by our LDD. With the RxSight system, the surgeon performs a standard cataract procedure to implant the LAL, determines refractive error with patient input after healing is complete, and then uses the LDD to modify the LAL with the exact amount of visual correction needed to achieve the patient’s desired vision outcomes. Alternative IOL technologies, in contrast, are not adjustable following the cataract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December 31, 2021, we had an installed base of 206 LDDs in ophthalmology practices and since our inception though December 31, 2021, surgeons have performed almost 17,000 surgeries with our RxSight system.</w:t>
      </w:r>
    </w:p>
    <w:p>
      <w:pPr>
        <w:spacing w:after="0" w:line="120" w:lineRule="exact"/>
        <w:rPr>
          <w:sz w:val="20"/>
          <w:szCs w:val="20"/>
          <w:color w:val="auto"/>
        </w:rPr>
      </w:pPr>
    </w:p>
    <w:p>
      <w:pPr>
        <w:ind w:firstLine="374"/>
        <w:spacing w:after="0" w:line="267" w:lineRule="auto"/>
        <w:rPr>
          <w:sz w:val="20"/>
          <w:szCs w:val="20"/>
          <w:color w:val="auto"/>
        </w:rPr>
      </w:pPr>
      <w:r>
        <w:rPr>
          <w:rFonts w:ascii="Arial" w:cs="Arial" w:eastAsia="Arial" w:hAnsi="Arial"/>
          <w:sz w:val="16"/>
          <w:szCs w:val="16"/>
          <w:color w:val="auto"/>
        </w:rPr>
        <w:t>Cataract surgery is the most common surgical procedure in the world, with approximately 29.7 million cataract surgeries performed worldwide in 2021, including 4.7 million in the United States. A cataract is a loss of transparency in the normally clear lens of the eye that can cause blurry or hazy vision, significantly interfering with daily activities and affecting quality of life. Cataracts increase in prevalence with age and develop in approximately 50% of individuals by age 60 affecting both eyes 80% to 90% of the time and requiring surgery to restore vision in most cases. During cataract surgery, the patient’s natural lens is replaced with a clear artificial lens called an intraocular lens (“IOL”). There are two broad categories of IOLs used, conventional and premium. Based on the category of IOL used, cataracts surgeries can be differentiated as either conventional or premium procedures. In conventional cataract surgery, patients receive conventional monofocal IOLs that are designed to provide vision at one distance, and do not correct for corneal astigmatism and presbyopia. Nearly all conventional IOL patients therefore will need spectacles to attain their best vision after surgery. With premium cataract surgery, patients receive premium IOLs designed to correct for corneal astigmatism and/or presbyopia and therefore to provide for reduced spectacle dependence. Because 60% of cataract patients rate being spectacle free after cataract surgery as extremely important, we believe the premium IOL market is underpenetrated. During 2021, according to the Market Scope 2021 Premium Cataract Surgery Market Report (the “Market Scope 2021 Premium Report”), premium IOL procedures performed were approximately 15% of all procedures performed in the United States and approximately 9% of the total procedures performed worldwide. According to the Market Scope 2021 Premium Report, total worldwide procedures increased approximately 36% from 2020 due to the COVID-19 pandemic negatively impacting procedures in 2020. Revenue for the premium IOL market was estimated to be $1.5 billion, or 31% of the total IOL market for 2021, due to higher lens pricing and increased procedures from 2020. In addition, the premium IOL market is projected to grow significantly faster as worldwide cataract procedure volumes return to pre COVID-19 levels. According to the Market Scope 2021 Premium Report, global premium cataract procedures are expected to grow at a compound annual growth rate (“CAGR”) of 10% from 2021 to 2026, however revenues are expected to grow at a CAGR of 12% from $1.5 billion in 2021 to a $2.7 billion in 2026 as compared to a 4% CAGR revenue growth for the conventional IOL market. Premium cataract procedures are between 10 and 15 times more profitable for the doctors and ophthalmology practices than conventional cataract procedures. The premium IOL market is also less impacted by changes in reimbursement rates because patients in most markets are required to pay out-of-pocket to cover the full or incremental costs of premium cataract procedures (depending on the country), while healthcare payors typically only cover the full cost of conventional cataract procedures.</w:t>
      </w:r>
    </w:p>
    <w:p>
      <w:pPr>
        <w:spacing w:after="0" w:line="305"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We believe that the premium cataract surgery market remains underpenetrated due to both doctors’ reluctance to recommend premium IOL offerings to the full universe of eligible patients and patients’ confusion in assessing</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 w:name="page6"/>
    <w:bookmarkEnd w:id="5"/>
    <w:p>
      <w:pPr>
        <w:ind w:right="40"/>
        <w:spacing w:after="0" w:line="257" w:lineRule="auto"/>
        <w:rPr>
          <w:sz w:val="20"/>
          <w:szCs w:val="20"/>
          <w:color w:val="auto"/>
        </w:rPr>
      </w:pPr>
      <w:r>
        <w:rPr>
          <w:rFonts w:ascii="Arial" w:cs="Arial" w:eastAsia="Arial" w:hAnsi="Arial"/>
          <w:sz w:val="17"/>
          <w:szCs w:val="17"/>
          <w:color w:val="auto"/>
        </w:rPr>
        <w:t>the tradeoffs associated with the wide range of competitive premium IOL offerings. We believe competitive premium IOL offerings often cannot deliver on patient expectations with respect to the patient’s ability to see at near and intermediate distances without reliance on spectacles. Once a patient has selected a competitive premium IOL, the surgeon must rely on a series of pre-operative diagnostic tests and predictive formulae to choose a lens that delivers the accuracy and outcomes desired by the patient. According to published clinical data from the pivotal studies of competitive premium IOL technologies, the percentage of patients that achieved 20/20 vision with both eyes at all distances was only 40%. As a result, doctors often lack confidence with competitive premium IOL offerings given their inability to meet patients’ expectations consistently.</w:t>
      </w:r>
    </w:p>
    <w:p>
      <w:pPr>
        <w:spacing w:after="0" w:line="94"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We designed our RxSight system to address the shortcomings of existing competitive premium IOL technologies and provide a solution that doctors can trust to improve visual outcomes. In contrast to competitive premium IOL solutions, for which patients are required (before surgery) to specify their visual priorities and willingness to accept optical trade-offs associated with those choices, our RxSight system offers peace of mind that patients can iterate their final vision characteristics with customized post-surgical adjustments. The surgeon first performs a standard cataract implant procedure, replacing the patient’s natural lens with the LAL. Approximately three weeks post cataract surgery, after healing has occurred, the patient undergoes a standard post-operative refraction to determine the refractive error and the prescription required to give the patient the best vision. This prescription is much like that used for spectacle lenses, but instead is used as an input to the LDD. To adjust the LAL, the patient is positioned at the LDD for a treatment that lasts between approximately 30 seconds and 2.5 minutes, depending on the required prescription. The patient returns after approximately three to five days, at which time they can undergo another refraction and adjustment, if needed, to “dial in” their best vision. Once the patient and the doctor are satisfied, then the adjustment is locked in for life with another light treatment. While up to three post-surgical adjustment visits are offered by the doctor, in our pivotal clinical study, patients had an average of 1.6 adjustments. While many patients choose to have both eyes corrected for distance, approximately 75% elect for what is called a blended vision approach that takes advantage of the LAL’s depth of focus to deliver a customized blended vision solution. By titrating the correction for near, intermediate or far in each eye, this approach provides the highest rates of excellent vision with both eyes at all distances.</w:t>
      </w:r>
    </w:p>
    <w:p>
      <w:pPr>
        <w:spacing w:after="0" w:line="100" w:lineRule="exact"/>
        <w:rPr>
          <w:sz w:val="20"/>
          <w:szCs w:val="20"/>
          <w:color w:val="auto"/>
        </w:rPr>
      </w:pPr>
    </w:p>
    <w:p>
      <w:pPr>
        <w:ind w:right="340" w:firstLine="374"/>
        <w:spacing w:after="0" w:line="261" w:lineRule="auto"/>
        <w:rPr>
          <w:sz w:val="20"/>
          <w:szCs w:val="20"/>
          <w:color w:val="auto"/>
        </w:rPr>
      </w:pPr>
      <w:r>
        <w:rPr>
          <w:rFonts w:ascii="Arial" w:cs="Arial" w:eastAsia="Arial" w:hAnsi="Arial"/>
          <w:sz w:val="18"/>
          <w:szCs w:val="18"/>
          <w:color w:val="auto"/>
        </w:rPr>
        <w:t>We believe the RxSight system offers significant advantages over other commercially available conventional and premium IOLs that will drive its broad adoption. The primary benefits of our solution include:</w:t>
      </w:r>
    </w:p>
    <w:p>
      <w:pPr>
        <w:spacing w:after="0" w:line="103"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and only IOL that can be customized after surgery and healing of the eye;</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doctors and patients with confidence in better visual outcomes and a low risk of side effects;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a precise treatment range and excellent vision rates with both eyes at all distances;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uses a familiar industry standard IOL implantation procedure and an IOL adjustment procedure that is easy-to-learn;</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allows patients to preview their vision selection prior to LAL adjustment;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a premium IOL alternative that can help doctors grow their practice revenues and profits.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RxSight system has FDA approval for the reduction of residual astigmatism to improve uncorrected visual acuity after removal of the cataractous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natural lens by phacoemulsification and implantation of the intraocular lens in the capsular bag, in adult patients with pre-existing corneal astigmatism of &gt;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0.75 diopters and without pre-existing macular disease. Our system has also received the CE mark and marketing approval in Mexico for improving</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uncorrected visual acuity by adjusting the LAL power to correct residual postoperative refractive error, including for -2.0 to + 2.0 diopters of sphere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-3.0 to -0.50 diopters of cylinder and by changing lens curvature to introduce controlled amounts of spherical aberration (+/- 1 micron) and center near add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(up to 2.0 diopters). We are currently focusing our commercial efforts in the United States. Our commercial strategy is focused on a “razor and razor blade”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model through which we aim to drive new customer adoption, which generally begins with the sale of an LDD, and then help the customer incorporate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LAL into their practice to drive utilization and premium procedure growth. We believe this commercial strategy over time may provide a degree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predictability in terms of our commercial growth and a consumable revenue stream from sales of our LALs. We are currently focused on driving adoption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 surgeons performing a high volume of premium cataract procedures. According to the 2021 Premium Cataract Surgery Market Report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10,000 surgeons perform cataract surgeries in the United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6"/>
          <w:szCs w:val="16"/>
          <w:color w:val="auto"/>
        </w:rPr>
        <w:t>States and we estimate that as many as 3,000 surgeons performed approximately 70% to 80% of the premium procedures in the United States in 2021. We believe this provides an attractive and concentrated market opportunity addressable with a focused sales force. We currently employ a sales team that, as of December 31, 2021, includes 18 LDD sales personnel and 14 LAL sales personnel, and a group of 55 clinical specialists, field service, customer service, and marketing personnel. While we intend to initially focus our growing commercial efforts in the United States, in the future, we may selectively pursue commercial expansion in Canada, Japan, Europe, Australia or other geographies with significant market opportunity for premium IOLs.</w:t>
      </w:r>
    </w:p>
    <w:p>
      <w:pPr>
        <w:spacing w:after="0" w:line="78"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Our near-term research and development activities are focused on enhancements to the RxSight system to improve the patient and doctor experience, expand the range of patients that can be treated as well as expand its indications. We believe that over time, our adjustable lens solution can be used to address a broad range of cataract surgery patients, including those that would otherwise elect for a conventional cataract procedure today. Our vision is that a vast majority of the patients and surgeons that undergo or perform a cataract surgery procedure, will elect to use our RxSight technology that provides a customizable solution delivering better visual outcomes.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factors</w:t>
      </w:r>
    </w:p>
    <w:p>
      <w:pPr>
        <w:spacing w:after="0" w:line="108" w:lineRule="exact"/>
        <w:rPr>
          <w:sz w:val="20"/>
          <w:szCs w:val="20"/>
          <w:color w:val="auto"/>
        </w:rPr>
      </w:pPr>
    </w:p>
    <w:p>
      <w:pPr>
        <w:ind w:right="340" w:firstLine="374"/>
        <w:spacing w:after="0" w:line="324" w:lineRule="auto"/>
        <w:rPr>
          <w:sz w:val="20"/>
          <w:szCs w:val="20"/>
          <w:color w:val="auto"/>
        </w:rPr>
      </w:pPr>
      <w:r>
        <w:rPr>
          <w:rFonts w:ascii="Arial" w:cs="Arial" w:eastAsia="Arial" w:hAnsi="Arial"/>
          <w:sz w:val="16"/>
          <w:szCs w:val="16"/>
          <w:color w:val="auto"/>
        </w:rPr>
        <w:t>We are focused on establishing our RxSight system as the standard of care for premium cataract surgery and providing a solution that doctors and patients can trust to deliver optimal visual outcomes without unwanted visual side effects. We believe our key success factors include:</w:t>
      </w:r>
    </w:p>
    <w:p>
      <w:pPr>
        <w:spacing w:after="0" w:line="53" w:lineRule="exact"/>
        <w:rPr>
          <w:sz w:val="20"/>
          <w:szCs w:val="20"/>
          <w:color w:val="auto"/>
        </w:rPr>
      </w:pPr>
    </w:p>
    <w:p>
      <w:pPr>
        <w:ind w:left="1020" w:hanging="503"/>
        <w:spacing w:after="0" w:line="269"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First and only commercially available IOL technology that allows customization and optimization of patient vision after surgery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our RxSight system over the last 20 years and have incorporated expertise and proprietary technologies across multiple disciplines, including optics, material science, chemistry, software and hardware engineering. Our LAL uses a proprietary silicone formulation that enables changing the mechanical and optical properties of the lens following implantation. Unlike other currently available IOLs, the vast majority of which are made from acrylic, the LAL contains both long and short silicone polymers, along with other photo-active compounds that enable permanent polymerization of the silicone post-operatively using UV light. Our LDD uses proprietary software and algorithms to deliver a short UV exposure treatment that polymerizes specific portions of the lens that allows doctors to adjust spherical and cylindrical refraction in 0.25 diopter increments, similar to the adjustment increments used to refract patients for glasses or contact lenses, as well as in other refractive procedures like LASIK. We believe our commitment to innovation, extensive technical capabilities, and world-class engineering teams will enable us to deliver future product enhancements and expansion of indications for our platform. Certain aspects of our RxSight system are protected by our portfolio of patents. As of January 31, 2022, we owned or exclusively in-licensed approximately 24 issued U.S. patents, 19 issued patents outside the United States, 10 pending non-provisional U.S. patent applications, 20 pending foreign patent applications and four pending Patent Cooperation Treaty applications.</w:t>
      </w:r>
    </w:p>
    <w:p>
      <w:pPr>
        <w:spacing w:after="0" w:line="90" w:lineRule="exact"/>
        <w:rPr>
          <w:rFonts w:ascii="Arial" w:cs="Arial" w:eastAsia="Arial" w:hAnsi="Arial"/>
          <w:sz w:val="16"/>
          <w:szCs w:val="16"/>
          <w:color w:val="auto"/>
        </w:rPr>
      </w:pPr>
    </w:p>
    <w:p>
      <w:pPr>
        <w:ind w:left="1020" w:right="80" w:hanging="503"/>
        <w:spacing w:after="0" w:line="254"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visual outcomes and premium IOL experience for patients. </w:t>
      </w:r>
      <w:r>
        <w:rPr>
          <w:rFonts w:ascii="Arial" w:cs="Arial" w:eastAsia="Arial" w:hAnsi="Arial"/>
          <w:sz w:val="17"/>
          <w:szCs w:val="17"/>
          <w:color w:val="auto"/>
        </w:rPr>
        <w:t>In the pivotal study that formed the basis for our FDA approval,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Additionally, LAL patients reported a low rate of glare or halo, visual side effects that are frequently reported with presbyopia correcting IOLs. We believe our system also delivers a premium experience for patients by shifting patient decisions from before surgery (after which they are difficult to change) to after surgery, when patients work with their doctors to dial-in their optimal visual acuity, thereby lowering the likelihood for remedial or secondary corrective procedures. We believe these qualities will lead to broad commercial adoption of the RxSight system.</w:t>
      </w:r>
    </w:p>
    <w:p>
      <w:pPr>
        <w:spacing w:after="0" w:line="113" w:lineRule="exact"/>
        <w:rPr>
          <w:rFonts w:ascii="Arial" w:cs="Arial" w:eastAsia="Arial" w:hAnsi="Arial"/>
          <w:sz w:val="17"/>
          <w:szCs w:val="17"/>
          <w:color w:val="auto"/>
        </w:rPr>
      </w:pPr>
    </w:p>
    <w:p>
      <w:pPr>
        <w:ind w:left="1020" w:right="10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Attractive value proposition for doctors. </w:t>
      </w:r>
      <w:r>
        <w:rPr>
          <w:rFonts w:ascii="Arial" w:cs="Arial" w:eastAsia="Arial" w:hAnsi="Arial"/>
          <w:sz w:val="18"/>
          <w:szCs w:val="18"/>
          <w:color w:val="auto"/>
        </w:rPr>
        <w:t>We believe the RxSight system provides a myriad of benefits for doctors that will help facilitate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incorporation into their clinical practice. The clinical benefit of “dialing-in” to achieve superior visual outcomes after the procedure will give doctors more confidence to recommend a premium IOL solution that can meet patients’ expectations. This can provide economic benefits by empowering doctors to grow their practice by increasing the number of premium IOL surgeries, which generally have higher revenue and profit margin than conventional procedures. Over the longer term, we also believe that using our technology can help drive patient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 w:name="page8"/>
    <w:bookmarkEnd w:id="7"/>
    <w:p>
      <w:pPr>
        <w:ind w:left="503"/>
        <w:spacing w:after="0" w:line="252" w:lineRule="auto"/>
        <w:rPr>
          <w:sz w:val="20"/>
          <w:szCs w:val="20"/>
          <w:color w:val="auto"/>
        </w:rPr>
      </w:pPr>
      <w:r>
        <w:rPr>
          <w:rFonts w:ascii="Arial" w:cs="Arial" w:eastAsia="Arial" w:hAnsi="Arial"/>
          <w:sz w:val="17"/>
          <w:szCs w:val="17"/>
          <w:color w:val="auto"/>
        </w:rPr>
        <w:t>referrals to the practice. We designed and are offering our LDD at a price to create an attractive return on investment for our customers over a reasonable period of time. For example, an online, third-party survey by Haffey &amp; Company of 15 practices that use the RxSight system revealed that LAL procedures were sourced from all other categories of other IOLs and were well balanced across monofocal, astigmatism-correcting and presbyopia-correcting IOLs. Based on an average of 16 LAL cases per month at these practices, a payback period of five months for the purchase price of the LDD was seen. Using lower national average selling prices for astigmatism-correcting and presbyopia-correcting IOLs and a monthly procedural volume of only six cases resulted in a payback period of 18 months for such practices. Following the payback period, practices continue to reap the financial benefits of converting patients to the higher revenue RxSight procedure. Our RxSight system also offers several practice and workflow benefits. Because the RxSight is a versatile lens that can be used to address a wide variety of different patients and their needs, we believe doctors can use the LAL as their primary and first choice of premium IOL, rather than having to choose between, and hold in inventory, different IOLs to address different patient needs. The RxSight implantation procedure is a familiar industry standard IOL implantation procedure and the light adjustment procedure is easy to learn, which we believe will help lower barriers to adoption.</w:t>
      </w:r>
    </w:p>
    <w:p>
      <w:pPr>
        <w:spacing w:after="0" w:line="102" w:lineRule="exact"/>
        <w:rPr>
          <w:sz w:val="20"/>
          <w:szCs w:val="20"/>
          <w:color w:val="auto"/>
        </w:rPr>
      </w:pPr>
    </w:p>
    <w:p>
      <w:pPr>
        <w:ind w:left="503" w:right="100" w:hanging="503"/>
        <w:spacing w:after="0" w:line="271"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 and growing IOL market underpenetrated within broader IOL industry. </w:t>
      </w:r>
      <w:r>
        <w:rPr>
          <w:rFonts w:ascii="Arial" w:cs="Arial" w:eastAsia="Arial" w:hAnsi="Arial"/>
          <w:sz w:val="16"/>
          <w:szCs w:val="16"/>
          <w:color w:val="auto"/>
        </w:rPr>
        <w:t>Cataract surgery is the most common surgical procedure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United and worldwide, with over 29.7 million procedures performed globally and 4.7 million procedures performed in the United States in 2021. While 60% of cataract patients rate being spectacle free after cataract surgery as extremely important, in 2021 premium procedures were 9% and 15% of the total procedures performed worldwide and in the United States, respectively. According to the Market Scope 2021 Premium Report, revenue for premium IOLs was approximately $562 million in the United States and $1.5 billion worldwide in 2021 and is expected to grow at a CAGR of 11% and 12%, respectively, through 2026. We believe our RxSight system addresses key limitations that have slowed adoption of premium cataract procedures and premium IOL market growth. We believe there is an opportunity to not only gain share in the premium IOL segment of the market but also increase penetration of premium IOLs in the broader IOL market, by converting doctors as well as patients with astigmatism currently electing for conventional cataract surgery.</w:t>
      </w:r>
    </w:p>
    <w:p>
      <w:pPr>
        <w:spacing w:after="0" w:line="101" w:lineRule="exact"/>
        <w:rPr>
          <w:rFonts w:ascii="Arial" w:cs="Arial" w:eastAsia="Arial" w:hAnsi="Arial"/>
          <w:sz w:val="16"/>
          <w:szCs w:val="16"/>
          <w:color w:val="auto"/>
        </w:rPr>
      </w:pPr>
    </w:p>
    <w:p>
      <w:pPr>
        <w:ind w:left="503" w:hanging="503"/>
        <w:spacing w:after="0" w:line="254" w:lineRule="auto"/>
        <w:tabs>
          <w:tab w:leader="none" w:pos="503"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Primarily out-of-pocket, cash-pay procedure, which we believe makes the premium IOL market less sensitive to reimbursement.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premium IOL market benefits from well-established and attractive payment dynamics with, we believe, limited reimbursement risk. In the United States, healthcare payors typically reimburse the surgeon and facility fee, which represent a fraction of the total procedure cost, while patients pay the surgeon an additional fee, which accounts for a significantly larger component of the total cost. Patients have traditionally demonstrated a willingness to pay the incremental out-of-pocket fee to achieve differentiated visual outcomes associated with premium IOLs and premium-cash pay ophthalmic procedures, such as LASIK, are well established. Given the unique benefits and advantages of the RxSight system, we believe customers will find our value proposition to be compelling and affordable in the context of other premium IOL offerings available today.</w:t>
      </w:r>
    </w:p>
    <w:p>
      <w:pPr>
        <w:spacing w:after="0" w:line="113" w:lineRule="exact"/>
        <w:rPr>
          <w:rFonts w:ascii="Arial" w:cs="Arial" w:eastAsia="Arial" w:hAnsi="Arial"/>
          <w:sz w:val="17"/>
          <w:szCs w:val="17"/>
          <w:color w:val="auto"/>
        </w:rPr>
      </w:pPr>
    </w:p>
    <w:p>
      <w:pPr>
        <w:ind w:left="503" w:right="20" w:hanging="503"/>
        <w:spacing w:after="0" w:line="254" w:lineRule="auto"/>
        <w:tabs>
          <w:tab w:leader="none" w:pos="503"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Concentrated potential customer base, addressable with a focused commercial organization. </w:t>
      </w:r>
      <w:r>
        <w:rPr>
          <w:rFonts w:ascii="Arial" w:cs="Arial" w:eastAsia="Arial" w:hAnsi="Arial"/>
          <w:sz w:val="17"/>
          <w:szCs w:val="17"/>
          <w:color w:val="auto"/>
        </w:rPr>
        <w:t>We are initially focusing our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efforts in the United States and on driving adoption with doctors performing a high volume of premium cataract procedures. According to the 2021 Premium Cataract Surgery Market Report approximately 10,000 surgeons perform cataract surgeries today in the United States, and we estimate that as many as 3,000 surgeons performed approximately 70% to 80% of premium IOL procedures in the United States in 2021. We believe this concentrated nature of the premium IOL customer base is easily addressable with a focused sales force and lends itself well to our “razor and razor blade” business model, which is focused on winning customers and driving increased utilization of our LALs. Our direct sales team currently includes 18 LDD sales personnel, 14 LAL sales personnel, and a group of over 55 clinical specialists, field service, customer service, and marketing personnel that covering the United States.</w:t>
      </w:r>
    </w:p>
    <w:p>
      <w:pPr>
        <w:spacing w:after="0" w:line="99" w:lineRule="exact"/>
        <w:rPr>
          <w:rFonts w:ascii="Arial" w:cs="Arial" w:eastAsia="Arial" w:hAnsi="Arial"/>
          <w:sz w:val="17"/>
          <w:szCs w:val="17"/>
          <w:color w:val="auto"/>
        </w:rPr>
      </w:pPr>
    </w:p>
    <w:p>
      <w:pPr>
        <w:ind w:left="503" w:right="20" w:hanging="503"/>
        <w:spacing w:after="0" w:line="294"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management team with a track record of establishing adoption of multiple innovative technology platforms in ophthalmology.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leadership team has extensive experience in scaling ophthalmology businesses, guiding them through the development, approval, launch and commercialization of transformative medical devices. The team is well complemented by leaders with</w:t>
      </w:r>
    </w:p>
    <w:p>
      <w:pPr>
        <w:spacing w:after="0" w:line="3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6" w:right="339" w:bottom="1440" w:gutter="0" w:footer="0" w:header="0"/>
        </w:sectPr>
      </w:pPr>
    </w:p>
    <w:bookmarkStart w:id="8" w:name="page9"/>
    <w:bookmarkEnd w:id="8"/>
    <w:p>
      <w:pPr>
        <w:ind w:left="1020" w:right="40"/>
        <w:spacing w:after="0" w:line="243" w:lineRule="auto"/>
        <w:rPr>
          <w:sz w:val="20"/>
          <w:szCs w:val="20"/>
          <w:color w:val="auto"/>
        </w:rPr>
      </w:pPr>
      <w:r>
        <w:rPr>
          <w:rFonts w:ascii="Arial" w:cs="Arial" w:eastAsia="Arial" w:hAnsi="Arial"/>
          <w:sz w:val="18"/>
          <w:szCs w:val="18"/>
          <w:color w:val="auto"/>
        </w:rPr>
        <w:t>extensive experience in the full product lifecycle including designing and developing new technologies, collaborating closely with regulatory agencies, identifying the appropriate path to market and subsequently attracting and effectively managing sales and marketing talent. Members of our team have previously worked with leading ophthalmology medical technology companies including Chiron, IntraLase Inc., eyeonics Inc. and LenSx Lasers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right="620" w:firstLine="374"/>
        <w:spacing w:after="0" w:line="324" w:lineRule="auto"/>
        <w:rPr>
          <w:sz w:val="20"/>
          <w:szCs w:val="20"/>
          <w:color w:val="auto"/>
        </w:rPr>
      </w:pPr>
      <w:r>
        <w:rPr>
          <w:rFonts w:ascii="Arial" w:cs="Arial" w:eastAsia="Arial" w:hAnsi="Arial"/>
          <w:sz w:val="16"/>
          <w:szCs w:val="16"/>
          <w:color w:val="auto"/>
        </w:rPr>
        <w:t>Our vision is that a vast majority of the patients and doctors that undergo or perform a cataract surgery procedure will elect to use our RxSight technology that provides a customizable solution delivering better visual outcomes. Our growth strategies to achieve this vision include:</w:t>
      </w:r>
    </w:p>
    <w:p>
      <w:pPr>
        <w:spacing w:after="0" w:line="57" w:lineRule="exact"/>
        <w:rPr>
          <w:sz w:val="20"/>
          <w:szCs w:val="20"/>
          <w:color w:val="auto"/>
        </w:rPr>
      </w:pPr>
    </w:p>
    <w:p>
      <w:pPr>
        <w:ind w:left="1020" w:right="200" w:hanging="503"/>
        <w:spacing w:after="0" w:line="27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Strategically expanding our salesforce and marketing activities. </w:t>
      </w:r>
      <w:r>
        <w:rPr>
          <w:rFonts w:ascii="Arial" w:cs="Arial" w:eastAsia="Arial" w:hAnsi="Arial"/>
          <w:sz w:val="16"/>
          <w:szCs w:val="16"/>
          <w:color w:val="auto"/>
        </w:rPr>
        <w:t>We launched the RxSight system in the third quarter of 2019.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we have grown our commercial team to include 18 LDD sales personnel, 14 LAL sales personnel, and a group of over</w:t>
      </w:r>
    </w:p>
    <w:p>
      <w:pPr>
        <w:ind w:left="1020"/>
        <w:spacing w:after="0" w:line="269" w:lineRule="auto"/>
        <w:rPr>
          <w:rFonts w:ascii="Arial" w:cs="Arial" w:eastAsia="Arial" w:hAnsi="Arial"/>
          <w:sz w:val="16"/>
          <w:szCs w:val="16"/>
          <w:color w:val="auto"/>
        </w:rPr>
      </w:pPr>
      <w:r>
        <w:rPr>
          <w:rFonts w:ascii="Arial" w:cs="Arial" w:eastAsia="Arial" w:hAnsi="Arial"/>
          <w:sz w:val="16"/>
          <w:szCs w:val="16"/>
          <w:color w:val="auto"/>
        </w:rPr>
        <w:t>55 clinical specialists, field service, customer service, and marketing personnel. Our LDD sales personnel are focused on selling the LDD and establishing doctor relationships, and our clinical specialists, field service and customer service personnel are responsible for installing and training on the use of the LDD, and the LAL sales personnel are focused on continuing fostering patient and doctor education, increasing penetration in each account and assisting with patient flow processes for our RxSight system. While we believe a large proportion of our target market is concentrated within a group of high volume cataract surgeons and addressable with a focused commercial effort, we plan to continue to add highly qualified personnel to our commercial organization, with a strategic mix of sales personnel, clinical specialists, to drive further awareness and penetration within our target doctor base performing premium cataract surgeries. As our customer base continues to grow, we also expect to accelerate marketing initiatives and professional education, including training on best practices and techniques.</w:t>
      </w:r>
    </w:p>
    <w:p>
      <w:pPr>
        <w:spacing w:after="0" w:line="102" w:lineRule="exact"/>
        <w:rPr>
          <w:rFonts w:ascii="Arial" w:cs="Arial" w:eastAsia="Arial" w:hAnsi="Arial"/>
          <w:sz w:val="16"/>
          <w:szCs w:val="16"/>
          <w:color w:val="auto"/>
        </w:rPr>
      </w:pPr>
    </w:p>
    <w:p>
      <w:pPr>
        <w:ind w:left="1020" w:right="60" w:hanging="503"/>
        <w:spacing w:after="0" w:line="252"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Establishing new customers and growing our installed base of LDDs. </w:t>
      </w:r>
      <w:r>
        <w:rPr>
          <w:rFonts w:ascii="Arial" w:cs="Arial" w:eastAsia="Arial" w:hAnsi="Arial"/>
          <w:sz w:val="17"/>
          <w:szCs w:val="17"/>
          <w:color w:val="auto"/>
        </w:rPr>
        <w:t>We believe our novel technology provides a differentiated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proposition to doctors as well as patients and provides us the opportunity to both gain market share in the premium IOL market as well as increase the penetration of premium IOL surgery in the broader cataract surgery market. Our initial focus is to grow our market share by winning customers within the as many of the 3,000 cataract surgeons that perform a high volume of premium IOL procedures in the United States. To do so, we aim to convert these doctors to the RxSight system by highlighting the clinical, economic and workflow benefits of our solution over other premium IOL technologies. We also intend to address the broader universe of the remaining approximately 7,000 doctors that may perform only a small portion of premium procedures or only perform conventional cataract surgery. We will address this customer universe by promoting broader awareness at industry conferences and tradeshows and highlighting the practice building and economic benefits of our solution, its ease of use, as well as the improved visual outcomes. We are investing in professional education, additional clinical studies and registries that expand our evidence base, facilitating peer-to-peer dialogue and forums and communicating the benefits of our technology through marketing initiatives, publications and podium presentations. We believe that as more patients and doctors gain confidence in our technology, this will drive broader adoption, awareness and confidence amongst the industry to adopt, use and recommend our technology.</w:t>
      </w:r>
    </w:p>
    <w:p>
      <w:pPr>
        <w:spacing w:after="0" w:line="99" w:lineRule="exact"/>
        <w:rPr>
          <w:rFonts w:ascii="Arial" w:cs="Arial" w:eastAsia="Arial" w:hAnsi="Arial"/>
          <w:sz w:val="17"/>
          <w:szCs w:val="17"/>
          <w:color w:val="auto"/>
        </w:rPr>
      </w:pPr>
    </w:p>
    <w:p>
      <w:pPr>
        <w:ind w:left="1020" w:right="2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the utilization of our LALs by empowering doctors to grow their practices. </w:t>
      </w:r>
      <w:r>
        <w:rPr>
          <w:rFonts w:ascii="Arial" w:cs="Arial" w:eastAsia="Arial" w:hAnsi="Arial"/>
          <w:sz w:val="16"/>
          <w:szCs w:val="16"/>
          <w:color w:val="auto"/>
        </w:rPr>
        <w:t>Following winning a customer account, we aim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 increased utilization of our LALs by helping our customers build their practices. We believe this will ultimately result in a growing consumable revenue stream from sales of our LALs. Our team of clinical specialists, field service and customer service personnel are focused on helping our customers be successful with our solution. In addition to personnel support, we provide doctors with marketing materials, such as patient brochures, literature and digital content for website and social media promotions. We also provide ongoing training to doctors on new technology features and developments and education on the benefits of our solution for patients.</w:t>
      </w:r>
    </w:p>
    <w:p>
      <w:pPr>
        <w:spacing w:after="0" w:line="93" w:lineRule="exact"/>
        <w:rPr>
          <w:rFonts w:ascii="Arial" w:cs="Arial" w:eastAsia="Arial" w:hAnsi="Arial"/>
          <w:sz w:val="16"/>
          <w:szCs w:val="16"/>
          <w:color w:val="auto"/>
        </w:rPr>
      </w:pPr>
    </w:p>
    <w:p>
      <w:pPr>
        <w:ind w:left="1020" w:right="320" w:hanging="503"/>
        <w:spacing w:after="0" w:line="322" w:lineRule="auto"/>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Investing in system enhancements to meet the evolving needs of doctors as well as patients. </w:t>
      </w:r>
      <w:r>
        <w:rPr>
          <w:rFonts w:ascii="Arial" w:cs="Arial" w:eastAsia="Arial" w:hAnsi="Arial"/>
          <w:sz w:val="15"/>
          <w:szCs w:val="15"/>
          <w:color w:val="auto"/>
        </w:rPr>
        <w:t>We will continue to enhance our RxSight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system to improve the patient and doctor experience, which we expect will help drive adoption. Since our commercial launch, we have implemented a number of impactful product enhancements across our hardware and software platforms, including increasing the range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ind w:left="1020"/>
        <w:spacing w:after="0" w:line="255" w:lineRule="auto"/>
        <w:rPr>
          <w:sz w:val="20"/>
          <w:szCs w:val="20"/>
          <w:color w:val="auto"/>
        </w:rPr>
      </w:pPr>
      <w:r>
        <w:rPr>
          <w:rFonts w:ascii="Arial" w:cs="Arial" w:eastAsia="Arial" w:hAnsi="Arial"/>
          <w:sz w:val="17"/>
          <w:szCs w:val="17"/>
          <w:color w:val="auto"/>
        </w:rPr>
        <w:t>available LAL powers, modifying the LAL to improve image quality, reducing the margin of residual refractive error, developing new UV spectacles with improved aesthetics and usability and adding a photosensitive anterior layer to help protect the lens from unwanted UV exposure. Our near-term product enhancement efforts are focused on improving ease of use, functionality, cost and efficiency. For example, we are at an advanced stage of development with a working prototype of a lower cost version of the LDD, which we believe will help increase its affordability to lower volume premium IOL practices and facilitate broader adoption across the ophthalmic surgery community. It is anticipated that this lower cost LDD would require a 180 day PMA Supplement for approval in the United States and will require CE Mark certification through a notified body for registration in the European Union.</w:t>
      </w:r>
    </w:p>
    <w:p>
      <w:pPr>
        <w:spacing w:after="0" w:line="99" w:lineRule="exact"/>
        <w:rPr>
          <w:sz w:val="20"/>
          <w:szCs w:val="20"/>
          <w:color w:val="auto"/>
        </w:rPr>
      </w:pPr>
    </w:p>
    <w:p>
      <w:pPr>
        <w:ind w:left="1020" w:right="180" w:hanging="503"/>
        <w:spacing w:after="0" w:line="27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the RxSight system’s indications to address additional patients and procedures. </w:t>
      </w:r>
      <w:r>
        <w:rPr>
          <w:rFonts w:ascii="Arial" w:cs="Arial" w:eastAsia="Arial" w:hAnsi="Arial"/>
          <w:sz w:val="16"/>
          <w:szCs w:val="16"/>
          <w:color w:val="auto"/>
        </w:rPr>
        <w:t>We believe our RxSight system is a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that can be used to address a substantial portion of the IOL market. Since our initial FDA approval in November 2017, we have received eighteen supplemental approvals that enable the RxSight system to meet evolving customer needs. These approvals include increasing the range of LAL powers, treatment of lower amounts of residual astigmatism, allowing an optional third refractive adjustment, the introduction of ActivShield to provide additional UV protection from ambient UV sources and improved surgical tools.</w:t>
      </w:r>
    </w:p>
    <w:p>
      <w:pPr>
        <w:spacing w:after="0" w:line="91" w:lineRule="exact"/>
        <w:rPr>
          <w:rFonts w:ascii="Arial" w:cs="Arial" w:eastAsia="Arial" w:hAnsi="Arial"/>
          <w:sz w:val="16"/>
          <w:szCs w:val="16"/>
          <w:color w:val="auto"/>
        </w:rPr>
      </w:pPr>
    </w:p>
    <w:p>
      <w:pPr>
        <w:ind w:left="1020" w:right="40" w:hanging="503"/>
        <w:spacing w:after="0" w:line="255"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Growing our commercial operations in international markets. </w:t>
      </w:r>
      <w:r>
        <w:rPr>
          <w:rFonts w:ascii="Arial" w:cs="Arial" w:eastAsia="Arial" w:hAnsi="Arial"/>
          <w:sz w:val="17"/>
          <w:szCs w:val="17"/>
          <w:color w:val="auto"/>
        </w:rPr>
        <w:t>While our current commercial focus is on the large opportunity within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we believe the RxSight system offers compelling benefits for the large population of cataract patients in international markets. According to the 2021 Premium Cataract Surgery Market Report, over 70% of the premium IOL procedures in 2021 were outside the United States. Our system has CE Mark approval and approval in Mexico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opportunity. New approvals may also be sought in large cataract markets with more complex regulatory processes in Asia.</w:t>
      </w:r>
    </w:p>
    <w:p>
      <w:pPr>
        <w:spacing w:after="0" w:line="112" w:lineRule="exact"/>
        <w:rPr>
          <w:rFonts w:ascii="Arial" w:cs="Arial" w:eastAsia="Arial" w:hAnsi="Arial"/>
          <w:sz w:val="17"/>
          <w:szCs w:val="17"/>
          <w:color w:val="auto"/>
        </w:rPr>
      </w:pPr>
    </w:p>
    <w:p>
      <w:pPr>
        <w:ind w:left="1020" w:right="6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Scaling our business to achieve cost and production efficiencies. </w:t>
      </w:r>
      <w:r>
        <w:rPr>
          <w:rFonts w:ascii="Arial" w:cs="Arial" w:eastAsia="Arial" w:hAnsi="Arial"/>
          <w:sz w:val="18"/>
          <w:szCs w:val="18"/>
          <w:color w:val="auto"/>
        </w:rPr>
        <w:t>We expect to realize operating leverage through increased 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efficiencies as our commercial operations grow. We have executed a number of design and manufacturing process improvements to streamline both LAL and LDD production, and have developed a lower cost to manufacture LDD, which has been submitted to the FDA for approval. We are also concurrently executing on our strategy to optimize our diverse supply chain and to develop second sources from less expensive suppliers. We anticipate that the combination of these strategies will drive margin improvement in the future when introduced into production and offered for 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and industry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cataracts</w:t>
      </w:r>
    </w:p>
    <w:p>
      <w:pPr>
        <w:spacing w:after="0" w:line="104" w:lineRule="exact"/>
        <w:rPr>
          <w:sz w:val="20"/>
          <w:szCs w:val="20"/>
          <w:color w:val="auto"/>
        </w:rPr>
      </w:pPr>
    </w:p>
    <w:p>
      <w:pPr>
        <w:ind w:right="80" w:firstLine="374"/>
        <w:spacing w:after="0" w:line="262" w:lineRule="auto"/>
        <w:rPr>
          <w:sz w:val="20"/>
          <w:szCs w:val="20"/>
          <w:color w:val="auto"/>
        </w:rPr>
      </w:pPr>
      <w:r>
        <w:rPr>
          <w:rFonts w:ascii="Arial" w:cs="Arial" w:eastAsia="Arial" w:hAnsi="Arial"/>
          <w:sz w:val="17"/>
          <w:szCs w:val="17"/>
          <w:color w:val="auto"/>
        </w:rPr>
        <w:t>Cataracts are an irreversible and progressive ophthalmic condition in which the eye’s natural lens loses its original transparency and increasingly obstructs or otherwise interferes with the passage of light to the retina, leading to loss of vision and (in advanced cases) to blindness. While there are multiple causes of cataracts, most are age-related. Cataracts affect approximately 50% of all adults by the age of 60 with prevalence continuing to increase with age. As cataracts progress, they also can increase the eye’s sensitivity to light, particularly at night. Cataract</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 w:name="page11"/>
    <w:bookmarkEnd w:id="10"/>
    <w:p>
      <w:pPr>
        <w:ind w:right="200"/>
        <w:spacing w:after="0" w:line="261" w:lineRule="auto"/>
        <w:rPr>
          <w:sz w:val="20"/>
          <w:szCs w:val="20"/>
          <w:color w:val="auto"/>
        </w:rPr>
      </w:pPr>
      <w:r>
        <w:rPr>
          <w:rFonts w:ascii="Arial" w:cs="Arial" w:eastAsia="Arial" w:hAnsi="Arial"/>
          <w:sz w:val="18"/>
          <w:szCs w:val="18"/>
          <w:color w:val="auto"/>
        </w:rPr>
        <w:t>formations occur at different rates but affect both eyes in most cases. According to the National Eye Institute, cataracts are the leading cause of blindness worldwide, despite the availability of effective surgical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83185</wp:posOffset>
            </wp:positionV>
            <wp:extent cx="1842770" cy="1903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4277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Cataract patients are also often burdened by other common visual disorders, such as refractive error and presbyopia. Refractive errors, caused by mismatches in the focusing power of the anterior structure of the eye (cornea and lens) that prevents proper focus of light onto the retina, includes myopia (near-sightedness, or the inability to see clearly at distance), hyperopia (far-sightedness or the inability to see clearly at close up) and astigmatism (distorted vision at all distances). Astigmatism generally is caused by an imperfection in curvature of the cornea. Presbyopia typically occurs in middle age and is caused by the loss of accommodation (flexibility) of the lens of the eye, resulting in the gradual loss of the eyes’ ability to focus on nearby objects.</w:t>
      </w:r>
    </w:p>
    <w:p>
      <w:pPr>
        <w:spacing w:after="0" w:line="92" w:lineRule="exact"/>
        <w:rPr>
          <w:sz w:val="20"/>
          <w:szCs w:val="20"/>
          <w:color w:val="auto"/>
        </w:rPr>
      </w:pPr>
    </w:p>
    <w:p>
      <w:pPr>
        <w:ind w:right="220" w:firstLine="419"/>
        <w:spacing w:after="0" w:line="243" w:lineRule="auto"/>
        <w:rPr>
          <w:sz w:val="20"/>
          <w:szCs w:val="20"/>
          <w:color w:val="auto"/>
        </w:rPr>
      </w:pPr>
      <w:r>
        <w:rPr>
          <w:rFonts w:ascii="Arial" w:cs="Arial" w:eastAsia="Arial" w:hAnsi="Arial"/>
          <w:sz w:val="18"/>
          <w:szCs w:val="18"/>
          <w:color w:val="auto"/>
        </w:rPr>
        <w:t>Amongst the common visual disorders, cataracts are unique in that they cannot be treated non-invasively with eyeglasses or contact lenses. Most patients are typically diagnosed with cataracts during a routine annual visit to their optometrist (“OD”) or ophthalmologist. Once a patient has been diagnosed with cataracts, eyeglasses may help improve vision temporarily; however, surgery is usually recommended to replace the affected natural lens and the OD may refer the patient to a cataract surgeon.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cataract surgery</w:t>
      </w:r>
    </w:p>
    <w:p>
      <w:pPr>
        <w:spacing w:after="0" w:line="104"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Cataract surgery is the most common surgical procedure in the world. In 2021, according to the Market Scope 2021 Premium Report, 29.7 million cataract surgeries were performed globally, of which 4.7 million were performed in the United States. The number of cataract surgeries performed globally and in the United States is expected to continue to expand as the population over 60 years old is expected to double by 2050, increasing from 962 million (13% of the total population) in 2017 to two billion (21% of the total population) by 2050.</w:t>
      </w:r>
    </w:p>
    <w:p>
      <w:pPr>
        <w:spacing w:after="0" w:line="120"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Cataract surgery involves replacement of the patient’s natural cloudy lens with a clear artificial IOL. Cataract surgery is often bifurcated into two procedure categories, conventional and premium, delineated by the type of lens used during surgery. In conventional cataract surgery, the patient receives a monofocal IOL implant, which is designed to provide vision at one pre-defined distance without correction for other visual problems that often affect cataract surgery patients such as corneal astigmatism and presbyopia. Nearly all patients undergoing conventional cataract surgery will need to rely on glasses to achieve the best distance, intermediate and near vision. Premium cataract surgery involves the use of premium IOLs which are designed also to correct for corneal astigmatism and/or presbyopia. The most commonly used premium IOLs in the market today include multifocal, EDOF and toric lenses. These product offerings reduce the need for spectacles relative to conventional IOLs, but still impose trade-offs with respect to their ability to provide spectacle-free near, intermediate and distance vision.</w:t>
      </w:r>
    </w:p>
    <w:p>
      <w:pPr>
        <w:spacing w:after="0" w:line="113"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When preparing patients for cataract surgery, surgeons must have a comprehensive understanding of available IOL options and how to best match a patient to the technology that fits their priorities. Patient decisions are based on a number of factors and tend to be heavily influenced by surgeon recommendations as well as the individual patient’s motivation for spectacle independence as well as willingness to tolerate side effects. During an initial consultation, cataract surgeons often ask patients to fill out a survey regarding their vision experiences and expectations to determine if the patient is a good candidate for a premium IOLs. If the patient is deemed to be a</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ind w:right="60"/>
        <w:spacing w:after="0" w:line="270" w:lineRule="auto"/>
        <w:rPr>
          <w:sz w:val="20"/>
          <w:szCs w:val="20"/>
          <w:color w:val="auto"/>
        </w:rPr>
      </w:pPr>
      <w:r>
        <w:rPr>
          <w:rFonts w:ascii="Arial" w:cs="Arial" w:eastAsia="Arial" w:hAnsi="Arial"/>
          <w:sz w:val="17"/>
          <w:szCs w:val="17"/>
          <w:color w:val="auto"/>
        </w:rPr>
        <w:t>candidate, the surgeon then helps select the appropriate IOL based upon the patient’s lifestyle and therefore the type of vision they most value (i.e., near, intermediate or distance). Significant time is often required to educate patients on the various trade-offs with respect to the visual outcomes associated with each type of premium IOL. Following the patient consultation, surgery is usually scheduled within several weeks or months.</w:t>
      </w:r>
    </w:p>
    <w:p>
      <w:pPr>
        <w:spacing w:after="0" w:line="83"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Prior to surgery, the surgeon will have the patient’s eyes measured using one or more diagnostic devices that help the surgeon predict the lens focusing power best suited to achieve the optimal postoperative outcome. Focusing power, expressed in diopters (D), refers to how a lens focuses light to a point (spherical power) or a line (cylindrical or astigmatic power). Accurately predicting lens power is critical to reducing postoperative residual refractive error and delivering the best possible visual outcome.</w:t>
      </w:r>
    </w:p>
    <w:p>
      <w:pPr>
        <w:spacing w:after="0" w:line="120"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Once surgery begins, the clouded lens is usually removed through a process known as phacoemulsification. During phacoemulsification, an ophthalmic surgeon makes a small surgical incision in the cornea and inserts an ultrasonic probe that breaks up, or emulsifies, the clouded lens while a hollow needle removes the pieces of the lens. After the cataract is removed, the surgeon inserts the replacement IOL through the same surgical incision. In the United States, cataract surgery is commonly performed in the outpatient setting, such as an Ambulatory Surgery Center (“ASC”), by an ophthalmologist specializing in cataract surgery and often requires only 5 to 15 minutes to complete the procedure. Typically, the patient returns a day after surgery to have their eye evaluated and ensure healing is underway. After approximately one month, patients that received a conventional lens usually return to their optometrist to be fitted for glasses. Patients that selected premium IOLs but are unsatisfied with their visual results may be fitted for glasses or elect for a secondary, remedial procedure.</w:t>
      </w:r>
    </w:p>
    <w:p>
      <w:pPr>
        <w:spacing w:after="0" w:line="126" w:lineRule="exact"/>
        <w:rPr>
          <w:sz w:val="20"/>
          <w:szCs w:val="20"/>
          <w:color w:val="auto"/>
        </w:rPr>
      </w:pPr>
    </w:p>
    <w:p>
      <w:pPr>
        <w:ind w:right="260" w:firstLine="374"/>
        <w:spacing w:after="0" w:line="243" w:lineRule="auto"/>
        <w:rPr>
          <w:sz w:val="20"/>
          <w:szCs w:val="20"/>
          <w:color w:val="auto"/>
        </w:rPr>
      </w:pPr>
      <w:r>
        <w:rPr>
          <w:rFonts w:ascii="Arial" w:cs="Arial" w:eastAsia="Arial" w:hAnsi="Arial"/>
          <w:sz w:val="18"/>
          <w:szCs w:val="18"/>
          <w:color w:val="auto"/>
        </w:rPr>
        <w:t>Illustrated below is an eye before cataract surgery. In Image #1 the surgeon has made a small surgical incision in the cornea and has inserted an ultrasonic probe to break up the clouded lens while the hollow needle (at the tip) removes the pieces of the lens. Image #2 illustrates the eye after the cataract is removed and the surgeon inserts the replacement IOL through the same surgical incision. Image #3 illustrates the new lens before the surgical incision is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93980</wp:posOffset>
            </wp:positionV>
            <wp:extent cx="2288540" cy="186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854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374"/>
        <w:spacing w:after="0"/>
        <w:rPr>
          <w:sz w:val="20"/>
          <w:szCs w:val="20"/>
          <w:color w:val="auto"/>
        </w:rPr>
      </w:pPr>
      <w:r>
        <w:rPr>
          <w:rFonts w:ascii="Arial" w:cs="Arial" w:eastAsia="Arial" w:hAnsi="Arial"/>
          <w:sz w:val="18"/>
          <w:szCs w:val="18"/>
          <w:color w:val="auto"/>
        </w:rPr>
        <w:t>In the United States, a healthcare payor (primarily Centers for Medicare and Medicaid Services (“CMS”)) typically provides reimbursement of approximately $500 for a surgeon fee and approximately $1,000 for a facility fee, which includes a conventional IOL. Accounting for reductions in CMS reimbursement and for inflation, reimbursement has decreased two thirds since 1991. The surgeon fee covers all pre-operative cataract testing, the cataract operation and follow-up care for three months. In premium cataract surgery the healthcare payor (primarily CMS) also reimburses the same surgeon and facility fees, but the patient pays the surgeon an additional fee of approximately $1,500 for a toric IOL and an average of up to $6,500 for other premium lenses, which includes the cost of the premium IOL.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04" w:lineRule="exact"/>
        <w:rPr>
          <w:sz w:val="20"/>
          <w:szCs w:val="20"/>
          <w:color w:val="auto"/>
        </w:rPr>
      </w:pPr>
    </w:p>
    <w:p>
      <w:pPr>
        <w:jc w:val="both"/>
        <w:ind w:right="140" w:firstLine="374"/>
        <w:spacing w:after="0" w:line="294" w:lineRule="auto"/>
        <w:rPr>
          <w:sz w:val="20"/>
          <w:szCs w:val="20"/>
          <w:color w:val="auto"/>
        </w:rPr>
      </w:pPr>
      <w:r>
        <w:rPr>
          <w:rFonts w:ascii="Arial" w:cs="Arial" w:eastAsia="Arial" w:hAnsi="Arial"/>
          <w:sz w:val="16"/>
          <w:szCs w:val="16"/>
          <w:color w:val="auto"/>
        </w:rPr>
        <w:t>In 2021, conventional cataract surgery represented 90% of procedures worldwide and 85% of procedures in the United States; however, revenue for the premium IOL market is approximately 31% of the total IOL market, due to higher lens pricing, and is expected to grow significantly faster. According to the Market Scope 2021 Premium Report, the conventional IOL market revenues were approximately $4.8 billion worldwide in 2021 and is expected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right="80"/>
        <w:spacing w:after="0" w:line="274" w:lineRule="auto"/>
        <w:rPr>
          <w:sz w:val="20"/>
          <w:szCs w:val="20"/>
          <w:color w:val="auto"/>
        </w:rPr>
      </w:pPr>
      <w:r>
        <w:rPr>
          <w:rFonts w:ascii="Arial" w:cs="Arial" w:eastAsia="Arial" w:hAnsi="Arial"/>
          <w:sz w:val="16"/>
          <w:szCs w:val="16"/>
          <w:color w:val="auto"/>
        </w:rPr>
        <w:t>to grow to $6.8 billion in 2026, a CAGR of 7.2%. In 2021, premium IOL revenue was approximately $562 million in the United States and $1.5 billion worldwide and is expected to grow at a CAGR of 11% and 12%, respectively, through 2026. The premium cataract surgery market is expected to grow at a meaningfully higher rate than the conventional cataract surgery market due to a number of factors including the growing number of patients who prefer to be spectacle-free post-surgery, technological innovations in premium IOLs, increased access to healthcare and rising disposable income. Premium cataract procedures are also between 10 and 15 times more profitable for doctors and ophthalmology practices than conventional cataract procedures and less impacted by changes in reimbursement because patients are required to pay out-of-pocket to cover the full or incremental costs of premium cataract procedures (depending on the country), while healthcare payors typically cover the full cost of conventional cataract procedures.</w:t>
      </w:r>
    </w:p>
    <w:p>
      <w:pPr>
        <w:spacing w:after="0" w:line="96" w:lineRule="exact"/>
        <w:rPr>
          <w:sz w:val="20"/>
          <w:szCs w:val="20"/>
          <w:color w:val="auto"/>
        </w:rPr>
      </w:pPr>
    </w:p>
    <w:p>
      <w:pPr>
        <w:ind w:right="20" w:firstLine="419"/>
        <w:spacing w:after="0" w:line="274" w:lineRule="auto"/>
        <w:rPr>
          <w:sz w:val="20"/>
          <w:szCs w:val="20"/>
          <w:color w:val="auto"/>
        </w:rPr>
      </w:pPr>
      <w:r>
        <w:rPr>
          <w:rFonts w:ascii="Arial" w:cs="Arial" w:eastAsia="Arial" w:hAnsi="Arial"/>
          <w:sz w:val="16"/>
          <w:szCs w:val="16"/>
          <w:color w:val="auto"/>
        </w:rPr>
        <w:t>We believe there is an opportunity to not only gain share in the premium IOL segment of the market but also increase penetration of premium IOLs in the broader IOL market, by converting doctors and patients currently electing for conventional cataract surgery. While 60% of cataract patients rate being spectacle free after cataract surgery as extremely important, in 2021, premium IOLs represented approximately 9% and 15% of the procedures worldwide and in the United States, respectively. 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Furthermore, we believe current premium IOL offerings often cannot deliver on patient expectations with respect to the patient’s ability to see at near, intermediate and far distances without reliance on spectacles.</w:t>
      </w:r>
    </w:p>
    <w:p>
      <w:pPr>
        <w:spacing w:after="0" w:line="82" w:lineRule="exact"/>
        <w:rPr>
          <w:sz w:val="20"/>
          <w:szCs w:val="20"/>
          <w:color w:val="auto"/>
        </w:rPr>
      </w:pPr>
    </w:p>
    <w:p>
      <w:pPr>
        <w:ind w:right="60" w:firstLine="374"/>
        <w:spacing w:after="0" w:line="241" w:lineRule="auto"/>
        <w:rPr>
          <w:sz w:val="20"/>
          <w:szCs w:val="20"/>
          <w:color w:val="auto"/>
        </w:rPr>
      </w:pPr>
      <w:r>
        <w:rPr>
          <w:rFonts w:ascii="Arial" w:cs="Arial" w:eastAsia="Arial" w:hAnsi="Arial"/>
          <w:sz w:val="18"/>
          <w:szCs w:val="18"/>
          <w:color w:val="auto"/>
        </w:rPr>
        <w:t>We are currently focused on further driving awareness and penetration of our system in the premium cataract surgery market, and in the near term, are primarily focusing our commercial efforts on our RxSight system within the United States. We believe this is the most compelling market given the large population of individuals above the age of 60 that are covered by health insurance, the concentrated base of cataract surgeons experienced with premium IOL offerings, the high gross domestic product per capita and the favorable US healthcare reimbursement system which has a well-established history of covering a portion of the cost for cataract surgery.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non-adjustable premium IOLs and their limitations</w:t>
      </w:r>
    </w:p>
    <w:p>
      <w:pPr>
        <w:spacing w:after="0" w:line="104"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Premium IOLs are designed to correct for the shortcomings of conventional monofocal lenses by correcting for the additional visual problems of astigmatism and/or presbyopia. Astigmatism occurs when there is imperfection in the curvature of the cornea, resulting in blurred distance and near vision. Presbyopia is the gradual loss of the eyes’ ability to focus on nearby objects. Individuals usually begin to experience the effects of presbyopia in their early 40s.</w:t>
      </w:r>
    </w:p>
    <w:p>
      <w:pPr>
        <w:spacing w:after="0" w:line="120" w:lineRule="exact"/>
        <w:rPr>
          <w:sz w:val="20"/>
          <w:szCs w:val="20"/>
          <w:color w:val="auto"/>
        </w:rPr>
      </w:pPr>
    </w:p>
    <w:p>
      <w:pPr>
        <w:ind w:right="920" w:firstLine="374"/>
        <w:spacing w:after="0" w:line="261" w:lineRule="auto"/>
        <w:rPr>
          <w:sz w:val="20"/>
          <w:szCs w:val="20"/>
          <w:color w:val="auto"/>
        </w:rPr>
      </w:pPr>
      <w:r>
        <w:rPr>
          <w:rFonts w:ascii="Arial" w:cs="Arial" w:eastAsia="Arial" w:hAnsi="Arial"/>
          <w:sz w:val="18"/>
          <w:szCs w:val="18"/>
          <w:color w:val="auto"/>
        </w:rPr>
        <w:t>The two primary categories of alternative premium IOLs are presbyopia-correcting IOLs, which include multifocal and EDOF lenses, and astigmatism-correcting, or toric, lenses. Each type of lens offers its own unique set of benefits but also trade-offs.</w:t>
      </w:r>
    </w:p>
    <w:p>
      <w:pPr>
        <w:spacing w:after="0" w:line="63"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Presbyopia-Correcting IOLs</w:t>
      </w:r>
    </w:p>
    <w:p>
      <w:pPr>
        <w:spacing w:after="0" w:line="103" w:lineRule="exact"/>
        <w:rPr>
          <w:rFonts w:ascii="Arial" w:cs="Arial" w:eastAsia="Arial" w:hAnsi="Arial"/>
          <w:sz w:val="18"/>
          <w:szCs w:val="18"/>
          <w:color w:val="auto"/>
        </w:rPr>
      </w:pPr>
    </w:p>
    <w:p>
      <w:pPr>
        <w:ind w:left="1020" w:hanging="503"/>
        <w:spacing w:after="0" w:line="276"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Multifocal Lenses. </w:t>
      </w:r>
      <w:r>
        <w:rPr>
          <w:rFonts w:ascii="Arial" w:cs="Arial" w:eastAsia="Arial" w:hAnsi="Arial"/>
          <w:sz w:val="16"/>
          <w:szCs w:val="16"/>
          <w:color w:val="auto"/>
        </w:rPr>
        <w:t>Multifocal lenses have two or more corrective zones, which allow the patient to receive focused light from different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distances. Although multifocal lenses provide patients with a wider range of vision compared to the standard monofocal IOLs, multifocal lenses split light across the multiple corrective zones on the lens, sometimes impacting the patient’s visual quality. For example, approximately 2-3 times as many patients who choose a multifocal lens over a monofocal lens experience side effects such as glare and halos, as well as reduced contrast vision, which are especially problematic in dim and low light situations such as driving at night. For some patients these become more pronounced and can lead to explantation (removal of the IOL and replacement with another type of IOL).</w:t>
      </w:r>
    </w:p>
    <w:p>
      <w:pPr>
        <w:spacing w:after="0" w:line="80" w:lineRule="exact"/>
        <w:rPr>
          <w:rFonts w:ascii="Arial" w:cs="Arial" w:eastAsia="Arial" w:hAnsi="Arial"/>
          <w:sz w:val="16"/>
          <w:szCs w:val="16"/>
          <w:color w:val="auto"/>
        </w:rPr>
      </w:pPr>
    </w:p>
    <w:p>
      <w:pPr>
        <w:jc w:val="both"/>
        <w:ind w:left="1020" w:right="380" w:hanging="503"/>
        <w:spacing w:after="0" w:line="24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EDOF Lenses. </w:t>
      </w:r>
      <w:r>
        <w:rPr>
          <w:rFonts w:ascii="Arial" w:cs="Arial" w:eastAsia="Arial" w:hAnsi="Arial"/>
          <w:sz w:val="18"/>
          <w:szCs w:val="18"/>
          <w:color w:val="auto"/>
        </w:rPr>
        <w:t>Unlike multifocal lenses, EDOF lenses have only one corrective zone; however, they create an elongated focal point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for a broader range of vision, although patients will still often require glasses for distance and near vision. EDOF lenses will still typically result in glare and halos, as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left="1020"/>
        <w:spacing w:after="0"/>
        <w:rPr>
          <w:sz w:val="20"/>
          <w:szCs w:val="20"/>
          <w:color w:val="auto"/>
        </w:rPr>
      </w:pPr>
      <w:r>
        <w:rPr>
          <w:rFonts w:ascii="Arial" w:cs="Arial" w:eastAsia="Arial" w:hAnsi="Arial"/>
          <w:sz w:val="18"/>
          <w:szCs w:val="18"/>
          <w:color w:val="auto"/>
        </w:rPr>
        <w:t>well as reduced contrast vision, although generally less severe than those experienced with multifocal lenses.</w:t>
      </w:r>
    </w:p>
    <w:p>
      <w:pPr>
        <w:spacing w:after="0" w:line="131" w:lineRule="exact"/>
        <w:rPr>
          <w:sz w:val="20"/>
          <w:szCs w:val="20"/>
          <w:color w:val="auto"/>
        </w:rPr>
      </w:pPr>
    </w:p>
    <w:p>
      <w:pPr>
        <w:ind w:left="1020" w:hanging="503"/>
        <w:spacing w:after="0" w:line="255" w:lineRule="auto"/>
        <w:tabs>
          <w:tab w:leader="none" w:pos="106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Astigmatism-Correcting or Toric Lenses. </w:t>
      </w:r>
      <w:r>
        <w:rPr>
          <w:rFonts w:ascii="Arial" w:cs="Arial" w:eastAsia="Arial" w:hAnsi="Arial"/>
          <w:sz w:val="17"/>
          <w:szCs w:val="17"/>
          <w:color w:val="auto"/>
        </w:rPr>
        <w:t>Toric lenses correct for astigmatism, a condition in which the cornea is not uniformly curved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to distortion of near and distance vision. According to the Market Scope 2021 Premium Report, approximately 70% of the population has clinically significant astigmatism of 0.5 diopters or more. Corrective toric lenses can provide additional distance, intermediate or near vision correction depending on the power of the lens selected and if their optical design incorporates either multifocal or EDOF features. However, according to the same the Market Scope 2021 Premium Report, surgeons only attempt to correct astigmatism approximately 70% of the time and approximately 60% of cases use toric lenses. Survey results on the reason for the low adoption rate include poor precision in correcting astigmatism and the requirement of expensive diagnostic equipment.</w:t>
      </w:r>
    </w:p>
    <w:p>
      <w:pPr>
        <w:spacing w:after="0" w:line="112"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On the two most recently published by the European Society of Cataract and Refractive Surgeons (the “ESCRS”) clinical trend surveys, 44% of surgeons and 36% of surgeons reported factors that discourage them from offering premium IOLs due to concern over nighttime vision and loss of contrast sensitivity, respectively. A key limitation of alternative premium IOLs is that they cannot be adjusted after the surgery and, as such, require the patient to commit to a desired visual outcome prior to the procedure. However, in discussing vision optimization options with patients ahead of the procedure, it is not easy to demonstrate different visual outcomes to patients with cataracts. Once a premium IOL is selected, another key limitation is the ability of the surgeon to implant the IOL with the level of accuracy required to deliver the patient’s expected outcome. Because the lens power of alternative premium IOLs cannot be changed after implantation, doctors typically spend a great deal of time on preoperative measurements to estimate the most suitable lens power for the patient; however, the same diagnostic tests and predictive formulae used for selecting the spherical power of the premium IOL are also used for conventional IOLs. Additionally, the incision made to remove the cloudy lens and insert the IOL along with the resultant healing process often results in the creation of additional levels of astigmatism, which cannot be predicted with precision before cataract surgery. A separate LASIK procedure is the most common surgical procedure to correct any residual visual errors following the cataract procedure.</w:t>
      </w:r>
    </w:p>
    <w:p>
      <w:pPr>
        <w:spacing w:after="0" w:line="99" w:lineRule="exact"/>
        <w:rPr>
          <w:sz w:val="20"/>
          <w:szCs w:val="20"/>
          <w:color w:val="auto"/>
        </w:rPr>
      </w:pPr>
    </w:p>
    <w:p>
      <w:pPr>
        <w:ind w:right="280" w:firstLine="374"/>
        <w:spacing w:after="0" w:line="243" w:lineRule="auto"/>
        <w:rPr>
          <w:sz w:val="20"/>
          <w:szCs w:val="20"/>
          <w:color w:val="auto"/>
        </w:rPr>
      </w:pPr>
      <w:r>
        <w:rPr>
          <w:rFonts w:ascii="Arial" w:cs="Arial" w:eastAsia="Arial" w:hAnsi="Arial"/>
          <w:sz w:val="18"/>
          <w:szCs w:val="18"/>
          <w:color w:val="auto"/>
        </w:rPr>
        <w:t>We believe that the need to commit to a visual outcome before surgery combined with the limited ability to adjust following the procedure are key factors contributing to the low levels of penetration of premium cataract surgery. When expectations regarding postoperative visual acuity and spectacle independence are not met, patients are often disappointed. As a result, surgeons are often less willing to recommend existing premium IOLs to their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08" w:lineRule="exact"/>
        <w:rPr>
          <w:sz w:val="20"/>
          <w:szCs w:val="20"/>
          <w:color w:val="auto"/>
        </w:rPr>
      </w:pPr>
    </w:p>
    <w:p>
      <w:pPr>
        <w:ind w:right="200" w:firstLine="374"/>
        <w:spacing w:after="0" w:line="262" w:lineRule="auto"/>
        <w:rPr>
          <w:sz w:val="20"/>
          <w:szCs w:val="20"/>
          <w:color w:val="auto"/>
        </w:rPr>
      </w:pPr>
      <w:r>
        <w:rPr>
          <w:rFonts w:ascii="Arial" w:cs="Arial" w:eastAsia="Arial" w:hAnsi="Arial"/>
          <w:sz w:val="17"/>
          <w:szCs w:val="17"/>
          <w:color w:val="auto"/>
        </w:rPr>
        <w:t>We designed our RxSight system to address the shortcomings of existing premium IOL technologies and provide a solution that doctors can trust to improve visual outcomes. We began commercializing our solution in the United States in the third quarter of 2019 and are focused on establishing the RxSight system as the standard of care for premium IOL procedures. As of December 31, 2021, we had an installed base of 206 LDDs in ophthalmology practices, and since our inception almost 17,000 surgeries have been performed with our system.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RxSight system</w:t>
      </w:r>
    </w:p>
    <w:p>
      <w:pPr>
        <w:spacing w:after="0" w:line="104"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Our RxSight system is the first and only FDA-approved IOL technology that enables doctors to customize and optimize visual acuity for patients after cataract surgery. With the RxSight system, the doctor performs a standard cataract procedure to implant the LAL, determines refractive error with patient input after healing is complete, then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4" w:name="page15"/>
    <w:bookmarkEnd w:id="14"/>
    <w:p>
      <w:pPr>
        <w:ind w:right="180"/>
        <w:spacing w:after="0" w:line="261" w:lineRule="auto"/>
        <w:rPr>
          <w:sz w:val="20"/>
          <w:szCs w:val="20"/>
          <w:color w:val="auto"/>
        </w:rPr>
      </w:pPr>
      <w:r>
        <w:rPr>
          <w:rFonts w:ascii="Arial" w:cs="Arial" w:eastAsia="Arial" w:hAnsi="Arial"/>
          <w:sz w:val="18"/>
          <w:szCs w:val="18"/>
          <w:color w:val="auto"/>
        </w:rPr>
        <w:t>uses the LDD to reshape the LAL to achieve the patients’ desired vision outcomes. Our RxSight system is comprised of two key components, along with other intraoperative and postoperative accessories:</w:t>
      </w:r>
    </w:p>
    <w:p>
      <w:pPr>
        <w:spacing w:after="0" w:line="99" w:lineRule="exact"/>
        <w:rPr>
          <w:sz w:val="20"/>
          <w:szCs w:val="20"/>
          <w:color w:val="auto"/>
        </w:rPr>
      </w:pPr>
    </w:p>
    <w:p>
      <w:pPr>
        <w:jc w:val="both"/>
        <w:ind w:left="1020" w:hanging="503"/>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RxSight Light Adjustable Lens</w:t>
      </w:r>
      <w:r>
        <w:rPr>
          <w:rFonts w:ascii="Arial" w:cs="Arial" w:eastAsia="Arial" w:hAnsi="Arial"/>
          <w:sz w:val="18"/>
          <w:szCs w:val="18"/>
          <w:color w:val="auto"/>
        </w:rPr>
        <w:t>: The LAL is our proprietary IOL that can be adjusted postoperatively to improve uncorrected visual acuity.</w:t>
      </w:r>
      <w:r>
        <w:rPr>
          <w:rFonts w:ascii="Arial" w:cs="Arial" w:eastAsia="Arial" w:hAnsi="Arial"/>
          <w:sz w:val="18"/>
          <w:szCs w:val="18"/>
          <w:b w:val="1"/>
          <w:bCs w:val="1"/>
          <w:color w:val="auto"/>
        </w:rPr>
        <w:t xml:space="preserve"> </w:t>
      </w:r>
      <w:r>
        <w:rPr>
          <w:rFonts w:ascii="Arial" w:cs="Arial" w:eastAsia="Arial" w:hAnsi="Arial"/>
          <w:sz w:val="18"/>
          <w:szCs w:val="18"/>
          <w:color w:val="auto"/>
        </w:rPr>
        <w:t>Our novel IOL is made of special photosensitive material that changes shape and power when a specific pattern of UV light is delivered from the LDD.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98425</wp:posOffset>
            </wp:positionV>
            <wp:extent cx="762635" cy="1225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635" cy="122555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98425</wp:posOffset>
            </wp:positionV>
            <wp:extent cx="951230" cy="1268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2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right="80" w:hanging="503"/>
        <w:spacing w:after="0" w:line="272"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RxSight Light Delivery Device</w:t>
      </w:r>
      <w:r>
        <w:rPr>
          <w:rFonts w:ascii="Arial" w:cs="Arial" w:eastAsia="Arial" w:hAnsi="Arial"/>
          <w:sz w:val="17"/>
          <w:szCs w:val="17"/>
          <w:color w:val="auto"/>
        </w:rPr>
        <w:t>: The LDD is our proprietary office-based light treatment device that delivers UV light in a precisely</w:t>
      </w:r>
      <w:r>
        <w:rPr>
          <w:rFonts w:ascii="Arial" w:cs="Arial" w:eastAsia="Arial" w:hAnsi="Arial"/>
          <w:sz w:val="17"/>
          <w:szCs w:val="17"/>
          <w:b w:val="1"/>
          <w:bCs w:val="1"/>
          <w:color w:val="auto"/>
        </w:rPr>
        <w:t xml:space="preserve"> </w:t>
      </w:r>
      <w:r>
        <w:rPr>
          <w:rFonts w:ascii="Arial" w:cs="Arial" w:eastAsia="Arial" w:hAnsi="Arial"/>
          <w:sz w:val="17"/>
          <w:szCs w:val="17"/>
          <w:color w:val="auto"/>
        </w:rPr>
        <w:t>programmed pattern to induce a predictable change in the shape and refractive properties of the LAL, enabling surgeons to precisely modify the LAL based on the visual correction needed to achieve the patient’s desired vision after cataract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163830</wp:posOffset>
            </wp:positionV>
            <wp:extent cx="1268730" cy="1834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873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foundational technology</w:t>
      </w:r>
    </w:p>
    <w:p>
      <w:pPr>
        <w:spacing w:after="0" w:line="104" w:lineRule="exact"/>
        <w:rPr>
          <w:sz w:val="20"/>
          <w:szCs w:val="20"/>
          <w:color w:val="auto"/>
        </w:rPr>
      </w:pPr>
    </w:p>
    <w:p>
      <w:pPr>
        <w:ind w:right="220" w:firstLine="374"/>
        <w:spacing w:after="0" w:line="243" w:lineRule="auto"/>
        <w:rPr>
          <w:sz w:val="20"/>
          <w:szCs w:val="20"/>
          <w:color w:val="auto"/>
        </w:rPr>
      </w:pPr>
      <w:r>
        <w:rPr>
          <w:rFonts w:ascii="Arial" w:cs="Arial" w:eastAsia="Arial" w:hAnsi="Arial"/>
          <w:sz w:val="18"/>
          <w:szCs w:val="18"/>
          <w:color w:val="auto"/>
        </w:rPr>
        <w:t>We have developed our RxSight system over the last 20 years and have incorporated expertise and proprietary technologies across multiple disciplines, including optics, material science, chemistry, software and hardware engineering. The proprietary RxSight technology that enables post-operative adjustability is based on the principles of photochemistry. The LAL is made of a photosensitive material that changes shape and power when a specific pattern of UV light is delivered to the LAL.</w:t>
      </w:r>
    </w:p>
    <w:p>
      <w:pPr>
        <w:spacing w:after="0" w:line="120" w:lineRule="exact"/>
        <w:rPr>
          <w:sz w:val="20"/>
          <w:szCs w:val="20"/>
          <w:color w:val="auto"/>
        </w:rPr>
      </w:pPr>
    </w:p>
    <w:p>
      <w:pPr>
        <w:ind w:right="40" w:firstLine="374"/>
        <w:spacing w:after="0" w:line="255" w:lineRule="auto"/>
        <w:rPr>
          <w:sz w:val="20"/>
          <w:szCs w:val="20"/>
          <w:color w:val="auto"/>
        </w:rPr>
      </w:pPr>
      <w:r>
        <w:rPr>
          <w:rFonts w:ascii="Arial" w:cs="Arial" w:eastAsia="Arial" w:hAnsi="Arial"/>
          <w:sz w:val="17"/>
          <w:szCs w:val="17"/>
          <w:color w:val="auto"/>
        </w:rPr>
        <w:t>Our LAL, which we manufacture using our proprietary silicone formulation, leverages the unique material properties of silicone. A silicone molecule consists of an inorganic silicon-oxygen backbone, which is a chain of alternating silicon and oxygen atoms with an attached side group, which is a pair of organic molecules bonded to each silicon atom in the chain. Through a process called polymerization, silicone monomers (short chain molecules) are reacted together to form silicone polymers (long chain molecules), which may be cross-linked at multiple points resulting in three-dimensional, rather than linear, structures. By varying chain length, attached side group and cross-linking design, silicone polymers can be tailored to have unique properties, leading to their broad use across a wide array of applications. We have developed a novel application of silicone to optimize the mechanical and optical properties of IOLs in order to improve vision in patients following cataract surgery.</w:t>
      </w:r>
    </w:p>
    <w:p>
      <w:pPr>
        <w:spacing w:after="0" w:line="112" w:lineRule="exact"/>
        <w:rPr>
          <w:sz w:val="20"/>
          <w:szCs w:val="20"/>
          <w:color w:val="auto"/>
        </w:rPr>
      </w:pPr>
    </w:p>
    <w:p>
      <w:pPr>
        <w:ind w:right="600" w:firstLine="374"/>
        <w:spacing w:after="0" w:line="261" w:lineRule="auto"/>
        <w:rPr>
          <w:sz w:val="20"/>
          <w:szCs w:val="20"/>
          <w:color w:val="auto"/>
        </w:rPr>
      </w:pPr>
      <w:r>
        <w:rPr>
          <w:rFonts w:ascii="Arial" w:cs="Arial" w:eastAsia="Arial" w:hAnsi="Arial"/>
          <w:sz w:val="18"/>
          <w:szCs w:val="18"/>
          <w:color w:val="auto"/>
        </w:rPr>
        <w:t>To create the LAL, we use a composition of silicone polymers and monomers, the latter which we call “macromers”, mixed with photo-active molecules and other compounds. The initial composition of our lens material</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5" w:name="page16"/>
    <w:bookmarkEnd w:id="15"/>
    <w:p>
      <w:pPr>
        <w:ind w:right="320"/>
        <w:spacing w:after="0" w:line="241" w:lineRule="auto"/>
        <w:rPr>
          <w:sz w:val="20"/>
          <w:szCs w:val="20"/>
          <w:color w:val="auto"/>
        </w:rPr>
      </w:pPr>
      <w:r>
        <w:rPr>
          <w:rFonts w:ascii="Arial" w:cs="Arial" w:eastAsia="Arial" w:hAnsi="Arial"/>
          <w:sz w:val="18"/>
          <w:szCs w:val="18"/>
          <w:color w:val="auto"/>
        </w:rPr>
        <w:t>is a viscous liquid that is thermally cured in a lens mold. Thermal curing and photopolymerization use temperature and ultraviolet light, respectively, to initiate and propagate a polymerization reaction. To avoid polymerizing the macromers in the composition, the thermal curing is performed at a low temperature. The partial polymerization of the LAL results in a solid but soft silicone lens, leaving the photosensitive macromers unpolymerized and distributed throughout the lens. While the resulting lens is optically clear, the macromers and photo-active molecules remain free to continuously move within the lens.</w:t>
      </w:r>
    </w:p>
    <w:p>
      <w:pPr>
        <w:spacing w:after="0" w:line="108"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After packaging and sterilization, the LAL is ready to be implanted as part of a standard cataract surgical procedure to replace the patient’s natural lens. Once wound healing is complete, a short exposure of UV light is applied to the LAL to adjust the refractive properties of the lens. When the UV light is directed to a specific portion of the lens, the exposed macromers in that portion of the lens are polymerized and become stationary. This creates an excess concentration of free macromers in the unexposed portion of the lens and sets up a diffusion gradient over which the unpolymerized macromers move from the concentrated area to the less concentrated area. Over the next one to two days, the unpolymerized macromers redistribute across the lens to achieve a uniform distribution. The redistribution of the macromers causes the exposed portion of the lens to swell relative to the unexposed portion of the lens, enabling refractive power change.</w:t>
      </w:r>
    </w:p>
    <w:p>
      <w:pPr>
        <w:spacing w:after="0" w:line="123" w:lineRule="exact"/>
        <w:rPr>
          <w:sz w:val="20"/>
          <w:szCs w:val="20"/>
          <w:color w:val="auto"/>
        </w:rPr>
      </w:pPr>
    </w:p>
    <w:p>
      <w:pPr>
        <w:ind w:right="60" w:firstLine="374"/>
        <w:spacing w:after="0" w:line="279" w:lineRule="auto"/>
        <w:rPr>
          <w:sz w:val="20"/>
          <w:szCs w:val="20"/>
          <w:color w:val="auto"/>
        </w:rPr>
      </w:pPr>
      <w:r>
        <w:rPr>
          <w:rFonts w:ascii="Arial" w:cs="Arial" w:eastAsia="Arial" w:hAnsi="Arial"/>
          <w:sz w:val="16"/>
          <w:szCs w:val="16"/>
          <w:color w:val="auto"/>
        </w:rPr>
        <w:t>The movement of the macromers causes a highly predictable change in the curvature of the lens. If the central portion of the lens is exposed to UV light, unpolymerized macromers in the periphery of the lens move into the central portion. As a result, the central portion of the lens swells, creating a lens shape for correction of hyperopia. Conversely, if the periphery of the lens is exposed to UV light, unpolymerized macromers in the central portion of the lens migrate into the periphery. As a result, the periphery of the lens swells, creating a lens shape for correction of myopia. In addition to spherical correction for myopia or hyperopia, customized cylinder adjustments along any axis of the lens can be targeted to correct for astigmatism.</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illustrates the photopolymerization process that results in the change to the curvature of the 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109220</wp:posOffset>
            </wp:positionV>
            <wp:extent cx="5288915" cy="2228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8891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firstLine="374"/>
        <w:spacing w:after="0" w:line="255" w:lineRule="auto"/>
        <w:rPr>
          <w:sz w:val="20"/>
          <w:szCs w:val="20"/>
          <w:color w:val="auto"/>
        </w:rPr>
      </w:pPr>
      <w:r>
        <w:rPr>
          <w:rFonts w:ascii="Arial" w:cs="Arial" w:eastAsia="Arial" w:hAnsi="Arial"/>
          <w:sz w:val="17"/>
          <w:szCs w:val="17"/>
          <w:color w:val="auto"/>
        </w:rPr>
        <w:t>To achieve the desired refractive change in the LAL, our LDD uses proprietary software and algorithms to deliver a short UV exposure treatment that polymerizes specific portions of the lens according to a predefined pattern of light, called a nomogram. Nomograms allow for adjustment of spherical and cylindrical refraction in 0.25 diopter increments, like the adjustment increments used to refract patients for glasses or contact lenses, as well as in other refractive procedures like LASIK, which has similar refractive accuracy. Designed for placement in the doctor’s office, the LDD is a combination of a standard slit lamp and a digital light projector. The slit lamp portion allows the doctor to see inside the patient’s eye and align the light beam with the LAL. The digital light projector portion projects an image onto the LAL using DLP technology that has approximately 250,000 micro mirrors that are electronically activated to represent an image stored in memory.</w:t>
      </w:r>
    </w:p>
    <w:p>
      <w:pPr>
        <w:spacing w:after="0" w:line="99" w:lineRule="exact"/>
        <w:rPr>
          <w:sz w:val="20"/>
          <w:szCs w:val="20"/>
          <w:color w:val="auto"/>
        </w:rPr>
      </w:pPr>
    </w:p>
    <w:p>
      <w:pPr>
        <w:ind w:right="160" w:firstLine="374"/>
        <w:spacing w:after="0" w:line="261" w:lineRule="auto"/>
        <w:rPr>
          <w:sz w:val="20"/>
          <w:szCs w:val="20"/>
          <w:color w:val="auto"/>
        </w:rPr>
      </w:pPr>
      <w:r>
        <w:rPr>
          <w:rFonts w:ascii="Arial" w:cs="Arial" w:eastAsia="Arial" w:hAnsi="Arial"/>
          <w:sz w:val="18"/>
          <w:szCs w:val="18"/>
          <w:color w:val="auto"/>
        </w:rPr>
        <w:t>Each UV light treatment consumes only a portion of the macromers in the lens, allowing the LAL to be adjusted multiple times. This process can be repeated up to 3 times over a period of several weeks, until the patient and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6" w:name="page17"/>
    <w:bookmarkEnd w:id="16"/>
    <w:p>
      <w:pPr>
        <w:ind w:right="120"/>
        <w:spacing w:after="0" w:line="248" w:lineRule="auto"/>
        <w:rPr>
          <w:sz w:val="20"/>
          <w:szCs w:val="20"/>
          <w:color w:val="auto"/>
        </w:rPr>
      </w:pPr>
      <w:r>
        <w:rPr>
          <w:rFonts w:ascii="Arial" w:cs="Arial" w:eastAsia="Arial" w:hAnsi="Arial"/>
          <w:sz w:val="18"/>
          <w:szCs w:val="18"/>
          <w:color w:val="auto"/>
        </w:rPr>
        <w:t>doctor are satisfied. The entire lens is then polymerized to provide a stable correction. After adjustment light treatments are completed, one or two lock-in light treatments are applied to consume all remaining macromers and photo-active compounds. After the final lock-in treatment, the lens power can no longer be adjusted.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w:t>
      </w:r>
    </w:p>
    <w:p>
      <w:pPr>
        <w:spacing w:after="0" w:line="104" w:lineRule="exact"/>
        <w:rPr>
          <w:sz w:val="20"/>
          <w:szCs w:val="20"/>
          <w:color w:val="auto"/>
        </w:rPr>
      </w:pPr>
    </w:p>
    <w:p>
      <w:pPr>
        <w:ind w:right="40" w:firstLine="374"/>
        <w:spacing w:after="0" w:line="271" w:lineRule="auto"/>
        <w:rPr>
          <w:sz w:val="20"/>
          <w:szCs w:val="20"/>
          <w:color w:val="auto"/>
        </w:rPr>
      </w:pPr>
      <w:r>
        <w:rPr>
          <w:rFonts w:ascii="Arial" w:cs="Arial" w:eastAsia="Arial" w:hAnsi="Arial"/>
          <w:sz w:val="16"/>
          <w:szCs w:val="16"/>
          <w:color w:val="auto"/>
        </w:rPr>
        <w:t>With the RxSight system, the surgeon first performs a standard cataract implant procedure, replacing the patients’ natural lens with the LAL. Following the surgery, after a healing period of 2 to 3 weeks, the patient returns to the doctor’s office and undergoes a standard post-operative refraction. Using a traditional phoropter and vision chart, the clinician determines the refractive error and the prescription required to give the patient the best vision. However, rather than giving the patient a prescription for glasses, the clinician inputs the prescription into the LDD’s graphical user interface. The patient’s eye is then dilated, and a contact lens is applied to the eye when they are seated in front of the LDD for a light treatment. Based on the prescription input, the LDD generates a programmed, predetermined exposure of UV light. For a period of between 30 seconds and 2.5 minutes, the light painlessly and non-invasively re-shapes the LAL IOL in the eye, to correct the measured refractive error. The entire procedure takes approximately 3 to 5 minutes. The patient then returns approximately three to five days later for additional possible light treatments to adjust their vision as desired or to lock-in the lens. Although a patient can receive up to three adjustments, the average number of adjustments in our clinical trial was 1.6.</w:t>
      </w:r>
    </w:p>
    <w:p>
      <w:pPr>
        <w:spacing w:after="0" w:line="101" w:lineRule="exact"/>
        <w:rPr>
          <w:sz w:val="20"/>
          <w:szCs w:val="20"/>
          <w:color w:val="auto"/>
        </w:rPr>
      </w:pPr>
    </w:p>
    <w:p>
      <w:pPr>
        <w:ind w:right="120" w:firstLine="374"/>
        <w:spacing w:after="0" w:line="257" w:lineRule="auto"/>
        <w:rPr>
          <w:sz w:val="20"/>
          <w:szCs w:val="20"/>
          <w:color w:val="auto"/>
        </w:rPr>
      </w:pPr>
      <w:r>
        <w:rPr>
          <w:rFonts w:ascii="Arial" w:cs="Arial" w:eastAsia="Arial" w:hAnsi="Arial"/>
          <w:sz w:val="17"/>
          <w:szCs w:val="17"/>
          <w:color w:val="auto"/>
        </w:rPr>
        <w:t>The RxSight system enables a fully interactive and iterative process to optimize visual acuity with patients able to compare possible vision outcomes based on their unique preferences and lifestyle requirements before selecting a final prescription for their adjustable lenses. In clinical practice since FDA approval, approximately two thirds of patients undergoing multiple adjustments have requested a change from their original spherical target highlighting the importance of adjustability and customization. From the time of surgery until 24 hours after the LAL is locked in, the patient is required to wear ultraviolet (UV) light protective glasses, as unprotected exposure to light can cause uncontrolled changes in the LAL. The patient may remove the glasses for sleeping, showering and applying eye drops as long as they are not exposed to sunlight.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Blended vision approach with RxSight</w:t>
      </w:r>
    </w:p>
    <w:p>
      <w:pPr>
        <w:spacing w:after="0" w:line="104"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In clinical practice, doctors often use the enhanced accuracy and precision of the LAL, as well the ability to customize the correction in each eye after surgery, to improve upon the commonly used blended vision approach to presbyopia treatment. Blended vision (sometimes referred to as monovision or mini-monovision) is commonly selected by presbyopic patients without cataracts as a means to achieve spectacle independence. When used with contact lenses or LASIK, the vision in one eye is corrected more for far-distance, while the other eye is corrected more for near and intermediate distance. This approach is also commonly employed in conventional (monofocal) cataract surgery patients, with nearly 30% of patients receiving blended vision, about three times the rate for presbyopia correcting IOLs. While blended vision using conventional monofocal IOLs can provide improved near and intermediate vision for patients, it is susceptible to the same limitations of accuracy and precision as these IOLs have for distance vision, particularly for astigmatism correction. In addition, patients are very sensitive to which eye is used for near, as well as the difference in focusing power between the two eyes, neither of which can be fully evaluated prior to cataract surgery due to the presence of reduced vision (from the cataract). For all these reasons, doctors often stagger surgery in the two eyes to evaluate outcomes in the first before proceeding to the second.</w:t>
      </w:r>
    </w:p>
    <w:p>
      <w:pPr>
        <w:spacing w:after="0" w:line="99"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We believe the LAL offers a number of potential advantages when taking a blended vision approach. First, because the LAL is going to be adjusted postoperatively, there is no refractive benefit to delaying surgery on the second eye. Doctors often choose to perform surgery in each eye within a week so that the LALs can be adjusted together to optimize vision with both eyes simultaneously. Additionally, the LAL reduces residual astigmatism more effectively (even for the most common low levels), which is known to improve blended vision performance. Finally, the LAL’s spherical power can also be adjusted to customize the vision in both the near and distance eye, as well as to minimize the difference between the two. While this difference usually ends up being within a diopter or less, a level that is generally well accepted by patients, there is considerable variability between individuals. For all these reasons, approximately 80% of LAL patients in clinical practice receive some form of blended vision.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Key Benefits for Patients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RxSight offers significant patient benefits relative to other commercially available premium IOLs:</w:t>
      </w:r>
    </w:p>
    <w:p>
      <w:pPr>
        <w:spacing w:after="0" w:line="127" w:lineRule="exact"/>
        <w:rPr>
          <w:sz w:val="20"/>
          <w:szCs w:val="20"/>
          <w:color w:val="auto"/>
        </w:rPr>
      </w:pPr>
    </w:p>
    <w:p>
      <w:pPr>
        <w:ind w:left="1020" w:right="200" w:hanging="503"/>
        <w:spacing w:after="0" w:line="296"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Superior vision outcomes. </w:t>
      </w:r>
      <w:r>
        <w:rPr>
          <w:rFonts w:ascii="Arial" w:cs="Arial" w:eastAsia="Arial" w:hAnsi="Arial"/>
          <w:sz w:val="16"/>
          <w:szCs w:val="16"/>
          <w:color w:val="auto"/>
        </w:rPr>
        <w:t>In the pivotal study that formed the basis for our FDA approval, the observed rate of eyes with 20/20 or better</w:t>
      </w:r>
      <w:r>
        <w:rPr>
          <w:rFonts w:ascii="Arial" w:cs="Arial" w:eastAsia="Arial" w:hAnsi="Arial"/>
          <w:sz w:val="16"/>
          <w:szCs w:val="16"/>
          <w:b w:val="1"/>
          <w:bCs w:val="1"/>
          <w:color w:val="auto"/>
        </w:rPr>
        <w:t xml:space="preserve"> </w:t>
      </w:r>
      <w:r>
        <w:rPr>
          <w:rFonts w:ascii="Arial" w:cs="Arial" w:eastAsia="Arial" w:hAnsi="Arial"/>
          <w:sz w:val="16"/>
          <w:szCs w:val="16"/>
          <w:color w:val="auto"/>
        </w:rPr>
        <w:t>uncorrected distance visual acuity for our LAL was 70.1%. This compares favorably to the results of pivotal studies with similar study designs and patient populations that supported FDA approval of Alcon’s Acrysof Toric (38.4%), and J&amp;J’s Tecnis Toric (43.6%).</w:t>
      </w:r>
    </w:p>
    <w:p>
      <w:pPr>
        <w:spacing w:after="0" w:line="75" w:lineRule="exact"/>
        <w:rPr>
          <w:rFonts w:ascii="Arial" w:cs="Arial" w:eastAsia="Arial" w:hAnsi="Arial"/>
          <w:sz w:val="16"/>
          <w:szCs w:val="16"/>
          <w:color w:val="auto"/>
        </w:rPr>
      </w:pPr>
    </w:p>
    <w:p>
      <w:pPr>
        <w:ind w:left="1020" w:right="200" w:hanging="50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Post-operative customization. </w:t>
      </w:r>
      <w:r>
        <w:rPr>
          <w:rFonts w:ascii="Arial" w:cs="Arial" w:eastAsia="Arial" w:hAnsi="Arial"/>
          <w:sz w:val="17"/>
          <w:szCs w:val="17"/>
          <w:color w:val="auto"/>
        </w:rPr>
        <w:t>In contrast to alternative conventional and premium IOL solutions, our system enables patients to preview</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compare possible vision outcomes after surgery based on their unique preferences and lifestyle requirements before they select a final prescription for their adjustable lens. With up to 3 possible light treatments, patients can dial-in their optimal visual acuity through an interactive and iterative process. After the initial light treatment, patients trial their vision for 3 to 5 days. Patients may then return for additional light treatments to adjust their vision as desired or to lock-in the lens.</w:t>
      </w:r>
    </w:p>
    <w:p>
      <w:pPr>
        <w:spacing w:after="0" w:line="102" w:lineRule="exact"/>
        <w:rPr>
          <w:rFonts w:ascii="Arial" w:cs="Arial" w:eastAsia="Arial" w:hAnsi="Arial"/>
          <w:sz w:val="17"/>
          <w:szCs w:val="17"/>
          <w:color w:val="auto"/>
        </w:rPr>
      </w:pPr>
    </w:p>
    <w:p>
      <w:pPr>
        <w:ind w:left="1020" w:hanging="50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No increase in glare and halo. </w:t>
      </w:r>
      <w:r>
        <w:rPr>
          <w:rFonts w:ascii="Arial" w:cs="Arial" w:eastAsia="Arial" w:hAnsi="Arial"/>
          <w:sz w:val="17"/>
          <w:szCs w:val="17"/>
          <w:color w:val="auto"/>
        </w:rPr>
        <w:t>Our LALs do not induce higher rates of glare and halos compared to monofocal IOLs. In contrast, multifocal</w:t>
      </w:r>
      <w:r>
        <w:rPr>
          <w:rFonts w:ascii="Arial" w:cs="Arial" w:eastAsia="Arial" w:hAnsi="Arial"/>
          <w:sz w:val="17"/>
          <w:szCs w:val="17"/>
          <w:b w:val="1"/>
          <w:bCs w:val="1"/>
          <w:color w:val="auto"/>
        </w:rPr>
        <w:t xml:space="preserve"> </w:t>
      </w:r>
      <w:r>
        <w:rPr>
          <w:rFonts w:ascii="Arial" w:cs="Arial" w:eastAsia="Arial" w:hAnsi="Arial"/>
          <w:sz w:val="17"/>
          <w:szCs w:val="17"/>
          <w:color w:val="auto"/>
        </w:rPr>
        <w:t>IOLs, generally relied upon to improve near vision, are associated with a higher incidence of unwanted side-effects including reduced contrast sensitivity and increased glare and halos around bright lights. This is true for both multifocal and EDOF IOLs resulting in a significant rate of lens removal of the IOL and replacement with another type of IOL. In FDA studies for the Alcon Panoptix, J&amp;J Symfony and Alcon Vivity lenses, 48.8%, 59.2% and 17.0% of subjects, respectively, reported being bothered by halos postoperatively.</w:t>
      </w:r>
    </w:p>
    <w:p>
      <w:pPr>
        <w:spacing w:after="0" w:line="88" w:lineRule="exact"/>
        <w:rPr>
          <w:rFonts w:ascii="Arial" w:cs="Arial" w:eastAsia="Arial" w:hAnsi="Arial"/>
          <w:sz w:val="17"/>
          <w:szCs w:val="17"/>
          <w:color w:val="auto"/>
        </w:rPr>
      </w:pPr>
    </w:p>
    <w:p>
      <w:pPr>
        <w:ind w:left="1020" w:right="460" w:hanging="503"/>
        <w:spacing w:after="0" w:line="272"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Minimally invasive procedure</w:t>
      </w:r>
      <w:r>
        <w:rPr>
          <w:rFonts w:ascii="Arial" w:cs="Arial" w:eastAsia="Arial" w:hAnsi="Arial"/>
          <w:sz w:val="17"/>
          <w:szCs w:val="17"/>
          <w:color w:val="auto"/>
        </w:rPr>
        <w:t>. The RxSight system can reduce the potential for secondary surgical procedures by correcting residual</w:t>
      </w:r>
      <w:r>
        <w:rPr>
          <w:rFonts w:ascii="Arial" w:cs="Arial" w:eastAsia="Arial" w:hAnsi="Arial"/>
          <w:sz w:val="17"/>
          <w:szCs w:val="17"/>
          <w:b w:val="1"/>
          <w:bCs w:val="1"/>
          <w:color w:val="auto"/>
        </w:rPr>
        <w:t xml:space="preserve"> </w:t>
      </w:r>
      <w:r>
        <w:rPr>
          <w:rFonts w:ascii="Arial" w:cs="Arial" w:eastAsia="Arial" w:hAnsi="Arial"/>
          <w:sz w:val="17"/>
          <w:szCs w:val="17"/>
          <w:color w:val="auto"/>
        </w:rPr>
        <w:t>refractive error after surgery using our office based LDD to shape the LAL. With other premium IOLs, a separate LASIK procedure is generally the only way to correct for residual visual errors following the primary cataract procedure.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benefits for doctors</w:t>
      </w:r>
    </w:p>
    <w:p>
      <w:pPr>
        <w:spacing w:after="0" w:line="104" w:lineRule="exact"/>
        <w:rPr>
          <w:sz w:val="20"/>
          <w:szCs w:val="20"/>
          <w:color w:val="auto"/>
        </w:rPr>
      </w:pPr>
    </w:p>
    <w:p>
      <w:pPr>
        <w:ind w:right="520" w:firstLine="374"/>
        <w:spacing w:after="0" w:line="261" w:lineRule="auto"/>
        <w:rPr>
          <w:sz w:val="20"/>
          <w:szCs w:val="20"/>
          <w:color w:val="auto"/>
        </w:rPr>
      </w:pPr>
      <w:r>
        <w:rPr>
          <w:rFonts w:ascii="Arial" w:cs="Arial" w:eastAsia="Arial" w:hAnsi="Arial"/>
          <w:sz w:val="18"/>
          <w:szCs w:val="18"/>
          <w:color w:val="auto"/>
        </w:rPr>
        <w:t>We believe RxSight offers significant benefits to doctors relative to other commercially available premium IOLs, the primary benefits of which include the following:</w:t>
      </w:r>
    </w:p>
    <w:p>
      <w:pPr>
        <w:spacing w:after="0" w:line="99" w:lineRule="exact"/>
        <w:rPr>
          <w:sz w:val="20"/>
          <w:szCs w:val="20"/>
          <w:color w:val="auto"/>
        </w:rPr>
      </w:pPr>
    </w:p>
    <w:p>
      <w:pPr>
        <w:ind w:left="1020" w:right="80" w:hanging="503"/>
        <w:spacing w:after="0" w:line="242"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Clear value proposition for patients, allowing doctors to build their premium cataract practices. </w:t>
      </w:r>
      <w:r>
        <w:rPr>
          <w:rFonts w:ascii="Arial" w:cs="Arial" w:eastAsia="Arial" w:hAnsi="Arial"/>
          <w:sz w:val="18"/>
          <w:szCs w:val="18"/>
          <w:color w:val="auto"/>
        </w:rPr>
        <w:t>Rather than having to explain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the complicated trade-offs with respect to visual outcomes as well as predict refraction before surgery, the surgeon is able to simply tell the patient that their vision will be corrected post-operatively, similar to receiving a pair of glasses. The doctor can also share the clinical results with the patient, which we believe are compelling and give the patient reassurance that the procedure will provide them with the desired results.</w:t>
      </w:r>
    </w:p>
    <w:p>
      <w:pPr>
        <w:spacing w:after="0" w:line="103" w:lineRule="exact"/>
        <w:rPr>
          <w:rFonts w:ascii="Arial" w:cs="Arial" w:eastAsia="Arial" w:hAnsi="Arial"/>
          <w:sz w:val="18"/>
          <w:szCs w:val="18"/>
          <w:color w:val="auto"/>
        </w:rPr>
      </w:pPr>
    </w:p>
    <w:p>
      <w:pPr>
        <w:ind w:left="1020" w:right="80" w:hanging="503"/>
        <w:spacing w:after="0" w:line="264"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Doctor confidence. </w:t>
      </w:r>
      <w:r>
        <w:rPr>
          <w:rFonts w:ascii="Arial" w:cs="Arial" w:eastAsia="Arial" w:hAnsi="Arial"/>
          <w:sz w:val="17"/>
          <w:szCs w:val="17"/>
          <w:color w:val="auto"/>
        </w:rPr>
        <w:t>The clinical benefit of “dialing-in” to achieve superior visual outcomes after the procedure will give doctors more</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to recommend a premium IOL solution that can meet patients’ expectations. The doctor does not need to decide prior to surgery whether the patient will be particularly sensitive to sub-optimal visual outcomes or side effects (such as glare, halo and loss of contrast). The patient is also unlikely to need a post-operative adjustment such as LASIK to improve the patient’s vision.</w:t>
      </w:r>
    </w:p>
    <w:p>
      <w:pPr>
        <w:spacing w:after="0" w:line="98" w:lineRule="exact"/>
        <w:rPr>
          <w:rFonts w:ascii="Arial" w:cs="Arial" w:eastAsia="Arial" w:hAnsi="Arial"/>
          <w:sz w:val="17"/>
          <w:szCs w:val="17"/>
          <w:color w:val="auto"/>
        </w:rPr>
      </w:pPr>
    </w:p>
    <w:p>
      <w:pPr>
        <w:ind w:left="1020" w:right="240" w:hanging="503"/>
        <w:spacing w:after="0" w:line="264"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Fewer intraoperative measurements. </w:t>
      </w:r>
      <w:r>
        <w:rPr>
          <w:rFonts w:ascii="Arial" w:cs="Arial" w:eastAsia="Arial" w:hAnsi="Arial"/>
          <w:sz w:val="17"/>
          <w:szCs w:val="17"/>
          <w:color w:val="auto"/>
        </w:rPr>
        <w:t>Doctors can spend a great deal of time on intraoperative measurements to better estimate the most</w:t>
      </w:r>
      <w:r>
        <w:rPr>
          <w:rFonts w:ascii="Arial" w:cs="Arial" w:eastAsia="Arial" w:hAnsi="Arial"/>
          <w:sz w:val="17"/>
          <w:szCs w:val="17"/>
          <w:b w:val="1"/>
          <w:bCs w:val="1"/>
          <w:color w:val="auto"/>
        </w:rPr>
        <w:t xml:space="preserve"> </w:t>
      </w:r>
      <w:r>
        <w:rPr>
          <w:rFonts w:ascii="Arial" w:cs="Arial" w:eastAsia="Arial" w:hAnsi="Arial"/>
          <w:sz w:val="17"/>
          <w:szCs w:val="17"/>
          <w:color w:val="auto"/>
        </w:rPr>
        <w:t>suitable lens power to implant since the lens power of existing premium IOLs cannot be changed after implantation. With the RxSight system, surgeons are not as dependent on intraoperative equipment for measurements. Instead, the surgeon can focus on the surgical procedure as residual refractive error can be corrected post-operatively with the LDD adjustment.</w:t>
      </w:r>
    </w:p>
    <w:p>
      <w:pPr>
        <w:spacing w:after="0" w:line="98" w:lineRule="exact"/>
        <w:rPr>
          <w:rFonts w:ascii="Arial" w:cs="Arial" w:eastAsia="Arial" w:hAnsi="Arial"/>
          <w:sz w:val="17"/>
          <w:szCs w:val="17"/>
          <w:color w:val="auto"/>
        </w:rPr>
      </w:pPr>
    </w:p>
    <w:p>
      <w:pPr>
        <w:ind w:left="1020" w:right="60" w:hanging="50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Broad application across different patients’ needs. </w:t>
      </w:r>
      <w:r>
        <w:rPr>
          <w:rFonts w:ascii="Arial" w:cs="Arial" w:eastAsia="Arial" w:hAnsi="Arial"/>
          <w:sz w:val="18"/>
          <w:szCs w:val="18"/>
          <w:color w:val="auto"/>
        </w:rPr>
        <w:t>We offer a single IOL that can address a broad range of patient types and needs, while</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a solution that doctors can trust to improve visual outcomes. For example, according to the Market Scope 2021 Premium Report, surgeons only use Toric</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8" w:name="page19"/>
    <w:bookmarkEnd w:id="18"/>
    <w:p>
      <w:pPr>
        <w:ind w:left="1020" w:right="340"/>
        <w:spacing w:after="0" w:line="248" w:lineRule="auto"/>
        <w:rPr>
          <w:sz w:val="20"/>
          <w:szCs w:val="20"/>
          <w:color w:val="auto"/>
        </w:rPr>
      </w:pPr>
      <w:r>
        <w:rPr>
          <w:rFonts w:ascii="Arial" w:cs="Arial" w:eastAsia="Arial" w:hAnsi="Arial"/>
          <w:sz w:val="18"/>
          <w:szCs w:val="18"/>
          <w:color w:val="auto"/>
        </w:rPr>
        <w:t>lenses in approximately 44% of astigmatism cases, citing poor precision in correcting astigmatism and the requirement of expensive diagnostic equipment. With the ability to correct down to 0.5 diopters of astigmatism in 0.25 diopters steps, the LAL can address a much wider portion of the underserved astigmatic market.</w:t>
      </w:r>
    </w:p>
    <w:p>
      <w:pPr>
        <w:spacing w:after="0" w:line="97" w:lineRule="exact"/>
        <w:rPr>
          <w:sz w:val="20"/>
          <w:szCs w:val="20"/>
          <w:color w:val="auto"/>
        </w:rPr>
      </w:pPr>
    </w:p>
    <w:p>
      <w:pPr>
        <w:ind w:left="1020" w:right="160" w:hanging="503"/>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Satisfied patients leading to potential referrals. </w:t>
      </w:r>
      <w:r>
        <w:rPr>
          <w:rFonts w:ascii="Arial" w:cs="Arial" w:eastAsia="Arial" w:hAnsi="Arial"/>
          <w:sz w:val="18"/>
          <w:szCs w:val="18"/>
          <w:color w:val="auto"/>
        </w:rPr>
        <w:t>While patients need to wear UV protective glasses for a few weeks, and return for</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visits, patients ultimately have reduced dependence on glasses and few side effects. Improved visual outcomes can drive patient referrals and increase the number of premium IOL surgeries, which generally have higher revenue and profit margin than conventional procedures.</w:t>
      </w:r>
    </w:p>
    <w:p>
      <w:pPr>
        <w:spacing w:after="0" w:line="117" w:lineRule="exact"/>
        <w:rPr>
          <w:sz w:val="20"/>
          <w:szCs w:val="20"/>
          <w:color w:val="auto"/>
        </w:rPr>
      </w:pPr>
    </w:p>
    <w:p>
      <w:pPr>
        <w:ind w:right="520" w:firstLine="374"/>
        <w:spacing w:after="0" w:line="261" w:lineRule="auto"/>
        <w:rPr>
          <w:sz w:val="20"/>
          <w:szCs w:val="20"/>
          <w:color w:val="auto"/>
        </w:rPr>
      </w:pPr>
      <w:r>
        <w:rPr>
          <w:rFonts w:ascii="Arial" w:cs="Arial" w:eastAsia="Arial" w:hAnsi="Arial"/>
          <w:sz w:val="18"/>
          <w:szCs w:val="18"/>
          <w:color w:val="auto"/>
        </w:rPr>
        <w:t>We believe these compelling points of differentiation relative to other commercially available premium IOLs offer key benefits for patients and doctors that will drive broad adoption of the RxSight system.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results and studies</w:t>
      </w:r>
    </w:p>
    <w:p>
      <w:pPr>
        <w:spacing w:after="0" w:line="108"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The LAL has close to twenty years of clinical history, dating back to first human implantation in 2002. Prior to FDA approval at the end of 2017, most of the early clinical work was completed outside the United States. During this period, RxSight demonstrated the safety, long term stability and usability of this technology. These early clinical and commercial results led us to formally initiate US clinical studies. We have completed one phase 2 study and our phase 3 pivotal randomized clinical study.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study</w:t>
      </w:r>
    </w:p>
    <w:p>
      <w:pPr>
        <w:spacing w:after="0" w:line="104" w:lineRule="exact"/>
        <w:rPr>
          <w:sz w:val="20"/>
          <w:szCs w:val="20"/>
          <w:color w:val="auto"/>
        </w:rPr>
      </w:pPr>
    </w:p>
    <w:p>
      <w:pPr>
        <w:ind w:right="240" w:firstLine="374"/>
        <w:spacing w:after="0" w:line="270" w:lineRule="auto"/>
        <w:rPr>
          <w:sz w:val="20"/>
          <w:szCs w:val="20"/>
          <w:color w:val="auto"/>
        </w:rPr>
      </w:pPr>
      <w:r>
        <w:rPr>
          <w:rFonts w:ascii="Arial" w:cs="Arial" w:eastAsia="Arial" w:hAnsi="Arial"/>
          <w:sz w:val="17"/>
          <w:szCs w:val="17"/>
          <w:color w:val="auto"/>
        </w:rPr>
        <w:t>In 2010, we completed an FDA Phase 2 study, where 74 subjects had one eye randomly mistargeted during cataract surgery to either -1.00, 0.00, or +1.00 D. Light treatments were performed to address spherical refractive error and 80.8% of the subject eyes achieved a manifest refraction spherical equivalent (MRSE) within 0.50 diopters of target. Three-year follow-up demonstrated excellent long-term safety of the LAL.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pivotal study</w:t>
      </w:r>
    </w:p>
    <w:p>
      <w:pPr>
        <w:spacing w:after="0" w:line="104" w:lineRule="exact"/>
        <w:rPr>
          <w:sz w:val="20"/>
          <w:szCs w:val="20"/>
          <w:color w:val="auto"/>
        </w:rPr>
      </w:pPr>
    </w:p>
    <w:p>
      <w:pPr>
        <w:ind w:right="300" w:firstLine="374"/>
        <w:spacing w:after="0" w:line="248" w:lineRule="auto"/>
        <w:rPr>
          <w:sz w:val="20"/>
          <w:szCs w:val="20"/>
          <w:color w:val="auto"/>
        </w:rPr>
      </w:pPr>
      <w:r>
        <w:rPr>
          <w:rFonts w:ascii="Arial" w:cs="Arial" w:eastAsia="Arial" w:hAnsi="Arial"/>
          <w:sz w:val="18"/>
          <w:szCs w:val="18"/>
          <w:color w:val="auto"/>
        </w:rPr>
        <w:t>Based on these results and the development of light profiles that reduce residual astigmatism, a Phase 3 Pivotal randomized clinical study of 600 subjects was initiated to evaluate the safety and effectiveness of performing light treatments to correct postoperative spherical and cylindrical refractive error. One-year follow-up of subjects from 17 investigational sites was completed on July 20, 2016.</w:t>
      </w:r>
    </w:p>
    <w:p>
      <w:pPr>
        <w:spacing w:after="0" w:line="114" w:lineRule="exact"/>
        <w:rPr>
          <w:sz w:val="20"/>
          <w:szCs w:val="20"/>
          <w:color w:val="auto"/>
        </w:rPr>
      </w:pPr>
    </w:p>
    <w:p>
      <w:pPr>
        <w:ind w:right="100" w:firstLine="374"/>
        <w:spacing w:after="0" w:line="255" w:lineRule="auto"/>
        <w:rPr>
          <w:sz w:val="20"/>
          <w:szCs w:val="20"/>
          <w:color w:val="auto"/>
        </w:rPr>
      </w:pPr>
      <w:r>
        <w:rPr>
          <w:rFonts w:ascii="Arial" w:cs="Arial" w:eastAsia="Arial" w:hAnsi="Arial"/>
          <w:sz w:val="17"/>
          <w:szCs w:val="17"/>
          <w:color w:val="auto"/>
        </w:rPr>
        <w:t>In this study, 391 subjects had the LAL implanted in one eye and the results were compared at the six-month post-operative visit against 193 subjects with a monofocal control IOL implanted in one eye. The LAL met all primary effectiveness endpoints and was approved by the FDA on November 22, 2017 as the first commercially available adjustable IOL. 70.1% of LAL subjects achieved monocular uncorrected distance visual acuity of 20/20 or better compared to 36.3% of the eyes implanted with the monofocal control IOL. In addition to being statistically significantly better than the control IOL, the observed rate of eyes with 20/20 or better uncorrected distance visual acuity was the highest reported for any approved intraocular lens and approximately twice what was observed by the two most popular astigmatism correcting IOLs (38.4% by Alcon’s Acrysof Toric, and 43.6% by J&amp;J’s Tecnis Toric) in similar patient populations in the pivotal studies that led to their approvals by the FDA.</w:t>
      </w:r>
    </w:p>
    <w:p>
      <w:pPr>
        <w:spacing w:after="0" w:line="99" w:lineRule="exact"/>
        <w:rPr>
          <w:sz w:val="20"/>
          <w:szCs w:val="20"/>
          <w:color w:val="auto"/>
        </w:rPr>
      </w:pPr>
    </w:p>
    <w:p>
      <w:pPr>
        <w:ind w:firstLine="374"/>
        <w:spacing w:after="0" w:line="294" w:lineRule="auto"/>
        <w:rPr>
          <w:sz w:val="20"/>
          <w:szCs w:val="20"/>
          <w:color w:val="auto"/>
        </w:rPr>
      </w:pPr>
      <w:r>
        <w:rPr>
          <w:rFonts w:ascii="Arial" w:cs="Arial" w:eastAsia="Arial" w:hAnsi="Arial"/>
          <w:sz w:val="16"/>
          <w:szCs w:val="16"/>
          <w:color w:val="auto"/>
        </w:rPr>
        <w:t>Residual astigmatism was dramatically reduced in the LAL subjects, with 82.4% of LAL subjects having 0.50 diopters or less of manifest astigmatism 6 months after cataract surgery compared to 51.3% of eyes with the monofocal control IOL. This is also significantly better than the performance of both the Acrysof Toric (61.6%) and Tecnis Toric (72.3%) IOLs in similar patient populations in the pivotal studies that led to their approvals by the FDA.</w:t>
      </w:r>
    </w:p>
    <w:p>
      <w:pPr>
        <w:spacing w:after="0" w:line="80"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In addition to correcting residual astigmatism, LAL subjects received a correction of residual error in MRSE. 92.1% of LAL subjects were within 0.50 diopters of target (compared to 83.4% observed in the control group). In 2018, the European Database of Cataract Surgery (EUROQUO) showed that of 175,503 subjects, 74.0% of eyes were within 0.50 diopters of target. A survey of 97 LASIK research papers published between 2008 and 2015 showed that out of 65,974 subjects, 90.9% were within 0.50 diopters of target. Thus, the LAL demonstrated superior accuracy to conventional cataract surgery and equivalent performance to LASIK.</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9" w:name="page20"/>
    <w:bookmarkEnd w:id="19"/>
    <w:p>
      <w:pPr>
        <w:ind w:right="20" w:firstLine="374"/>
        <w:spacing w:after="0" w:line="279" w:lineRule="auto"/>
        <w:rPr>
          <w:sz w:val="20"/>
          <w:szCs w:val="20"/>
          <w:color w:val="auto"/>
        </w:rPr>
      </w:pPr>
      <w:r>
        <w:rPr>
          <w:rFonts w:ascii="Arial" w:cs="Arial" w:eastAsia="Arial" w:hAnsi="Arial"/>
          <w:sz w:val="16"/>
          <w:szCs w:val="16"/>
          <w:color w:val="auto"/>
        </w:rPr>
        <w:t>During the pivotal study, the residual astigmatism was treated using light treatments that corrected between 0.75 and 2.00 diopters per treatment. After completion of this study, a low astigmatism treatment of 0.50 diopters was developed. Under FDA guidance, we conducted a clinical study of 25 subjects who had exactly 0.50 diopters of residual astigmatism 3 weeks after implantation of the LAL. These subjects were treated with the new light treatment and effectiveness was evaluated 3 months after cataract surgery. On August 7, 2020, the FDA granted us approval to distribute this device improvement based on a mean manifest astigmatism of 0.14 diopters compared to a historical control of 0.40 diopters from a monofocal control IOL.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in “Outliers”</w:t>
      </w:r>
    </w:p>
    <w:p>
      <w:pPr>
        <w:spacing w:after="0" w:line="104" w:lineRule="exact"/>
        <w:rPr>
          <w:sz w:val="20"/>
          <w:szCs w:val="20"/>
          <w:color w:val="auto"/>
        </w:rPr>
      </w:pPr>
    </w:p>
    <w:p>
      <w:pPr>
        <w:ind w:right="60" w:firstLine="374"/>
        <w:spacing w:after="0" w:line="272" w:lineRule="auto"/>
        <w:rPr>
          <w:sz w:val="20"/>
          <w:szCs w:val="20"/>
          <w:color w:val="auto"/>
        </w:rPr>
      </w:pPr>
      <w:r>
        <w:rPr>
          <w:rFonts w:ascii="Arial" w:cs="Arial" w:eastAsia="Arial" w:hAnsi="Arial"/>
          <w:sz w:val="16"/>
          <w:szCs w:val="16"/>
          <w:color w:val="auto"/>
        </w:rPr>
        <w:t>We believe it is important to interpret the results of clinical studies in the context of the premium lens market. Typically, customers will receive conventional monofocal IOL implantation with a relatively small out of pocket expense. For all premium lenses, however, the patient incurs a significant additional cost, with the expectation of an improved outcome. Therefore, when a patient receives a mediocre or poor outcome (i.e., “outlier” patients), they can be especially disappointed. The three FDA studies presented in Table 1 were conducted to support FDA approval of the listed IOL. While these studies were conducted independently of each other and not as a head-to head comparison, we believe a comparison of the results of these studies is meaningful as they included similar patient populations, study design, follow-up period and study endpoints, as shown in Table 1 below. Importantly, the proportion of these “outlier” patients in the studies was reduced with the LAL with the chance of having significant residual astigmatism (&gt; 1.00 D) or degraded visual acuity (worse than 20/32) ranging from 1.3%-1.5% for the LAL compared to 5.9-16.6% for the other toric IOLs.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Borders>
              <w:top w:val="single" w:sz="8" w:color="auto"/>
              <w:bottom w:val="single" w:sz="8" w:color="auto"/>
            </w:tcBorders>
          </w:tcPr>
          <w:p>
            <w:pPr>
              <w:ind w:left="2280"/>
              <w:spacing w:after="0"/>
              <w:rPr>
                <w:sz w:val="20"/>
                <w:szCs w:val="20"/>
                <w:color w:val="auto"/>
              </w:rPr>
            </w:pPr>
            <w:r>
              <w:rPr>
                <w:rFonts w:ascii="Arial" w:cs="Arial" w:eastAsia="Arial" w:hAnsi="Arial"/>
                <w:sz w:val="18"/>
                <w:szCs w:val="18"/>
                <w:b w:val="1"/>
                <w:bCs w:val="1"/>
                <w:color w:val="auto"/>
              </w:rPr>
              <w:t>Study Lens</w:t>
            </w:r>
          </w:p>
        </w:tc>
        <w:tc>
          <w:tcPr>
            <w:tcW w:w="27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LAL</w:t>
            </w:r>
          </w:p>
        </w:tc>
        <w:tc>
          <w:tcPr>
            <w:tcW w:w="19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Tecnis Toric</w:t>
            </w: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Acrysof Toric</w:t>
            </w:r>
          </w:p>
        </w:tc>
        <w:tc>
          <w:tcPr>
            <w:tcW w:w="0" w:type="dxa"/>
            <w:vAlign w:val="bottom"/>
          </w:tcPr>
          <w:p>
            <w:pPr>
              <w:spacing w:after="0"/>
              <w:rPr>
                <w:sz w:val="1"/>
                <w:szCs w:val="1"/>
                <w:color w:val="auto"/>
              </w:rPr>
            </w:pPr>
          </w:p>
        </w:tc>
      </w:tr>
      <w:tr>
        <w:trPr>
          <w:trHeight w:val="182"/>
        </w:trPr>
        <w:tc>
          <w:tcPr>
            <w:tcW w:w="5000" w:type="dxa"/>
            <w:vAlign w:val="bottom"/>
          </w:tcPr>
          <w:p>
            <w:pPr>
              <w:ind w:left="20"/>
              <w:spacing w:after="0" w:line="182" w:lineRule="exact"/>
              <w:rPr>
                <w:sz w:val="20"/>
                <w:szCs w:val="20"/>
                <w:color w:val="auto"/>
              </w:rPr>
            </w:pPr>
            <w:r>
              <w:rPr>
                <w:rFonts w:ascii="Arial" w:cs="Arial" w:eastAsia="Arial" w:hAnsi="Arial"/>
                <w:sz w:val="18"/>
                <w:szCs w:val="18"/>
                <w:color w:val="auto"/>
              </w:rPr>
              <w:t>Number of Clinical Sites</w:t>
            </w:r>
          </w:p>
        </w:tc>
        <w:tc>
          <w:tcPr>
            <w:tcW w:w="2700" w:type="dxa"/>
            <w:vAlign w:val="bottom"/>
          </w:tcPr>
          <w:p>
            <w:pPr>
              <w:jc w:val="right"/>
              <w:ind w:right="290"/>
              <w:spacing w:after="0" w:line="182" w:lineRule="exact"/>
              <w:rPr>
                <w:sz w:val="20"/>
                <w:szCs w:val="20"/>
                <w:color w:val="auto"/>
              </w:rPr>
            </w:pPr>
            <w:r>
              <w:rPr>
                <w:rFonts w:ascii="Arial" w:cs="Arial" w:eastAsia="Arial" w:hAnsi="Arial"/>
                <w:sz w:val="18"/>
                <w:szCs w:val="18"/>
                <w:color w:val="auto"/>
              </w:rPr>
              <w:t>17</w:t>
            </w:r>
          </w:p>
        </w:tc>
        <w:tc>
          <w:tcPr>
            <w:tcW w:w="1920" w:type="dxa"/>
            <w:vAlign w:val="bottom"/>
          </w:tcPr>
          <w:p>
            <w:pPr>
              <w:jc w:val="right"/>
              <w:ind w:right="90"/>
              <w:spacing w:after="0" w:line="182" w:lineRule="exact"/>
              <w:rPr>
                <w:sz w:val="20"/>
                <w:szCs w:val="20"/>
                <w:color w:val="auto"/>
              </w:rPr>
            </w:pPr>
            <w:r>
              <w:rPr>
                <w:rFonts w:ascii="Arial" w:cs="Arial" w:eastAsia="Arial" w:hAnsi="Arial"/>
                <w:sz w:val="18"/>
                <w:szCs w:val="18"/>
                <w:color w:val="auto"/>
              </w:rPr>
              <w:t>14</w:t>
            </w:r>
          </w:p>
        </w:tc>
        <w:tc>
          <w:tcPr>
            <w:tcW w:w="162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Control Lens</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Monofocal IOL</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Monofocal IOL</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Monofocal IOL</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Study Lens Sample Size</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391</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174</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Control Arm Sample Size</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193</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95</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Study Arm Subject Age: Mean [Min, Max]</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65.6 [41,80]</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69.4 [41,87]</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71.2 (N/A)</w:t>
            </w:r>
          </w:p>
        </w:tc>
        <w:tc>
          <w:tcPr>
            <w:tcW w:w="0" w:type="dxa"/>
            <w:vAlign w:val="bottom"/>
          </w:tcPr>
          <w:p>
            <w:pPr>
              <w:spacing w:after="0"/>
              <w:rPr>
                <w:sz w:val="1"/>
                <w:szCs w:val="1"/>
                <w:color w:val="auto"/>
              </w:rPr>
            </w:pPr>
          </w:p>
        </w:tc>
      </w:tr>
      <w:tr>
        <w:trPr>
          <w:trHeight w:val="176"/>
        </w:trPr>
        <w:tc>
          <w:tcPr>
            <w:tcW w:w="5000" w:type="dxa"/>
            <w:vAlign w:val="bottom"/>
          </w:tcPr>
          <w:p>
            <w:pPr>
              <w:ind w:left="20"/>
              <w:spacing w:after="0" w:line="176" w:lineRule="exact"/>
              <w:rPr>
                <w:sz w:val="20"/>
                <w:szCs w:val="20"/>
                <w:color w:val="auto"/>
              </w:rPr>
            </w:pPr>
            <w:r>
              <w:rPr>
                <w:rFonts w:ascii="Arial" w:cs="Arial" w:eastAsia="Arial" w:hAnsi="Arial"/>
                <w:sz w:val="18"/>
                <w:szCs w:val="18"/>
                <w:color w:val="auto"/>
              </w:rPr>
              <w:t>Study Outcomes</w:t>
            </w:r>
          </w:p>
        </w:tc>
        <w:tc>
          <w:tcPr>
            <w:tcW w:w="270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Statistical</w:t>
            </w:r>
          </w:p>
        </w:tc>
        <w:tc>
          <w:tcPr>
            <w:tcW w:w="1920" w:type="dxa"/>
            <w:vAlign w:val="bottom"/>
          </w:tcPr>
          <w:p>
            <w:pPr>
              <w:jc w:val="right"/>
              <w:ind w:right="90"/>
              <w:spacing w:after="0" w:line="176" w:lineRule="exact"/>
              <w:rPr>
                <w:sz w:val="20"/>
                <w:szCs w:val="20"/>
                <w:color w:val="auto"/>
              </w:rPr>
            </w:pPr>
            <w:r>
              <w:rPr>
                <w:rFonts w:ascii="Arial" w:cs="Arial" w:eastAsia="Arial" w:hAnsi="Arial"/>
                <w:sz w:val="18"/>
                <w:szCs w:val="18"/>
                <w:color w:val="auto"/>
              </w:rPr>
              <w:t>Statistical</w:t>
            </w:r>
          </w:p>
        </w:tc>
        <w:tc>
          <w:tcPr>
            <w:tcW w:w="1620" w:type="dxa"/>
            <w:vAlign w:val="bottom"/>
          </w:tcPr>
          <w:p>
            <w:pPr>
              <w:jc w:val="right"/>
              <w:spacing w:after="0" w:line="176" w:lineRule="exact"/>
              <w:rPr>
                <w:sz w:val="20"/>
                <w:szCs w:val="20"/>
                <w:color w:val="auto"/>
              </w:rPr>
            </w:pPr>
            <w:r>
              <w:rPr>
                <w:rFonts w:ascii="Arial" w:cs="Arial" w:eastAsia="Arial" w:hAnsi="Arial"/>
                <w:sz w:val="18"/>
                <w:szCs w:val="18"/>
                <w:color w:val="auto"/>
              </w:rPr>
              <w:t>Statistical</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270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comparison</w:t>
            </w:r>
          </w:p>
        </w:tc>
        <w:tc>
          <w:tcPr>
            <w:tcW w:w="1920" w:type="dxa"/>
            <w:vAlign w:val="bottom"/>
          </w:tcPr>
          <w:p>
            <w:pPr>
              <w:jc w:val="right"/>
              <w:ind w:right="90"/>
              <w:spacing w:after="0" w:line="176" w:lineRule="exact"/>
              <w:rPr>
                <w:sz w:val="20"/>
                <w:szCs w:val="20"/>
                <w:color w:val="auto"/>
              </w:rPr>
            </w:pPr>
            <w:r>
              <w:rPr>
                <w:rFonts w:ascii="Arial" w:cs="Arial" w:eastAsia="Arial" w:hAnsi="Arial"/>
                <w:sz w:val="18"/>
                <w:szCs w:val="18"/>
                <w:color w:val="auto"/>
              </w:rPr>
              <w:t>comparison</w:t>
            </w:r>
          </w:p>
        </w:tc>
        <w:tc>
          <w:tcPr>
            <w:tcW w:w="1620" w:type="dxa"/>
            <w:vAlign w:val="bottom"/>
          </w:tcPr>
          <w:p>
            <w:pPr>
              <w:jc w:val="right"/>
              <w:spacing w:after="0" w:line="176" w:lineRule="exact"/>
              <w:rPr>
                <w:sz w:val="20"/>
                <w:szCs w:val="20"/>
                <w:color w:val="auto"/>
              </w:rPr>
            </w:pPr>
            <w:r>
              <w:rPr>
                <w:rFonts w:ascii="Arial" w:cs="Arial" w:eastAsia="Arial" w:hAnsi="Arial"/>
                <w:sz w:val="18"/>
                <w:szCs w:val="18"/>
                <w:color w:val="auto"/>
              </w:rPr>
              <w:t>comparison</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270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of means and</w:t>
            </w:r>
          </w:p>
        </w:tc>
        <w:tc>
          <w:tcPr>
            <w:tcW w:w="1920" w:type="dxa"/>
            <w:vAlign w:val="bottom"/>
          </w:tcPr>
          <w:p>
            <w:pPr>
              <w:jc w:val="right"/>
              <w:ind w:right="90"/>
              <w:spacing w:after="0" w:line="176" w:lineRule="exact"/>
              <w:rPr>
                <w:sz w:val="20"/>
                <w:szCs w:val="20"/>
                <w:color w:val="auto"/>
              </w:rPr>
            </w:pPr>
            <w:r>
              <w:rPr>
                <w:rFonts w:ascii="Arial" w:cs="Arial" w:eastAsia="Arial" w:hAnsi="Arial"/>
                <w:sz w:val="18"/>
                <w:szCs w:val="18"/>
                <w:color w:val="auto"/>
              </w:rPr>
              <w:t>of means and</w:t>
            </w:r>
          </w:p>
        </w:tc>
        <w:tc>
          <w:tcPr>
            <w:tcW w:w="1620" w:type="dxa"/>
            <w:vAlign w:val="bottom"/>
          </w:tcPr>
          <w:p>
            <w:pPr>
              <w:jc w:val="right"/>
              <w:spacing w:after="0" w:line="176" w:lineRule="exact"/>
              <w:rPr>
                <w:sz w:val="20"/>
                <w:szCs w:val="20"/>
                <w:color w:val="auto"/>
              </w:rPr>
            </w:pPr>
            <w:r>
              <w:rPr>
                <w:rFonts w:ascii="Arial" w:cs="Arial" w:eastAsia="Arial" w:hAnsi="Arial"/>
                <w:sz w:val="18"/>
                <w:szCs w:val="18"/>
                <w:color w:val="auto"/>
              </w:rPr>
              <w:t>of means and</w:t>
            </w:r>
          </w:p>
        </w:tc>
        <w:tc>
          <w:tcPr>
            <w:tcW w:w="0" w:type="dxa"/>
            <w:vAlign w:val="bottom"/>
          </w:tcPr>
          <w:p>
            <w:pPr>
              <w:spacing w:after="0"/>
              <w:rPr>
                <w:sz w:val="1"/>
                <w:szCs w:val="1"/>
                <w:color w:val="auto"/>
              </w:rPr>
            </w:pPr>
          </w:p>
        </w:tc>
      </w:tr>
      <w:tr>
        <w:trPr>
          <w:trHeight w:val="202"/>
        </w:trPr>
        <w:tc>
          <w:tcPr>
            <w:tcW w:w="5000" w:type="dxa"/>
            <w:vAlign w:val="bottom"/>
          </w:tcPr>
          <w:p>
            <w:pPr>
              <w:spacing w:after="0"/>
              <w:rPr>
                <w:sz w:val="17"/>
                <w:szCs w:val="17"/>
                <w:color w:val="auto"/>
              </w:rPr>
            </w:pPr>
          </w:p>
        </w:tc>
        <w:tc>
          <w:tcPr>
            <w:tcW w:w="270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proportions</w:t>
            </w:r>
          </w:p>
        </w:tc>
        <w:tc>
          <w:tcPr>
            <w:tcW w:w="19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proportions</w:t>
            </w: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proportions</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Range of Pre-operative Cylinder</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0.75 - 3.50</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0.75 - 3.62</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0.75 – &gt;2.00</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Follow-Up Period for Primary Endpoints (months)</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 M</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 M</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6M</w:t>
            </w:r>
          </w:p>
        </w:tc>
        <w:tc>
          <w:tcPr>
            <w:tcW w:w="0" w:type="dxa"/>
            <w:vAlign w:val="bottom"/>
          </w:tcPr>
          <w:p>
            <w:pPr>
              <w:spacing w:after="0"/>
              <w:rPr>
                <w:sz w:val="1"/>
                <w:szCs w:val="1"/>
                <w:color w:val="auto"/>
              </w:rPr>
            </w:pPr>
          </w:p>
        </w:tc>
      </w:tr>
      <w:tr>
        <w:trPr>
          <w:trHeight w:val="176"/>
        </w:trPr>
        <w:tc>
          <w:tcPr>
            <w:tcW w:w="5000" w:type="dxa"/>
            <w:vAlign w:val="bottom"/>
          </w:tcPr>
          <w:p>
            <w:pPr>
              <w:ind w:left="20"/>
              <w:spacing w:after="0" w:line="176" w:lineRule="exact"/>
              <w:rPr>
                <w:sz w:val="20"/>
                <w:szCs w:val="20"/>
                <w:color w:val="auto"/>
              </w:rPr>
            </w:pPr>
            <w:r>
              <w:rPr>
                <w:rFonts w:ascii="Arial" w:cs="Arial" w:eastAsia="Arial" w:hAnsi="Arial"/>
                <w:sz w:val="18"/>
                <w:szCs w:val="18"/>
                <w:color w:val="auto"/>
              </w:rPr>
              <w:t>Range of Lens Cylinder Refractive Correction</w:t>
            </w:r>
          </w:p>
        </w:tc>
        <w:tc>
          <w:tcPr>
            <w:tcW w:w="270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0.75 - 2.00</w:t>
            </w:r>
          </w:p>
        </w:tc>
        <w:tc>
          <w:tcPr>
            <w:tcW w:w="1920" w:type="dxa"/>
            <w:vAlign w:val="bottom"/>
            <w:vMerge w:val="restart"/>
          </w:tcPr>
          <w:p>
            <w:pPr>
              <w:jc w:val="right"/>
              <w:ind w:right="90"/>
              <w:spacing w:after="0"/>
              <w:rPr>
                <w:sz w:val="20"/>
                <w:szCs w:val="20"/>
                <w:color w:val="auto"/>
              </w:rPr>
            </w:pPr>
            <w:r>
              <w:rPr>
                <w:rFonts w:ascii="Arial" w:cs="Arial" w:eastAsia="Arial" w:hAnsi="Arial"/>
                <w:sz w:val="18"/>
                <w:szCs w:val="18"/>
                <w:color w:val="auto"/>
              </w:rPr>
              <w:t>1.03 - 2.74</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1.03 - 2.06</w:t>
            </w:r>
          </w:p>
        </w:tc>
        <w:tc>
          <w:tcPr>
            <w:tcW w:w="0" w:type="dxa"/>
            <w:vAlign w:val="bottom"/>
          </w:tcPr>
          <w:p>
            <w:pPr>
              <w:spacing w:after="0"/>
              <w:rPr>
                <w:sz w:val="1"/>
                <w:szCs w:val="1"/>
                <w:color w:val="auto"/>
              </w:rPr>
            </w:pPr>
          </w:p>
        </w:tc>
      </w:tr>
      <w:tr>
        <w:trPr>
          <w:trHeight w:val="198"/>
        </w:trPr>
        <w:tc>
          <w:tcPr>
            <w:tcW w:w="5000" w:type="dxa"/>
            <w:vAlign w:val="bottom"/>
          </w:tcPr>
          <w:p>
            <w:pPr>
              <w:spacing w:after="0"/>
              <w:rPr>
                <w:sz w:val="17"/>
                <w:szCs w:val="17"/>
                <w:color w:val="auto"/>
              </w:rPr>
            </w:pPr>
          </w:p>
        </w:tc>
        <w:tc>
          <w:tcPr>
            <w:tcW w:w="2700" w:type="dxa"/>
            <w:vAlign w:val="bottom"/>
          </w:tcPr>
          <w:p>
            <w:pPr>
              <w:jc w:val="right"/>
              <w:ind w:right="290"/>
              <w:spacing w:after="0" w:line="198" w:lineRule="exact"/>
              <w:rPr>
                <w:sz w:val="20"/>
                <w:szCs w:val="20"/>
                <w:color w:val="auto"/>
              </w:rPr>
            </w:pPr>
            <w:r>
              <w:rPr>
                <w:rFonts w:ascii="Arial" w:cs="Arial" w:eastAsia="Arial" w:hAnsi="Arial"/>
                <w:sz w:val="18"/>
                <w:szCs w:val="18"/>
                <w:color w:val="auto"/>
              </w:rPr>
              <w:t>(per adjustment)</w:t>
            </w:r>
          </w:p>
        </w:tc>
        <w:tc>
          <w:tcPr>
            <w:tcW w:w="192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Residual astigmatism worse than 1.00 D (%)</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1.5%</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5.9%</w:t>
            </w:r>
          </w:p>
        </w:tc>
        <w:tc>
          <w:tcPr>
            <w:tcW w:w="1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UCDVA worse than 20/32 (%)</w:t>
            </w:r>
          </w:p>
        </w:tc>
        <w:tc>
          <w:tcPr>
            <w:tcW w:w="2700" w:type="dxa"/>
            <w:vAlign w:val="bottom"/>
          </w:tcPr>
          <w:p>
            <w:pPr>
              <w:jc w:val="right"/>
              <w:ind w:right="290"/>
              <w:spacing w:after="0"/>
              <w:rPr>
                <w:sz w:val="20"/>
                <w:szCs w:val="20"/>
                <w:color w:val="auto"/>
              </w:rPr>
            </w:pPr>
            <w:r>
              <w:rPr>
                <w:rFonts w:ascii="Arial" w:cs="Arial" w:eastAsia="Arial" w:hAnsi="Arial"/>
                <w:sz w:val="18"/>
                <w:szCs w:val="18"/>
                <w:b w:val="1"/>
                <w:bCs w:val="1"/>
                <w:color w:val="auto"/>
              </w:rPr>
              <w:t>1.3%</w:t>
            </w:r>
          </w:p>
        </w:tc>
        <w:tc>
          <w:tcPr>
            <w:tcW w:w="1920" w:type="dxa"/>
            <w:vAlign w:val="bottom"/>
          </w:tcPr>
          <w:p>
            <w:pPr>
              <w:jc w:val="right"/>
              <w:ind w:right="90"/>
              <w:spacing w:after="0"/>
              <w:rPr>
                <w:sz w:val="20"/>
                <w:szCs w:val="20"/>
                <w:color w:val="auto"/>
              </w:rPr>
            </w:pPr>
            <w:r>
              <w:rPr>
                <w:rFonts w:ascii="Arial" w:cs="Arial" w:eastAsia="Arial" w:hAnsi="Arial"/>
                <w:sz w:val="18"/>
                <w:szCs w:val="18"/>
                <w:b w:val="1"/>
                <w:bCs w:val="1"/>
                <w:color w:val="auto"/>
              </w:rPr>
              <w:t>10.9%</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Study Lens Total Adverse Events</w:t>
            </w:r>
          </w:p>
        </w:tc>
        <w:tc>
          <w:tcPr>
            <w:tcW w:w="2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6.4%</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6.9%</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Device Related Study Lens Surgical Re-interventions</w:t>
            </w:r>
          </w:p>
        </w:tc>
        <w:tc>
          <w:tcPr>
            <w:tcW w:w="2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Table 1. Comparison of Toric IOL Studies using publicly available data for LAL(P160055), Tecnis Toric (P980040/S039) and Acrysof Toric (P930014/Sl5) IOLs.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to blended vision</w:t>
      </w:r>
    </w:p>
    <w:p>
      <w:pPr>
        <w:spacing w:after="0" w:line="104" w:lineRule="exact"/>
        <w:rPr>
          <w:sz w:val="20"/>
          <w:szCs w:val="20"/>
          <w:color w:val="auto"/>
        </w:rPr>
      </w:pPr>
    </w:p>
    <w:p>
      <w:pPr>
        <w:ind w:right="20" w:firstLine="374"/>
        <w:spacing w:after="0"/>
        <w:rPr>
          <w:sz w:val="20"/>
          <w:szCs w:val="20"/>
          <w:color w:val="auto"/>
        </w:rPr>
      </w:pPr>
      <w:r>
        <w:rPr>
          <w:rFonts w:ascii="Arial" w:cs="Arial" w:eastAsia="Arial" w:hAnsi="Arial"/>
          <w:sz w:val="18"/>
          <w:szCs w:val="18"/>
          <w:color w:val="auto"/>
        </w:rPr>
        <w:t>Light treatment data from the first 2,325 commercially treated LAL’s indicated that nearly 80% of commercial patients received some form of blended vision with a mean target of 1.00 diopters of add in their “near” eye. One of the unique aspects of the LAL is that patients undergo post cataract surgery light treatments during which they can provide feedback to their doctor about their visual preferences as the amount of refractive difference that is well tolerated between the two eyes is very patient dependent. Importantly, LDD data indicates that nearly two thirds of LAL patients elect to change the target refraction in either the near or distance eye compared to the originally selected target treatment, something that would not be possible with a conventional IOL (except through a second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surgical procedure such as LASIK). The graph below shows a histogram of initial and final near add targets in LAL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109220</wp:posOffset>
            </wp:positionV>
            <wp:extent cx="3951605" cy="2931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5160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Figure 1: Distribution of initial and final Near Add of over 2,000 commercial LAL eyes.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right="20" w:firstLine="374"/>
        <w:spacing w:after="0" w:line="269" w:lineRule="auto"/>
        <w:rPr>
          <w:sz w:val="20"/>
          <w:szCs w:val="20"/>
          <w:color w:val="auto"/>
        </w:rPr>
      </w:pPr>
      <w:r>
        <w:rPr>
          <w:rFonts w:ascii="Arial" w:cs="Arial" w:eastAsia="Arial" w:hAnsi="Arial"/>
          <w:sz w:val="16"/>
          <w:szCs w:val="16"/>
          <w:color w:val="auto"/>
        </w:rPr>
        <w:t>We sell our RxSight system to cataract doctors and are initially focused on establishing commercial adoption in the United States. We commenced a limited launch in the third quarter of 2019 and full commercial launch in the first quarter of 2020 and are initially focused on surgeons that perform a high volume of premium cataract surgery procedures. The market is relatively concentrated as there are as many as 3,000 cataract surgeons that performed approximately 70% to 80% of the premium cataract procedures in the United States in 2021. These surgeons are typically part of larger ophthalmology practices with multiple cataract surgeons. According to Market Scope, there are approximately 10,000 surgeons that perform cataract surgery in the United States. These surgeons typically have refractive surgery practices offering LASIK and are skilled at selling premium procedures to patients on the basis that they offer better vision outcomes. When establishing new customer relationships with cataract surgeons, we typically enter into a sales contract for our LDD for approximately $120,000 and the LAL for approximately $1,000 and a consignment agreement for our LALs. We are initially focused on selling in the United States, we have also received the CE Mark and regulatory approval in Mexico for improving uncorrected visual acuity by adjusting the LAL power to correct residual postoperative refractive error and may selectively pursue future commercial expansion in Europe or other geographies that represent significant volume opportunity, including key markets in Asia. Market Scope estimates that the United States represents approximately 26% of the global premium IOL procedures and 39% of the global premium IOL market value.</w:t>
      </w:r>
    </w:p>
    <w:p>
      <w:pPr>
        <w:spacing w:after="0" w:line="90"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We commercialize our products in the United States through our direct sales team which as of December 31, 2021 includes 18 LDD sales personnel, 14 LAL sales personnel, and a group of over 55 clinical specialists, field service, customer service, and marketing personnel. Our sales personnel generally have relevant experience selling cataract surgery products, as well as medical device service and clinical experience. Our commercial strategy involves a “razor and razor blade” sales model, through which we aim to drive adoption of our RxSight system by increasing our installed base of LDDs, which enable consumable revenues from the sale of our LALs. Our LDD sales personnel, all of whom have previous experience selling IOLs and capital equipment to cataract and refractive surgery practices, are responsible for establishing relationships with doctors and winning new customers. After training at our facility in California our sales personnel are generally proficient to sell the LDD after two to three weeks, assisted, if necessary, by our clinical applications specialists. Our LAL sales personnel are focused 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right="80"/>
        <w:spacing w:after="0" w:line="255" w:lineRule="auto"/>
        <w:rPr>
          <w:sz w:val="20"/>
          <w:szCs w:val="20"/>
          <w:color w:val="auto"/>
        </w:rPr>
      </w:pPr>
      <w:r>
        <w:rPr>
          <w:rFonts w:ascii="Arial" w:cs="Arial" w:eastAsia="Arial" w:hAnsi="Arial"/>
          <w:sz w:val="17"/>
          <w:szCs w:val="17"/>
          <w:color w:val="auto"/>
        </w:rPr>
        <w:t>driving utilization of our LALs by helping customers succeed with our products and build their premium procedure practices. These team members are responsible for educating doctors, training the clinic staff, ophthalmologists and surgeon on selling the benefits of our RxSight system to patients, assisting with patient flow processes for our light adjustable lens system, and providing ongoing customer support. Our clinical specialists will train customers on the use of the LDD and follow initial patients at new customers from implant to completion of LDD treatments, ensuring the surgery center, clinic, ophthalmologists, and surgeons are comfortable with the benefits of our RxSight system. While we believe we can cover this concentrated market with a focused sales force, we plan to continue to add highly qualified personnel to our commercial organization, with a strategic mix of sales personnel and clinical specialists, to drive further awareness and penetration with cataract surgeons.</w:t>
      </w:r>
    </w:p>
    <w:p>
      <w:pPr>
        <w:spacing w:after="0" w:line="99" w:lineRule="exact"/>
        <w:rPr>
          <w:sz w:val="20"/>
          <w:szCs w:val="20"/>
          <w:color w:val="auto"/>
        </w:rPr>
      </w:pPr>
    </w:p>
    <w:p>
      <w:pPr>
        <w:ind w:right="60" w:firstLine="374"/>
        <w:spacing w:after="0" w:line="252" w:lineRule="auto"/>
        <w:rPr>
          <w:sz w:val="20"/>
          <w:szCs w:val="20"/>
          <w:color w:val="auto"/>
        </w:rPr>
      </w:pPr>
      <w:r>
        <w:rPr>
          <w:rFonts w:ascii="Arial" w:cs="Arial" w:eastAsia="Arial" w:hAnsi="Arial"/>
          <w:sz w:val="17"/>
          <w:szCs w:val="17"/>
          <w:color w:val="auto"/>
        </w:rPr>
        <w:t>In addition to efforts focused on the high-volume cataract surgeons, we also aim to drive broad adoption with cataract surgeons and to make the RxSight system the standard of care for premium cataract surgery. To achieve this, our commercial organization is focused on driving awareness of the RxSight system through marketing efforts which include promotions at industry and society conferences, podium presentations, publications, social media, and educational webinars focused on highlighting the differentiated benefits of our system. While we believe that most doctors who are experienced with premium IOLs require minimal training to utilize our system, we have also developed a robust education capability for doctors, including tools, training programs and peer-to-peer support to facilitate adoption across doctors with all levels of experience. Because cataract surgery using LALs is largely equivalent to the same surgery used for other IOL products, surgeons only require a one-time training on implantation of our LAL. The surgeon, optometrist and technicians are trained on the use of the LDD. Our clinical training specialist attends the first day the staff conducts the LDD treatments to answer questions and direct the process. The clinical training function is an essential component to properly onboard new customers in the United States and to help existing customers utilize the technology to its full potential. For this reason, all customer operations team functions are fully integrated with our sales team and collaborate on new customer onboarding as well as supporting customers with training of their new personnel, upgrades and new indications for use and on-call questions.</w:t>
      </w:r>
    </w:p>
    <w:p>
      <w:pPr>
        <w:spacing w:after="0" w:line="116" w:lineRule="exact"/>
        <w:rPr>
          <w:sz w:val="20"/>
          <w:szCs w:val="20"/>
          <w:color w:val="auto"/>
        </w:rPr>
      </w:pPr>
    </w:p>
    <w:p>
      <w:pPr>
        <w:ind w:right="40" w:firstLine="374"/>
        <w:spacing w:after="0" w:line="266" w:lineRule="auto"/>
        <w:rPr>
          <w:sz w:val="20"/>
          <w:szCs w:val="20"/>
          <w:color w:val="auto"/>
        </w:rPr>
      </w:pPr>
      <w:r>
        <w:rPr>
          <w:rFonts w:ascii="Arial" w:cs="Arial" w:eastAsia="Arial" w:hAnsi="Arial"/>
          <w:sz w:val="16"/>
          <w:szCs w:val="16"/>
          <w:color w:val="auto"/>
        </w:rPr>
        <w:t>We believe providing ongoing support post-installation is critical to our success in commercializing the RxSight system. We maintain a team of field service engineers, distributed amongst our three core regions, who are responsible for the LDD installation, preventive maintenance and repairs when needed. This team is also responsible for conducting site surveys and ensuring a smooth installation process, typically over a four to five-hour window. The LDD’s reliability has an MTBF (Mean-time-between-failure) of over 215 days, providing a stable uptime. In addition to our field service team, we have an internal customer experience department that directly supports the customer, clinical training specialists and the field service team. We measure our customers’ onboarding satisfaction with an automated customer survey to all participants in the on-boarding training, after the surgeon has completed their first LAL surgery. The survey asks the customer to rate their satisfaction with the overall support and guidance provided by us during the product integration period. Our cumulative surveys, with 268 respondents, compiled as of Q4 2021 indicated 82.5% “Strongly Agree,” and 16.0% “Agree” and</w:t>
      </w:r>
    </w:p>
    <w:p>
      <w:pPr>
        <w:spacing w:after="0" w:line="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1.5% “not sure” that they were satisfied with the overall support and guidance provided by us during the product integration period. We also elicit, in an open-ended question, suggestions for improvement, with no comments noting a material dissatisfaction with the RxSight system or training. In addition, we conduct a customer satisfaction survey of all customers approximately every 12 months.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jc w:val="both"/>
        <w:ind w:right="180" w:firstLine="374"/>
        <w:spacing w:after="0" w:line="248" w:lineRule="auto"/>
        <w:rPr>
          <w:sz w:val="20"/>
          <w:szCs w:val="20"/>
          <w:color w:val="auto"/>
        </w:rPr>
      </w:pPr>
      <w:r>
        <w:rPr>
          <w:rFonts w:ascii="Arial" w:cs="Arial" w:eastAsia="Arial" w:hAnsi="Arial"/>
          <w:sz w:val="18"/>
          <w:szCs w:val="18"/>
          <w:color w:val="auto"/>
        </w:rPr>
        <w:t>Our research and development activities are focused on improving clinical outcomes, improving customer experience, expanding our indications for use, reducing manufacturing costs and lifecycle management. Since our initial FDA approval in November 2017, we have received fifteen supplemental approvals including:</w:t>
      </w:r>
    </w:p>
    <w:p>
      <w:pPr>
        <w:spacing w:after="0" w:line="101"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range of available LAL powers (4.0 — 30.0 diopters from a previous range of 10.0 — 30.0 diopters);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corrections of 0.50 diopters of residual refractive error (initial capability was for correction down to 0.75 diopters of residual refractive error);</w:t>
      </w:r>
    </w:p>
    <w:p>
      <w:pPr>
        <w:spacing w:after="0" w:line="167"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 LAL injector and cartridge for customer ease of use and smaller cataract incision size (less likely to induce corneal astigmatism);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UV spectacles with improved aesthetics and usability;</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of a photosensitive anterior layer that protects the lens from unwanted UV exposure (ActivShield);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Various manufacturing improvements for the LAL and LDD.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Ongoing future development activities are expected to include:</w:t>
      </w:r>
    </w:p>
    <w:p>
      <w:pPr>
        <w:spacing w:after="0" w:line="14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dependence on UV protective glasses and patient visits;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reductions to the LDD; and manufacturing and supply;</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LAL injector and cartridge improvement for surgeon and technician ease of use.</w:t>
      </w:r>
    </w:p>
    <w:p>
      <w:pPr>
        <w:spacing w:after="0" w:line="144" w:lineRule="exact"/>
        <w:rPr>
          <w:sz w:val="20"/>
          <w:szCs w:val="20"/>
          <w:color w:val="auto"/>
        </w:rPr>
      </w:pPr>
    </w:p>
    <w:p>
      <w:pPr>
        <w:ind w:right="980" w:firstLine="374"/>
        <w:spacing w:after="0" w:line="375" w:lineRule="auto"/>
        <w:rPr>
          <w:sz w:val="20"/>
          <w:szCs w:val="20"/>
          <w:color w:val="auto"/>
        </w:rPr>
      </w:pPr>
      <w:r>
        <w:rPr>
          <w:rFonts w:ascii="Arial" w:cs="Arial" w:eastAsia="Arial" w:hAnsi="Arial"/>
          <w:sz w:val="18"/>
          <w:szCs w:val="18"/>
          <w:color w:val="auto"/>
        </w:rPr>
        <w:t xml:space="preserve">Research and development expenses were $24.5 million and $21.9 million for the year ended December 31, 2021 and 2020, respectively. </w:t>
      </w:r>
      <w:r>
        <w:rPr>
          <w:rFonts w:ascii="Arial" w:cs="Arial" w:eastAsia="Arial" w:hAnsi="Arial"/>
          <w:sz w:val="18"/>
          <w:szCs w:val="18"/>
          <w:b w:val="1"/>
          <w:bCs w:val="1"/>
          <w:color w:val="auto"/>
        </w:rPr>
        <w:t>Manufacturing and supply</w:t>
      </w:r>
    </w:p>
    <w:p>
      <w:pPr>
        <w:spacing w:after="0" w:line="1"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We currently manufacture, assemble, test, and ship our LAL and LDD, and various accessory products including a custom injector system for use with our LAL at our campus of four facilities and approximately 121,000 square feet total in Aliso Viejo, California. We have intentionally pursued a vertically integrated manufacturing strategy offering critical advantages, including control over our product quality and rapid product iteration using strong R&amp;D and quality groups. We believe our current manufacturing capacity is sufficient to meet our current expected demand for at least the next 12 months.</w:t>
      </w:r>
    </w:p>
    <w:p>
      <w:pPr>
        <w:spacing w:after="0" w:line="88" w:lineRule="exact"/>
        <w:rPr>
          <w:sz w:val="20"/>
          <w:szCs w:val="20"/>
          <w:color w:val="auto"/>
        </w:rPr>
      </w:pPr>
    </w:p>
    <w:p>
      <w:pPr>
        <w:ind w:right="40" w:firstLine="374"/>
        <w:spacing w:after="0" w:line="279" w:lineRule="auto"/>
        <w:rPr>
          <w:sz w:val="20"/>
          <w:szCs w:val="20"/>
          <w:color w:val="auto"/>
        </w:rPr>
      </w:pPr>
      <w:r>
        <w:rPr>
          <w:rFonts w:ascii="Arial" w:cs="Arial" w:eastAsia="Arial" w:hAnsi="Arial"/>
          <w:sz w:val="16"/>
          <w:szCs w:val="16"/>
          <w:color w:val="auto"/>
        </w:rPr>
        <w:t>We are registered with the FDA as a medical device manufacturer and are licensed by the State of California to manufacture and distribute our medical devices. We are required to manufacture our products in compliance with the FDA’s Quality System Regulation, or QSR (21 CFR 820). The FDA enforces the QSR through periodic inspections and may also inspect the facilities of our suppliers. We moved to our current Aliso Viejo, California facilities starting in April 2016, all of which have been registered with the FDA, the State of California, and the European Notified Body (British Standards Institution) for the manufacture and distribution of medical devices. The FDA conducted its most recent inspection of our facilities in December 2021.</w:t>
      </w:r>
    </w:p>
    <w:p>
      <w:pPr>
        <w:spacing w:after="0" w:line="92" w:lineRule="exact"/>
        <w:rPr>
          <w:sz w:val="20"/>
          <w:szCs w:val="20"/>
          <w:color w:val="auto"/>
        </w:rPr>
      </w:pPr>
    </w:p>
    <w:p>
      <w:pPr>
        <w:ind w:right="200" w:firstLine="374"/>
        <w:spacing w:after="0" w:line="279" w:lineRule="auto"/>
        <w:rPr>
          <w:sz w:val="20"/>
          <w:szCs w:val="20"/>
          <w:color w:val="auto"/>
        </w:rPr>
      </w:pPr>
      <w:r>
        <w:rPr>
          <w:rFonts w:ascii="Arial" w:cs="Arial" w:eastAsia="Arial" w:hAnsi="Arial"/>
          <w:sz w:val="16"/>
          <w:szCs w:val="16"/>
          <w:color w:val="auto"/>
        </w:rPr>
        <w:t>We have received International Organization for Standardization, or ISO, 13485:2016 certification for our quality management system. ISO certification generally includes recertification audits every third year, scheduled annual surveillance audits and periodic unannounced audits. The most recent recertification and surveillance audit was conducted in December 2021. The last unannounced audit on our facilities was performed in May 2018. We have also received quality system certification to the Medical Device Single Audit Program (MDSAP) to cover the jurisdictions of United States, Canada, Brazil, Japan, and Australia from the British Standards Institution. The MDSAP certification follows the ISO 13485:2016 certification schedule.</w:t>
      </w:r>
    </w:p>
    <w:p>
      <w:pPr>
        <w:spacing w:after="0" w:line="78" w:lineRule="exact"/>
        <w:rPr>
          <w:sz w:val="20"/>
          <w:szCs w:val="20"/>
          <w:color w:val="auto"/>
        </w:rPr>
      </w:pPr>
    </w:p>
    <w:p>
      <w:pPr>
        <w:ind w:right="80" w:firstLine="374"/>
        <w:spacing w:after="0" w:line="262" w:lineRule="auto"/>
        <w:rPr>
          <w:sz w:val="20"/>
          <w:szCs w:val="20"/>
          <w:color w:val="auto"/>
        </w:rPr>
      </w:pPr>
      <w:r>
        <w:rPr>
          <w:rFonts w:ascii="Arial" w:cs="Arial" w:eastAsia="Arial" w:hAnsi="Arial"/>
          <w:sz w:val="17"/>
          <w:szCs w:val="17"/>
          <w:color w:val="auto"/>
        </w:rPr>
        <w:t>The LAL is a silicone intraocular lens made from a proprietary blend of custom chemical components. Chemical component vendors produce the raw materials, which we inspect, blend, further purify, and process, and formulate into uncured silicone blend. Using this uncured silicone, we mold the lens in one of our two Class 7 clean rooms. After curing, the molded lens is inspected and packaged and then sent to a third-party ethylene oxide sterilization vendor. After sterilization, the lens is returned to us for final inspection, packaging, and shipment to customers.</w:t>
      </w:r>
    </w:p>
    <w:p>
      <w:pPr>
        <w:spacing w:after="0" w:line="105"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Our LDD is a UV projector medical device, which consists of an anterior segment biomicroscope, computer controllers for performing light treatments, and a biometrically designed patient interface and table. The optics are bonded into their mounts using epoxies, which are then oven cured, assembled into the main optical housing and optimized on a proprietary precision alignment station. The completed optical head is integrated into the table, along with a computer, power supplies and other electro-mechanical parts. We outsource the cables and circuit boards used in the LDD to certified specialty contract manufacturers. The fully assembled LDD is put through an electrical safety and final acceptance test process, and then reviewed by quality control, packaged and shipped directly to our customers for installation.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right="40" w:firstLine="419"/>
        <w:spacing w:after="0" w:line="239" w:lineRule="auto"/>
        <w:rPr>
          <w:sz w:val="20"/>
          <w:szCs w:val="20"/>
          <w:color w:val="auto"/>
        </w:rPr>
      </w:pPr>
      <w:r>
        <w:rPr>
          <w:rFonts w:ascii="Arial" w:cs="Arial" w:eastAsia="Arial" w:hAnsi="Arial"/>
          <w:sz w:val="18"/>
          <w:szCs w:val="18"/>
          <w:color w:val="auto"/>
        </w:rPr>
        <w:t>In addition, to aid the doctor in implanting the LAL, we provide several accessories including a custom insertion system and a contact lens. The insertion system consists of a disposable cartridge and a reusable injector handpiece. The disposable cartridge is processed, inspected, and packaged by us while having ethylene oxide sterilization performed by a third-party vendor. The reusable injector handpiece is manufactured by a third-party vendor and is inspected and packaged by us. We also manufacture, inspect, and package a reusable contact lens for administering UV light treatments. The end user is responsible for performing cleaning and sterilization of the injector handpiece and the contact lens following directions for use and hands on training provided by us. We also provide custom UV glasses that are manufactured by third party vendors, and then inspected and shipped by us from our facilities to our customers.</w:t>
      </w:r>
    </w:p>
    <w:p>
      <w:pPr>
        <w:spacing w:after="0" w:line="110" w:lineRule="exact"/>
        <w:rPr>
          <w:sz w:val="20"/>
          <w:szCs w:val="20"/>
          <w:color w:val="auto"/>
        </w:rPr>
      </w:pPr>
    </w:p>
    <w:p>
      <w:pPr>
        <w:ind w:firstLine="374"/>
        <w:spacing w:after="0" w:line="251" w:lineRule="auto"/>
        <w:rPr>
          <w:sz w:val="20"/>
          <w:szCs w:val="20"/>
          <w:color w:val="auto"/>
        </w:rPr>
      </w:pPr>
      <w:r>
        <w:rPr>
          <w:rFonts w:ascii="Arial" w:cs="Arial" w:eastAsia="Arial" w:hAnsi="Arial"/>
          <w:sz w:val="17"/>
          <w:szCs w:val="17"/>
          <w:color w:val="auto"/>
        </w:rPr>
        <w:t>We use a combination of internally manufactured and externally sourced components to produce the LAL, LDD, custom insertion system, and other accessory products. Externally sourced components include off-the-shelf chemical, materials, microchips integrated into printed circuit boards and cables, sub-assemblies, and custom parts that are provided by qualified and approved suppliers. We also employ a third-party sterilization vendor. Some components are provided by single-source or sole source suppliers. While there are other suppliers that could make or provide any one of our single sourced components, we seek to manage single-source supplier risk by regularly assessing the quality and capacity of our suppliers, implementing supply and quality agreements where appropriate and actively managing lead times and inventory levels of sourced components. In addition, we are currently in the process of identifying and approving alternative suppliers to dual or multi-source certain of our LAL raw materials and LDD components. We generally seek to maintain sufficient supply levels to help mitigate any supply interruptions and enable us to find and qualify another source of supply. Order quantities and lead times for externally sourced components are based on our forecasts, which are derived from historical demand and anticipated future demand. Lead times for components may vary depending on the size of the order, time required to fabricate and test the components, specific supplier requirements and current market demand for the materials, sub-assemblies, and parts. In addition, COVID-19 has resulted in manufacturing interruptions at single and sole source suppliers in the United States, European Union, the U.K. and China, which we have been able to mitigate, to date, with selected pre-payment for product, expedite fees, sourcing from alternative suppliers, placing orders for specific chip sets separate from third party suppliers to ensure supply and longer-term orders.</w:t>
      </w:r>
    </w:p>
    <w:p>
      <w:pPr>
        <w:spacing w:after="0" w:line="121"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Our suppliers are evaluated, qualified, and approved as part of our supplier quality program, which includes verification and monitoring procedures to ensure that our suppliers comply with FDA and ISO standards, as well as our own specifications and requirements. We inspect and verify externally sourced components under strict processes supported by internal policies and procedures. We maintain a rigorous change control policy to assure that no product or process changes are implemented without our prior review and approval.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 and patient billing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aspect payment model</w:t>
      </w:r>
    </w:p>
    <w:p>
      <w:pPr>
        <w:spacing w:after="0" w:line="104"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In the United States, the CMS has determined that the additional refractive correction provided by astigmatism correcting and presbyopia correcting (premium) IOLs is not a covered benefit. As described in two CMS rulings (CMS 05-01 and CMS 1536-R), premium IOLs have both a covered and non-covered aspect, providing the framework for the “dual-aspect payment model”. In effect since 2005, this model means that CMS does not reimburse the physician or the facility for the additional costs associated with a premium IOL, while still covering the cost of the conventional IOL procedure. Instead, the patient selecting a premium IOL is responsible for the additional charges from the physician and from the facility that exceed the regular charges for insertion of a conventional IOL that are submitted to CMS by each of these providers. As of 2017, CMS has recognized the LAL as an astigmatism correcting (premium) IOL, making it eligible for the dual aspect payment model. Most commercial payers mirror the Medicare rulings, but this can vary by payer.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 coding and payment</w:t>
      </w:r>
    </w:p>
    <w:p>
      <w:pPr>
        <w:spacing w:after="0" w:line="104" w:lineRule="exact"/>
        <w:rPr>
          <w:sz w:val="20"/>
          <w:szCs w:val="20"/>
          <w:color w:val="auto"/>
        </w:rPr>
      </w:pPr>
    </w:p>
    <w:p>
      <w:pPr>
        <w:ind w:right="160" w:firstLine="374"/>
        <w:spacing w:after="0" w:line="248" w:lineRule="auto"/>
        <w:rPr>
          <w:sz w:val="20"/>
          <w:szCs w:val="20"/>
          <w:color w:val="auto"/>
        </w:rPr>
      </w:pPr>
      <w:r>
        <w:rPr>
          <w:rFonts w:ascii="Arial" w:cs="Arial" w:eastAsia="Arial" w:hAnsi="Arial"/>
          <w:sz w:val="18"/>
          <w:szCs w:val="18"/>
          <w:color w:val="auto"/>
        </w:rPr>
        <w:t>In the United States, we primarily sell our LAL products to ambulatory surgical centers (“ASC’s”) and occasionally to hospitals. These customers in turn bill various third-party payors, such as commercial payors and state and government payors, as well as patients directly for the services provided to each patient.</w:t>
      </w:r>
    </w:p>
    <w:p>
      <w:pPr>
        <w:spacing w:after="0" w:line="114" w:lineRule="exact"/>
        <w:rPr>
          <w:sz w:val="20"/>
          <w:szCs w:val="20"/>
          <w:color w:val="auto"/>
        </w:rPr>
      </w:pPr>
    </w:p>
    <w:p>
      <w:pPr>
        <w:jc w:val="both"/>
        <w:ind w:right="320" w:firstLine="374"/>
        <w:spacing w:after="0" w:line="248" w:lineRule="auto"/>
        <w:rPr>
          <w:sz w:val="20"/>
          <w:szCs w:val="20"/>
          <w:color w:val="auto"/>
        </w:rPr>
      </w:pPr>
      <w:r>
        <w:rPr>
          <w:rFonts w:ascii="Arial" w:cs="Arial" w:eastAsia="Arial" w:hAnsi="Arial"/>
          <w:sz w:val="18"/>
          <w:szCs w:val="18"/>
          <w:color w:val="auto"/>
        </w:rPr>
        <w:t>Third-party payors require physicians and hospitals to identify the service for which they are seeking reimbursement by using Current Procedural Terminology, or CPT, codes, which are created and maintained by the American Medical Association, or AMA. For cataract surgery, the most common specific CPT codes are 66984</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4" w:name="page25"/>
    <w:bookmarkEnd w:id="24"/>
    <w:p>
      <w:pPr>
        <w:spacing w:after="0" w:line="241" w:lineRule="auto"/>
        <w:rPr>
          <w:sz w:val="20"/>
          <w:szCs w:val="20"/>
          <w:color w:val="auto"/>
        </w:rPr>
      </w:pPr>
      <w:r>
        <w:rPr>
          <w:rFonts w:ascii="Arial" w:cs="Arial" w:eastAsia="Arial" w:hAnsi="Arial"/>
          <w:sz w:val="18"/>
          <w:szCs w:val="18"/>
          <w:color w:val="auto"/>
        </w:rPr>
        <w:t>(Cataract surgery with IOL, on stage) and 66982 (Cataract surgery, complex). The facility fees associated with these codes include payment for a conventional IOL, up to $150. A specific HCPCS code is listed on the CMS claim by the facility to indicate use of premium IOL for tracking purposes only (V2787 or V2788 for astigmatism-correcting or presbyopia-correction function of IOL respectively). Similarly, the physician includes HCPCS code A9270 (non-covered item or service) on their claim to Medicare (or another third party) to indicate charges for extended care related to the correction of refractive error.</w:t>
      </w:r>
    </w:p>
    <w:p>
      <w:pPr>
        <w:spacing w:after="0" w:line="108"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While an Advanced Beneficiary Notice (“ABN”) or Notice of Exclusion from Medicare Benefits (“NEMB”) is not required, most providers issue an ABN or NEMB to alert patients that CMS (or non-Medicare payers) do not cover the additional charges associated with a premium IOL and to get the patient’s agreement to pay these charges. Patients are then billed directly by the physician and the ASC for these charges. In some cases, the physician bills the patient exclusively and then reimburses the ASC for the additional cost of the Premium IOL.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payor and government program coverage</w:t>
      </w:r>
    </w:p>
    <w:p>
      <w:pPr>
        <w:spacing w:after="0" w:line="104" w:lineRule="exact"/>
        <w:rPr>
          <w:sz w:val="20"/>
          <w:szCs w:val="20"/>
          <w:color w:val="auto"/>
        </w:rPr>
      </w:pPr>
    </w:p>
    <w:p>
      <w:pPr>
        <w:ind w:right="20" w:firstLine="374"/>
        <w:spacing w:after="0" w:line="284" w:lineRule="auto"/>
        <w:rPr>
          <w:sz w:val="20"/>
          <w:szCs w:val="20"/>
          <w:color w:val="auto"/>
        </w:rPr>
      </w:pPr>
      <w:r>
        <w:rPr>
          <w:rFonts w:ascii="Arial" w:cs="Arial" w:eastAsia="Arial" w:hAnsi="Arial"/>
          <w:sz w:val="16"/>
          <w:szCs w:val="16"/>
          <w:color w:val="auto"/>
        </w:rPr>
        <w:t>While the dual aspect payment model has been in use for over 15 years, the extent to which this model will be used by non-government third-party payors, such as commercial insurance, and managed healthcare organizations may vary. One third-party payor’s decision does not ensure that other payors will also follow this model. As a result, the coverage determination process can require manufacturers to provide additional support for the use of a product to each payor separately. This can be a time-consuming process, with no assurance that the dual aspect model will be applied consistently.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104" w:lineRule="exact"/>
        <w:rPr>
          <w:sz w:val="20"/>
          <w:szCs w:val="20"/>
          <w:color w:val="auto"/>
        </w:rPr>
      </w:pPr>
    </w:p>
    <w:p>
      <w:pPr>
        <w:ind w:right="20" w:firstLine="374"/>
        <w:spacing w:after="0" w:line="272" w:lineRule="auto"/>
        <w:rPr>
          <w:sz w:val="20"/>
          <w:szCs w:val="20"/>
          <w:color w:val="auto"/>
        </w:rPr>
      </w:pPr>
      <w:r>
        <w:rPr>
          <w:rFonts w:ascii="Arial" w:cs="Arial" w:eastAsia="Arial" w:hAnsi="Arial"/>
          <w:sz w:val="16"/>
          <w:szCs w:val="16"/>
          <w:color w:val="auto"/>
        </w:rPr>
        <w:t>In international markets, reimbursement and healthcare payment systems also vary significantly by country, and many countries have instituted price ceilings on specific products and therapies. In many countries, analogous determinations to the dual aspect CMS ruling have been made, allowing for partial coverage of the cataract procedure by national health systems, with patients paying out of pocket for refractive services associated with the premium IOL. In other countries, such dual billing is not allowed, forcing patients to pay for the entire cost of the cataract surgery and IOL when a premium IOL is used. In such markets, it may be possible for doctors to charge separately for the cost of light treatments, which are not part of the cataract procedure. This method would require a different billing methodology by us than is currently used in the United States, where light treatments are included with the purchase of the LAL. There is no assurance that these methodologies will be allowed or that an adequate level of payment will be established, or that the third-party payors’ reimbursement policies will not adversely affect the ability for manufacturers to sell products profitably.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Agreements, and Other Material Agreements</w:t>
      </w:r>
    </w:p>
    <w:p>
      <w:pPr>
        <w:spacing w:after="0" w:line="108"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Our success depends in part on our ability to obtain, maintain, protect, and enforce our intellectual property rights, including our patent rights, preserve the confidentiality of our trade secrets, operate without infringing, misappropriating or otherwise violating the intellectual property rights of others and prevent others from infringing, misappropriating or otherwise violating our intellectual property rights. We rely on a combination of patent, trademark, trade secret, copyright and other intellectual property rights and measures to protect the products and technology that we consider important to our business. We also rely on know-how and continuing technological innovation to develop and maintain our competitive position.</w:t>
      </w:r>
    </w:p>
    <w:p>
      <w:pPr>
        <w:spacing w:after="0" w:line="106"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covers various aspects of our LDD, LAL and related devices and methods.</w:t>
      </w:r>
    </w:p>
    <w:p>
      <w:pPr>
        <w:spacing w:after="0" w:line="96" w:lineRule="exact"/>
        <w:rPr>
          <w:sz w:val="20"/>
          <w:szCs w:val="20"/>
          <w:color w:val="auto"/>
        </w:rPr>
      </w:pPr>
    </w:p>
    <w:p>
      <w:pPr>
        <w:ind w:right="100" w:firstLine="374"/>
        <w:spacing w:after="0" w:line="27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Generally, in the United States, issued patents are granted a term of 20 years from the earliest claimed non-provisional or Patent Cooperation Treaty (“PCT”) filing date. In certain instances, a patent term can be adjusted to recapture a portion of delay by the U.S. Patent and Trademark Office (“USPTO”), in examining the patent application (patent term adjustment, or PTA) or extended to account for term effectively lost as a result of the FDA regulatory review period (patent term extension, or PTE), or both. Additionally, a patent term may be shortened if a patent is terminally disclaimed over an earlier filed patent. However, the life of the patent, and the protection it affords, is limited. In addition, we cannot provide any assurance that any patents will be issued from our pending or</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5" w:name="page26"/>
    <w:bookmarkEnd w:id="25"/>
    <w:p>
      <w:pPr>
        <w:ind w:right="60"/>
        <w:spacing w:after="0" w:line="243" w:lineRule="auto"/>
        <w:rPr>
          <w:sz w:val="20"/>
          <w:szCs w:val="20"/>
          <w:color w:val="auto"/>
        </w:rPr>
      </w:pPr>
      <w:r>
        <w:rPr>
          <w:rFonts w:ascii="Arial" w:cs="Arial" w:eastAsia="Arial" w:hAnsi="Arial"/>
          <w:sz w:val="18"/>
          <w:szCs w:val="18"/>
          <w:color w:val="auto"/>
        </w:rPr>
        <w:t>future applications or that any issued patents will adequately protect our current and future products. We also cannot predict the breadth of claims that may be allowed or enforced in our owned or in-licensed patents or whether such claims, if issued, will cover our products, provide sufficient protection from competitors or otherwise provide any competitive advantage. Any issued patents that we may own or in-license in the future may be challenged, invalidated, narrowed, held unenforceable, infringed or circumvented.</w:t>
      </w:r>
    </w:p>
    <w:p>
      <w:pPr>
        <w:spacing w:after="0" w:line="107" w:lineRule="exact"/>
        <w:rPr>
          <w:sz w:val="20"/>
          <w:szCs w:val="20"/>
          <w:color w:val="auto"/>
        </w:rPr>
      </w:pPr>
    </w:p>
    <w:p>
      <w:pPr>
        <w:ind w:right="100" w:firstLine="374"/>
        <w:spacing w:after="0" w:line="284" w:lineRule="auto"/>
        <w:rPr>
          <w:sz w:val="20"/>
          <w:szCs w:val="20"/>
          <w:color w:val="auto"/>
        </w:rPr>
      </w:pPr>
      <w:r>
        <w:rPr>
          <w:rFonts w:ascii="Arial" w:cs="Arial" w:eastAsia="Arial" w:hAnsi="Arial"/>
          <w:sz w:val="16"/>
          <w:szCs w:val="16"/>
          <w:color w:val="auto"/>
        </w:rPr>
        <w:t>Our patent portfolio as of January 31, 2022, includes approximately 24 owned issued and non-expired United States patents, 10 pending U.S. non-provisional patent applications, four pending PCT applications, 19 issued and non-expired foreign patents, and 20 pending foreign patent applications. These owned patents, and the patents, if any, that issue from these patent applications are projected to expire between 2022 and 2041, in each case without taking into account any possible PTA or PTE and assuming payment of all appropriate maintenance, renewal, annuity, or other governmental fees.</w:t>
      </w:r>
    </w:p>
    <w:p>
      <w:pPr>
        <w:spacing w:after="0" w:line="88"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As of January 31, 2022, we also have exclusively in-licensed approximately five issued and non-expired United States patents and 10 issued and non-expired foreign patents, which patents are projected to expire between 2031 and 2036, in each case without taking into account any possible PTA or PTE and assuming payment of all appropriate maintenance, renewal, annuity, or other governmental fees. These in-licensed patents are owned by the California Institute of Technology, or Caltech, and licensed to us, along with certain related technology, pursuant to our license agreement with Caltech effective as of July 28, 2015, or the Caltech Agreement.</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patent portfolio, including our owned and exclusively in-licensed issued patents and patent applications, is generally directed to:</w:t>
      </w:r>
    </w:p>
    <w:p>
      <w:pPr>
        <w:spacing w:after="0" w:line="131" w:lineRule="exact"/>
        <w:rPr>
          <w:sz w:val="20"/>
          <w:szCs w:val="20"/>
          <w:color w:val="auto"/>
        </w:rPr>
      </w:pPr>
    </w:p>
    <w:p>
      <w:pPr>
        <w:ind w:left="1020" w:right="20" w:hanging="503"/>
        <w:spacing w:after="0" w:line="324"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LAL: Some of the patents directed to our current LAL include, for example, U.S. Pat. No. 9,119,710, which is expected to expire in 2026, U.S. Pat. No. 10,470,874, which is expected to expire in 2026, and U.S. Pat. No. 10,874,505, which is expected to expire in 2033.</w:t>
      </w:r>
    </w:p>
    <w:p>
      <w:pPr>
        <w:spacing w:after="0" w:line="56" w:lineRule="exact"/>
        <w:rPr>
          <w:rFonts w:ascii="Arial" w:cs="Arial" w:eastAsia="Arial" w:hAnsi="Arial"/>
          <w:sz w:val="16"/>
          <w:szCs w:val="16"/>
          <w:color w:val="auto"/>
        </w:rPr>
      </w:pPr>
    </w:p>
    <w:p>
      <w:pPr>
        <w:ind w:left="1020" w:right="440" w:hanging="503"/>
        <w:spacing w:after="0" w:line="291"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future LAL as contemplated or in development: Some of the patents directed to our future LAL include, for example, U.S. Pat. No. 10,433,951, which is expected to expire in 2037, and U.S. Pat. No. 10,966,819, which is expected to expire in 2037.</w:t>
      </w:r>
    </w:p>
    <w:p>
      <w:pPr>
        <w:spacing w:after="0" w:line="79" w:lineRule="exact"/>
        <w:rPr>
          <w:rFonts w:ascii="Arial" w:cs="Arial" w:eastAsia="Arial" w:hAnsi="Arial"/>
          <w:sz w:val="17"/>
          <w:szCs w:val="17"/>
          <w:color w:val="auto"/>
        </w:rPr>
      </w:pPr>
    </w:p>
    <w:p>
      <w:pPr>
        <w:ind w:left="1020" w:right="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LDD: Some of the patents directed to our LDD include, for example, U.S. Pat. No. 10,864,075, which is expected to expire in 2038, and U.S. Pat. No. 10,932,864, which is expected to expire in 2039.</w:t>
      </w:r>
    </w:p>
    <w:p>
      <w:pPr>
        <w:spacing w:after="0" w:line="89" w:lineRule="exact"/>
        <w:rPr>
          <w:rFonts w:ascii="Arial" w:cs="Arial" w:eastAsia="Arial" w:hAnsi="Arial"/>
          <w:sz w:val="18"/>
          <w:szCs w:val="18"/>
          <w:color w:val="auto"/>
        </w:rPr>
      </w:pPr>
    </w:p>
    <w:p>
      <w:pPr>
        <w:ind w:left="1020" w:right="860" w:hanging="503"/>
        <w:spacing w:after="0" w:line="324"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lens adjustment procedure: Some of the patents directed to our lens adjustment procedure include, for example, U.S. Pat. No. 10,010,406, which is expected to expire in 2032, and U.S. Pat. No. 10,166,731, which is expected to expire in 2036.</w:t>
      </w:r>
    </w:p>
    <w:p>
      <w:pPr>
        <w:spacing w:after="0" w:line="56"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system accessories: A patent directed to our system accessories includes, for example, U.S. Pat. No. 10,456,240, which is expected to expire in 2038.</w:t>
      </w:r>
    </w:p>
    <w:p>
      <w:pPr>
        <w:spacing w:after="0" w:line="103"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Pursuant to the Caltech agreement, we received an exclusive, royalty-bearing, nontransferable, worldwide license under such patent rights and technology to manufacture, use and commercialize, in all fields, products covered by the licensed patents or that utilize the licensed technology. The licenses granted to us by Caltech are subject to certain retained rights of Caltech for educational and research purposes and certain retained rights of the U.S. government. We are subject to certain diligence obligations under the Caltech Agreement with respect to the commercialization of the licensed products. Pursuant to our license agreement with Caltech, we paid a $50,000 non-refundable license issue fee upon the execution of the agreement and agreed to reimburse Caltech approximately $64,680 for past patent prosecution and maintenance expenses. Further, we have an obligation to pay an annual license maintenance fee of $10,000. We are also obligated to pay (i) a low-single-digit royalty based on net sales of products covered by the licensed patents, which royalty obligation expires, on a country-by-country and product-by-product basis, upon the last-to-expire valid claim of a licensed patent covering such product in such country and (ii) a fraction of a single-digit royalty based on net sales of products covered only by the licensed technology, which royalty obligation expires, on a country-by-country-basis, seven years following the first commercial sale of such product in such country. Following the first commercial sale of a licensed product, we are required to pay a minimum annual royalty to Caltech of $50,000 on each anniversary of the effective date of the Caltech Agreement. We are also obligated to pay Caltech a mid-teen royalty on any applicable sublicensing revenue. Unless earlier terminated, the term of the Caltech Agreement continues until the later of the expiration, revocation, invalidation or</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7"/>
          <w:szCs w:val="17"/>
          <w:color w:val="auto"/>
        </w:rPr>
        <w:t>unenforceability of the licensed patents or the expiration of our royalty obligations under the agreement. Caltech may terminate the Caltech Agreement for our insolvency, failure to maintain required insurance coverage levels, or if we materially breach the agreement, including our payment or diligence obligations thereunder, and do not cure such breach within specified time periods. Currently, we do not sell any licensed products under the agreement, and therefore we have no current royalty obligation to Caltech. We are considering the development of future products to which the intellectual property in-licensed from Caltech may be directed, however we do not believe these are material at this time.</w:t>
      </w:r>
    </w:p>
    <w:p>
      <w:pPr>
        <w:spacing w:after="0" w:line="93" w:lineRule="exact"/>
        <w:rPr>
          <w:sz w:val="20"/>
          <w:szCs w:val="20"/>
          <w:color w:val="auto"/>
        </w:rPr>
      </w:pPr>
    </w:p>
    <w:p>
      <w:pPr>
        <w:ind w:firstLine="374"/>
        <w:spacing w:after="0" w:line="267" w:lineRule="auto"/>
        <w:rPr>
          <w:sz w:val="20"/>
          <w:szCs w:val="20"/>
          <w:color w:val="auto"/>
        </w:rPr>
      </w:pPr>
      <w:r>
        <w:rPr>
          <w:rFonts w:ascii="Arial" w:cs="Arial" w:eastAsia="Arial" w:hAnsi="Arial"/>
          <w:sz w:val="16"/>
          <w:szCs w:val="16"/>
          <w:color w:val="auto"/>
        </w:rPr>
        <w:t>Pursuant to the agreement with the Regents of the University of California (“Regents”) dated March 1, 2000 (the “Regents Agreement”), we received an exclusive, royalty bearing, sublicensable, worldwide license under certain Regents’ patent rights to make, have made, use, sell, offer to sell and import products and to practice methods in the research, development, and commercialization of products for commercial applications. This license was subject to certain retained rights of the Regents and Caltech for educational and research purposes and certain retained rights of the U.S. government. We were subject to certain diligence obligations under the Regents Agreement with respect to the commercialization of the licensed products. Pursuant to our license agreement with the Regents, we paid a $10,000 non-refundable license issue fee upon the execution of the Regents Agreement and agreed to reimburse the Regents approximately $57,000 for past patent prosecution and maintenance expenses. Further, we had an obligation to pay, and paid, an annual license maintenance fee of $5,000. We were also obligated to pay a low-single digit royalty based on net sales of products covered by the licensed patents, which royalty obligation expires, upon the last-to-expire valid claim of a licensed patent covering such product. Following the first commercial sale of a licensed product, we were required to pay, and paid, a minimum annual royalty to the Regents of $10,000 by February 28th for the calendar year in which the minimum payment is due. Upon a filing of an Investigational Device Exemption by us with the FDA for a trial involving more than 20 persons, or other equivalent applications, we paid $20,000 to the Regents. Following the first use of a licensed product in a patient as part of a Phase II or Phase III clinical trial, we paid $30,000 and $50,000, respectively to the Regents. Upon an approval by the FDA of a Pre-Marketing Approval Application or equivalent application submitted by us, we paid $175,000 to the Regents. We were also obligated to pay the Regents a percentage of all compensation received by us from sublicensees other than royalties on sales of the licensed products, not to exceed $500,000, for which there were no payments as we did not sublicense the licensed patents. In aggregate, since inception, we have paid approximately $525,000 in patent prosecution and maintenance fees, license fees, minimum royalties and milestone fees pursuant to the Regents Agreement. Unless earlier terminated, the term of the Regents Agreement continued until the expiration of the last-to-expire patent included in Regents’ patent rights licensed under the Regents Agreement. The Regents had the right to terminate the agreement if we materially breached the agreement, including our payment or diligence obligations thereunder, and did not cure such breach within specified time periods. We had the right to terminate the agreement at will in whole or as to any portion of the Regents’ patent rights by giving notice in writing to Regents. We terminated the Regents Agreement in March of 2021, as the last licensed patent covering our product expired. In connection with the closing of our initial public offering we paid the Regents $25,000, which survived the termination of the Regents Agreement.</w:t>
      </w:r>
    </w:p>
    <w:p>
      <w:pPr>
        <w:spacing w:after="0" w:line="100" w:lineRule="exact"/>
        <w:rPr>
          <w:sz w:val="20"/>
          <w:szCs w:val="20"/>
          <w:color w:val="auto"/>
        </w:rPr>
      </w:pPr>
    </w:p>
    <w:p>
      <w:pPr>
        <w:ind w:right="60" w:firstLine="374"/>
        <w:spacing w:after="0" w:line="269" w:lineRule="auto"/>
        <w:rPr>
          <w:sz w:val="20"/>
          <w:szCs w:val="20"/>
          <w:color w:val="auto"/>
        </w:rPr>
      </w:pPr>
      <w:r>
        <w:rPr>
          <w:rFonts w:ascii="Arial" w:cs="Arial" w:eastAsia="Arial" w:hAnsi="Arial"/>
          <w:sz w:val="16"/>
          <w:szCs w:val="16"/>
          <w:color w:val="auto"/>
        </w:rPr>
        <w:t>Pursuant to the agreement with QAD, Inc. (“QAD”) dated October 29, 2015 (the “QAD Agreement”), we received a nonexclusive, non-transferable, perpetual license to use certain QAD software at the physical location where we install the software. Under the agreement, we purchase such QAD software through individual orders (“Purchase Orders”), and each Purchase Order has a respective payment fee and maintenance fee. We use the software licensed under the QAD agreement for inventory, shipping / receiving, sales order, work order, planning and financial transactions for the business. Maintenance for the software is offered by QAD and available for purchase by us on an annual basis, and such purchase was compulsory for the first year of the agreement. After the first year, maintenance purchased under the agreement automatically renews for successive one-year periods unless terminated by us or QAD 60 days prior to the effective date of any renewal term. Further, we grant QAD audit rights to verify our usage of QAD software, and if following such audit our use of the QAD software is in excess of our license, we are obligated to pay to QAD the amounts necessary to become compliant. QAD provides limited warranties to the software and retains all intellectual property ownership rights in the QAD software including any modifications made by us, however we receive a license to use any modifications made by us. Unless earlier terminated, the term of the QAD agreement is perpetual. Both parties have the right to terminate the agreement for convenience by giving the other party 90 days prior written notice and such termination does not affect the license granted. Either party to the agreement may terminate the agreement with notice, if the other materially breaches the agreement, and the breach is not cured within specified time periods. In addition, either party may terminate if the</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7" w:name="page28"/>
    <w:bookmarkEnd w:id="27"/>
    <w:p>
      <w:pPr>
        <w:ind w:right="40"/>
        <w:spacing w:after="0" w:line="261" w:lineRule="auto"/>
        <w:rPr>
          <w:sz w:val="20"/>
          <w:szCs w:val="20"/>
          <w:color w:val="auto"/>
        </w:rPr>
      </w:pPr>
      <w:r>
        <w:rPr>
          <w:rFonts w:ascii="Arial" w:cs="Arial" w:eastAsia="Arial" w:hAnsi="Arial"/>
          <w:sz w:val="18"/>
          <w:szCs w:val="18"/>
          <w:color w:val="auto"/>
        </w:rPr>
        <w:t>other party is adjudicated bankrupt or an official is appointed to manage its financial affairs. Upon termination for cause, we must immediately discontinue all use of the software.</w:t>
      </w:r>
    </w:p>
    <w:p>
      <w:pPr>
        <w:spacing w:after="0" w:line="90" w:lineRule="exact"/>
        <w:rPr>
          <w:sz w:val="20"/>
          <w:szCs w:val="20"/>
          <w:color w:val="auto"/>
        </w:rPr>
      </w:pPr>
    </w:p>
    <w:p>
      <w:pPr>
        <w:ind w:right="60" w:firstLine="374"/>
        <w:spacing w:after="0" w:line="254" w:lineRule="auto"/>
        <w:rPr>
          <w:sz w:val="20"/>
          <w:szCs w:val="20"/>
          <w:color w:val="auto"/>
        </w:rPr>
      </w:pPr>
      <w:r>
        <w:rPr>
          <w:rFonts w:ascii="Arial" w:cs="Arial" w:eastAsia="Arial" w:hAnsi="Arial"/>
          <w:sz w:val="17"/>
          <w:szCs w:val="17"/>
          <w:color w:val="auto"/>
        </w:rPr>
        <w:t>We believe that we have certain know-how and trade secrets relating to our technology and current and future products. We rely on trade secrets to protect certain aspects of our technology related to our current and future products. However, trade secrets and know-how can be difficult to protect. We seek to protect our trade secrets and know-how, in part, by entering into confidentiality agreements with our employees, consultants, scientific advisors, service providers, and contractors but these agreements may not provide meaningful protection, and we cannot guarantee that we have executed such agreements with all applicable counterparties. These agreements may also be breached, and we may not have an adequate remedy for any such breach. We also seek to preserve the integrity and confidentiality of our data and trade secrets by maintaining physical security of our premises and physical and electronic security of our information technology systems. Although we take steps to protect our trade secrets and know-how, third parties may independently develop or otherwise gain access to our trade secrets and know-how.</w:t>
      </w:r>
    </w:p>
    <w:p>
      <w:pPr>
        <w:spacing w:after="0" w:line="113" w:lineRule="exact"/>
        <w:rPr>
          <w:sz w:val="20"/>
          <w:szCs w:val="20"/>
          <w:color w:val="auto"/>
        </w:rPr>
      </w:pPr>
    </w:p>
    <w:p>
      <w:pPr>
        <w:ind w:right="1680" w:firstLine="374"/>
        <w:spacing w:after="0" w:line="383" w:lineRule="auto"/>
        <w:rPr>
          <w:sz w:val="20"/>
          <w:szCs w:val="20"/>
          <w:color w:val="auto"/>
        </w:rPr>
      </w:pPr>
      <w:r>
        <w:rPr>
          <w:rFonts w:ascii="Arial" w:cs="Arial" w:eastAsia="Arial" w:hAnsi="Arial"/>
          <w:sz w:val="18"/>
          <w:szCs w:val="18"/>
          <w:color w:val="auto"/>
        </w:rPr>
        <w:t xml:space="preserve">For more information, please see “Risk Factors-Risks related to Intellectual Property” in Part I, Item 1A of this Annual Report. </w:t>
      </w:r>
      <w:r>
        <w:rPr>
          <w:rFonts w:ascii="Arial" w:cs="Arial" w:eastAsia="Arial" w:hAnsi="Arial"/>
          <w:sz w:val="18"/>
          <w:szCs w:val="18"/>
          <w:b w:val="1"/>
          <w:bCs w:val="1"/>
          <w:color w:val="auto"/>
        </w:rPr>
        <w:t>Competition</w:t>
      </w:r>
    </w:p>
    <w:p>
      <w:pPr>
        <w:spacing w:after="0" w:line="1" w:lineRule="exact"/>
        <w:rPr>
          <w:sz w:val="20"/>
          <w:szCs w:val="20"/>
          <w:color w:val="auto"/>
        </w:rPr>
      </w:pPr>
    </w:p>
    <w:p>
      <w:pPr>
        <w:jc w:val="both"/>
        <w:ind w:right="20" w:firstLine="374"/>
        <w:spacing w:after="0" w:line="270" w:lineRule="auto"/>
        <w:rPr>
          <w:sz w:val="20"/>
          <w:szCs w:val="20"/>
          <w:color w:val="auto"/>
        </w:rPr>
      </w:pPr>
      <w:r>
        <w:rPr>
          <w:rFonts w:ascii="Arial" w:cs="Arial" w:eastAsia="Arial" w:hAnsi="Arial"/>
          <w:sz w:val="17"/>
          <w:szCs w:val="17"/>
          <w:color w:val="auto"/>
        </w:rPr>
        <w:t>Competition in the surgical ophthalmology market is intense and is primarily driven by technological innovation and the regulatory approval required to commercialize products in the key markets around the world. The development of new or improved products may make existing products less attractive, reduce them to commodity status or even make them obsolete. We believe the principal competitive factors in our markets include:</w:t>
      </w:r>
    </w:p>
    <w:p>
      <w:pPr>
        <w:spacing w:after="0" w:line="8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of patient outcomes, oftentimes measured by visual acuity, and adverse event rates;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experience, including patient recovery time and level of discomfort;</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by treating doctors and referral sources;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doctor learning curves and willingness to adopt new technologies;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ease-of-use and reliability;</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benefits and cost savings;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strength of clinical evidence;</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distribution and marketing to surgeons and potential patients;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price and qualification for coverage and reimbursement.</w:t>
      </w:r>
    </w:p>
    <w:p>
      <w:pPr>
        <w:spacing w:after="0" w:line="131" w:lineRule="exact"/>
        <w:rPr>
          <w:sz w:val="20"/>
          <w:szCs w:val="20"/>
          <w:color w:val="auto"/>
        </w:rPr>
      </w:pPr>
    </w:p>
    <w:p>
      <w:pPr>
        <w:ind w:right="160" w:firstLine="374"/>
        <w:spacing w:after="0"/>
        <w:rPr>
          <w:sz w:val="20"/>
          <w:szCs w:val="20"/>
          <w:color w:val="auto"/>
        </w:rPr>
      </w:pPr>
      <w:r>
        <w:rPr>
          <w:rFonts w:ascii="Arial" w:cs="Arial" w:eastAsia="Arial" w:hAnsi="Arial"/>
          <w:sz w:val="18"/>
          <w:szCs w:val="18"/>
          <w:color w:val="auto"/>
        </w:rPr>
        <w:t>From a commercial perspective, we believe our primary competitors in the cataract IOL market are alternative premium IOL providers, including Alcon, Johnson &amp; Johnson, Bausch + Lomb, BVI, Hoya, and Carl Zeiss Meditec. According to Market Scope, the global cataract IOL market is highly concentrated, with these top five players accounting for approximately 74% of total market revenue.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and cost-efficiently drive awareness of the unique value of our system.</w:t>
      </w:r>
    </w:p>
    <w:p>
      <w:pPr>
        <w:spacing w:after="0" w:line="122" w:lineRule="exact"/>
        <w:rPr>
          <w:sz w:val="20"/>
          <w:szCs w:val="20"/>
          <w:color w:val="auto"/>
        </w:rPr>
      </w:pPr>
    </w:p>
    <w:p>
      <w:pPr>
        <w:jc w:val="both"/>
        <w:ind w:right="60" w:firstLine="374"/>
        <w:spacing w:after="0" w:line="294" w:lineRule="auto"/>
        <w:rPr>
          <w:sz w:val="20"/>
          <w:szCs w:val="20"/>
          <w:color w:val="auto"/>
        </w:rPr>
      </w:pPr>
      <w:r>
        <w:rPr>
          <w:rFonts w:ascii="Arial" w:cs="Arial" w:eastAsia="Arial" w:hAnsi="Arial"/>
          <w:sz w:val="16"/>
          <w:szCs w:val="16"/>
          <w:color w:val="auto"/>
        </w:rPr>
        <w:t>In addition, patients who receive an LAL will be required to wear UV protective spectacles until final lock-in which is approximately 4-5 weeks after surgery. They will also be required to return for an additional 2-3 clinic visits compared to traditional cataract surgery. The additional clinic visits are non-surgical but do require the patient’s eyes to be dilated. Due to these additional requirements, market acceptance of the LAL may be impacted.</w:t>
      </w:r>
    </w:p>
    <w:p>
      <w:pPr>
        <w:spacing w:after="0" w:line="80" w:lineRule="exact"/>
        <w:rPr>
          <w:sz w:val="20"/>
          <w:szCs w:val="20"/>
          <w:color w:val="auto"/>
        </w:rPr>
      </w:pPr>
    </w:p>
    <w:p>
      <w:pPr>
        <w:ind w:firstLine="374"/>
        <w:spacing w:after="0" w:line="262" w:lineRule="auto"/>
        <w:rPr>
          <w:sz w:val="20"/>
          <w:szCs w:val="20"/>
          <w:color w:val="auto"/>
        </w:rPr>
      </w:pPr>
      <w:r>
        <w:rPr>
          <w:rFonts w:ascii="Arial" w:cs="Arial" w:eastAsia="Arial" w:hAnsi="Arial"/>
          <w:sz w:val="17"/>
          <w:szCs w:val="17"/>
          <w:color w:val="auto"/>
        </w:rPr>
        <w:t>The two most popular premium IOLs approved for cataract treatment are PanOptix by Alcon and Tecnis by Johnson &amp; Johnson. According to the Market Scope 2021 Premium Report Alcon, Johnson &amp; Johnson and Carl Zeiss Meditec are the three largest IOL manufacturers, with an estimated 2021 revenue share of the premium IOL market of 51.3%, 23.2%, and 8.1% respectively. The PanOptix and Tecnis families of IOLs are available in a monofocal Toric, multifocal Toric and EDOF Toric versions. The Toric versions of these lenses represent</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8" w:name="page29"/>
    <w:bookmarkEnd w:id="28"/>
    <w:p>
      <w:pPr>
        <w:ind w:right="120"/>
        <w:spacing w:after="0" w:line="248" w:lineRule="auto"/>
        <w:rPr>
          <w:sz w:val="20"/>
          <w:szCs w:val="20"/>
          <w:color w:val="auto"/>
        </w:rPr>
      </w:pPr>
      <w:r>
        <w:rPr>
          <w:rFonts w:ascii="Arial" w:cs="Arial" w:eastAsia="Arial" w:hAnsi="Arial"/>
          <w:sz w:val="18"/>
          <w:szCs w:val="18"/>
          <w:color w:val="auto"/>
        </w:rPr>
        <w:t>approximately 54% of all premium multifocal IOLs sold in 2021. The rest of the market is shared between several smaller companies each with under 5% market share. From a technology perspective, we believe the LAL competes with nearly all of the existing IOLs, including conventional, premium astigmatism correcting and premium presbyopia correcting lenses.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80" w:firstLine="374"/>
        <w:spacing w:after="0" w:line="259" w:lineRule="auto"/>
        <w:rPr>
          <w:sz w:val="20"/>
          <w:szCs w:val="20"/>
          <w:color w:val="auto"/>
        </w:rPr>
      </w:pPr>
      <w:r>
        <w:rPr>
          <w:rFonts w:ascii="Arial" w:cs="Arial" w:eastAsia="Arial" w:hAnsi="Arial"/>
          <w:sz w:val="17"/>
          <w:szCs w:val="17"/>
          <w:color w:val="auto"/>
        </w:rPr>
        <w:t>Our products and operations are subject to extensive and ongoing regulation by the FDA under the Federal Food, Drug, and Cosmetic Act, or FDCA, and its implementing regulations, as well as other federal, state and local regulatory authorities in the United States, as well as foreign regulatory authorities. The FDA regulates, among other things, product design and development, pre-clinical and clinical testing, manufacturing, packaging, labeling, storage, record keeping and reporting, clearance or approval, marketing, distribution, promotion, import and export, and post-marketing surveillance in the United States to assure the safety and effectiveness of medical products for their intended use.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medical devices</w:t>
      </w:r>
    </w:p>
    <w:p>
      <w:pPr>
        <w:spacing w:after="0" w:line="104" w:lineRule="exact"/>
        <w:rPr>
          <w:sz w:val="20"/>
          <w:szCs w:val="20"/>
          <w:color w:val="auto"/>
        </w:rPr>
      </w:pPr>
    </w:p>
    <w:p>
      <w:pPr>
        <w:ind w:firstLine="374"/>
        <w:spacing w:after="0" w:line="262" w:lineRule="auto"/>
        <w:rPr>
          <w:sz w:val="20"/>
          <w:szCs w:val="20"/>
          <w:color w:val="auto"/>
        </w:rPr>
      </w:pPr>
      <w:r>
        <w:rPr>
          <w:rFonts w:ascii="Arial" w:cs="Arial" w:eastAsia="Arial" w:hAnsi="Arial"/>
          <w:sz w:val="17"/>
          <w:szCs w:val="17"/>
          <w:color w:val="auto"/>
        </w:rPr>
        <w:t>Unless an exemption applies, each new or significantly modified medical device we seek to commercially distribute in the United States will require either a premarket notification to the FDA requesting permission for commercial distribution under Section 510(k) of the Federal Food, Drug and Cosmetic Act, or FDCA, also referred to as a 510(k) clearance, or approval from the FDA of a PMA application. Both the 510(k) clearance and PMA processes can be resource intensive, expensive, and lengthy, and require payment of significant user fees, unless an exemption is available.</w:t>
      </w:r>
    </w:p>
    <w:p>
      <w:pPr>
        <w:spacing w:after="0" w:line="105"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FDA classifies medical devices into one of three classes – Class I, Class II or Class III – depending on the degree of risk associated with each medical device and the extent of control needed to provide reasonable assurances with respect to safety and effectiveness.</w:t>
      </w:r>
    </w:p>
    <w:p>
      <w:pPr>
        <w:spacing w:after="0" w:line="90"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Class I devices are those for which safety and effectiveness can be reasonably assured by adherence to the FDA’s general controls for medical devices, which include compliance with the applicable portions of FDA’s current good manufacturing practices for devices, as reflected in of the Quality System Regulation, or QSR, establishment registration and device listing, reporting of adverse events and malfunctions, and appropriate, truthful and non-misleading labeling and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spacing w:after="0" w:line="92" w:lineRule="exact"/>
        <w:rPr>
          <w:sz w:val="20"/>
          <w:szCs w:val="20"/>
          <w:color w:val="auto"/>
        </w:rPr>
      </w:pPr>
    </w:p>
    <w:p>
      <w:pPr>
        <w:ind w:right="240" w:firstLine="374"/>
        <w:spacing w:after="0" w:line="243" w:lineRule="auto"/>
        <w:rPr>
          <w:sz w:val="20"/>
          <w:szCs w:val="20"/>
          <w:color w:val="auto"/>
        </w:rPr>
      </w:pPr>
      <w:r>
        <w:rPr>
          <w:rFonts w:ascii="Arial" w:cs="Arial" w:eastAsia="Arial" w:hAnsi="Arial"/>
          <w:sz w:val="18"/>
          <w:szCs w:val="18"/>
          <w:color w:val="auto"/>
        </w:rPr>
        <w:t>Class II devices are those that are subject to the FDA’s general controls and any other special controls deemed necessary by the FDA to ensure the safety and effectiveness of the device. These special controls can include performance standards, patient registries, product-specific FDA guidance documents, special labeling requirements and post-market surveillance. Most Class II devices are subject to premarket review and clearance by the FDA through the 510(k) premarket notification process.</w:t>
      </w:r>
    </w:p>
    <w:p>
      <w:pPr>
        <w:spacing w:after="0" w:line="120" w:lineRule="exact"/>
        <w:rPr>
          <w:sz w:val="20"/>
          <w:szCs w:val="20"/>
          <w:color w:val="auto"/>
        </w:rPr>
      </w:pPr>
    </w:p>
    <w:p>
      <w:pPr>
        <w:ind w:right="60" w:firstLine="374"/>
        <w:spacing w:after="0" w:line="252" w:lineRule="auto"/>
        <w:rPr>
          <w:sz w:val="20"/>
          <w:szCs w:val="20"/>
          <w:color w:val="auto"/>
        </w:rPr>
      </w:pPr>
      <w:r>
        <w:rPr>
          <w:rFonts w:ascii="Arial" w:cs="Arial" w:eastAsia="Arial" w:hAnsi="Arial"/>
          <w:sz w:val="17"/>
          <w:szCs w:val="17"/>
          <w:color w:val="auto"/>
        </w:rPr>
        <w:t>Class III devices include devices deemed by the FDA to pose the greatest risk such as life-supporting or life-sustaining devices, or implantable devices, in addition to those deemed novel and not substantially equivalent following the 510(k) process. Due to the level of risk associated with Class III devices, the FDA’s general controls and special controls alone are insufficient to assure their safety and effectiveness. Devices placed in Class III generally require the submission of a PMA application, demonstrating the safety and effectiveness of the device which must be approved by the FDA prior to marketing, or the receipt of a 510(k) de novo classification, which provides for the reclassification of the device into Class I or II. The PMA approval process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05" w:lineRule="exact"/>
        <w:rPr>
          <w:sz w:val="20"/>
          <w:szCs w:val="20"/>
          <w:color w:val="auto"/>
        </w:rPr>
      </w:pPr>
    </w:p>
    <w:p>
      <w:pPr>
        <w:ind w:right="640" w:firstLine="374"/>
        <w:spacing w:after="0" w:line="261" w:lineRule="auto"/>
        <w:rPr>
          <w:sz w:val="20"/>
          <w:szCs w:val="20"/>
          <w:color w:val="auto"/>
        </w:rPr>
      </w:pPr>
      <w:r>
        <w:rPr>
          <w:rFonts w:ascii="Arial" w:cs="Arial" w:eastAsia="Arial" w:hAnsi="Arial"/>
          <w:sz w:val="18"/>
          <w:szCs w:val="18"/>
          <w:color w:val="auto"/>
        </w:rPr>
        <w:t>If a new medical device does not qualify for the 510(k) premarket notification process because no predicate device to which it is substantially equivalent can be identified, the device is automatically classified into Class III.</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9" w:name="page30"/>
    <w:bookmarkEnd w:id="29"/>
    <w:p>
      <w:pPr>
        <w:ind w:right="100"/>
        <w:spacing w:after="0" w:line="272" w:lineRule="auto"/>
        <w:rPr>
          <w:sz w:val="20"/>
          <w:szCs w:val="20"/>
          <w:color w:val="auto"/>
        </w:rPr>
      </w:pPr>
      <w:r>
        <w:rPr>
          <w:rFonts w:ascii="Arial" w:cs="Arial" w:eastAsia="Arial" w:hAnsi="Arial"/>
          <w:sz w:val="16"/>
          <w:szCs w:val="16"/>
          <w:color w:val="auto"/>
        </w:rPr>
        <w:t>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87" w:lineRule="exact"/>
        <w:rPr>
          <w:sz w:val="20"/>
          <w:szCs w:val="20"/>
          <w:color w:val="auto"/>
        </w:rPr>
      </w:pPr>
    </w:p>
    <w:p>
      <w:pPr>
        <w:ind w:right="460" w:firstLine="374"/>
        <w:spacing w:after="0" w:line="261" w:lineRule="auto"/>
        <w:rPr>
          <w:sz w:val="20"/>
          <w:szCs w:val="20"/>
          <w:color w:val="auto"/>
        </w:rPr>
      </w:pPr>
      <w:r>
        <w:rPr>
          <w:rFonts w:ascii="Arial" w:cs="Arial" w:eastAsia="Arial" w:hAnsi="Arial"/>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device process</w:t>
      </w:r>
    </w:p>
    <w:p>
      <w:pPr>
        <w:spacing w:after="0" w:line="104"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In the United States,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subjects. Generally, clinical trials for a significant risk device may begin once the IDE application is approved by the FDA and the study protocol and informed consent are approved by appropriate institutional review boards at the clinical trial sites. There can be no assurance that submission of an IDE will result in the ability to commence clinical trials, and although the FDA’s approval of an IDE allows clinical testing to go forward for a specified number of subjects, it does not bind the FDA to accept the results of the trial as sufficient to prove the product’s safety and effectiveness, even if the trial meets its intended success criteria.</w:t>
      </w:r>
    </w:p>
    <w:p>
      <w:pPr>
        <w:spacing w:after="0" w:line="104"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institutional review board approval and for informed consent and other human subject protections. Required records and reports are subject to inspection by the FDA.</w:t>
      </w:r>
    </w:p>
    <w:p>
      <w:pPr>
        <w:spacing w:after="0" w:line="107" w:lineRule="exact"/>
        <w:rPr>
          <w:sz w:val="20"/>
          <w:szCs w:val="20"/>
          <w:color w:val="auto"/>
        </w:rPr>
      </w:pPr>
    </w:p>
    <w:p>
      <w:pPr>
        <w:ind w:right="320" w:firstLine="374"/>
        <w:spacing w:after="0" w:line="294" w:lineRule="auto"/>
        <w:rPr>
          <w:sz w:val="20"/>
          <w:szCs w:val="20"/>
          <w:color w:val="auto"/>
        </w:rPr>
      </w:pPr>
      <w:r>
        <w:rPr>
          <w:rFonts w:ascii="Arial" w:cs="Arial" w:eastAsia="Arial" w:hAnsi="Arial"/>
          <w:sz w:val="16"/>
          <w:szCs w:val="16"/>
          <w:color w:val="auto"/>
        </w:rPr>
        <w:t>The results of clinical testing may be unfavorable, or, even if the intended safety and effectiveness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80"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experience adverse events;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part of the trial;</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Device malfunctions occur with unexpected frequency or potential adverse consequences;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0" w:name="page31"/>
    <w:bookmarkEnd w:id="30"/>
    <w:p>
      <w:pPr>
        <w:ind w:left="1020" w:right="1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Side effects or device malfunctions of similar products already in the market that change the FDA’s view toward approval of new or similar PMAs or result in the imposition of new requirements or testing;</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144"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investigators are disqualified by the FDA;</w:t>
      </w:r>
    </w:p>
    <w:p>
      <w:pPr>
        <w:spacing w:after="0" w:line="130"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114"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such that the FDA deems the study results unreliable, or we or investigators fail to disclose such interests;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effectiveness; or</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concludes that our trial design is unreliable or inadequate to demonstrate safety and effectiveness.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510(k) clearance process</w:t>
      </w:r>
    </w:p>
    <w:p>
      <w:pPr>
        <w:spacing w:after="0" w:line="104" w:lineRule="exact"/>
        <w:rPr>
          <w:sz w:val="20"/>
          <w:szCs w:val="20"/>
          <w:color w:val="auto"/>
        </w:rPr>
      </w:pPr>
    </w:p>
    <w:p>
      <w:pPr>
        <w:ind w:right="740" w:firstLine="374"/>
        <w:spacing w:after="0" w:line="261" w:lineRule="auto"/>
        <w:rPr>
          <w:sz w:val="20"/>
          <w:szCs w:val="20"/>
          <w:color w:val="auto"/>
        </w:rPr>
      </w:pPr>
      <w:r>
        <w:rPr>
          <w:rFonts w:ascii="Arial" w:cs="Arial" w:eastAsia="Arial" w:hAnsi="Arial"/>
          <w:sz w:val="18"/>
          <w:szCs w:val="18"/>
          <w:color w:val="auto"/>
        </w:rPr>
        <w:t>Under the 510(k) process, the manufacturer must submit to the FDA a premarket notification, demonstrating that the device is “substantially equivalent,” as defined in the statute, to a legally marketed predicate device.</w:t>
      </w:r>
    </w:p>
    <w:p>
      <w:pPr>
        <w:spacing w:after="0" w:line="103"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previously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 Clinical data is sometimes, but not always, required to support substantial equivalence.</w:t>
      </w:r>
    </w:p>
    <w:p>
      <w:pPr>
        <w:spacing w:after="0" w:line="108"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Before the FDA will accept a 510(k) premarket notification for substantive review, the FDA will first assess whether the submission satisfies a minimum threshold of acceptability. If the FDA determines that the 510(k) submission lacks necessary information for substantive review,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If a 510(k) submission is accepted for substantive review, 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and clearance is never assured. Thus,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20" w:firstLine="374"/>
        <w:spacing w:after="0" w:line="262" w:lineRule="auto"/>
        <w:rPr>
          <w:sz w:val="20"/>
          <w:szCs w:val="20"/>
          <w:color w:val="auto"/>
        </w:rPr>
      </w:pPr>
      <w:r>
        <w:rPr>
          <w:rFonts w:ascii="Arial" w:cs="Arial" w:eastAsia="Arial" w:hAnsi="Arial"/>
          <w:sz w:val="17"/>
          <w:szCs w:val="17"/>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A manufacturer can also submit a petition for direct de novo review if the manufacturer is unable to identify an appropriate predicate device and the new device or new use of the device presents a moderate or low risk.</w:t>
      </w:r>
    </w:p>
    <w:p>
      <w:pPr>
        <w:spacing w:after="0" w:line="91"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Medical devices can only be marketed for the indications for which they are cleared or approved. 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or de novo classification. The determination as to whether or not a modification constitutes such a change is initially left to the manufacturer using available FDA guidance; however, the FDA may review this determination to evaluate the regulatory status of the modified product at any time and may require the manufacturer to cease marketing and recall the modified device until new 510(k) clearance or PMA approval is obtained.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 The manufacturer may also be subject to significant regulatory fines or penalties.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PMA approval process</w:t>
      </w:r>
    </w:p>
    <w:p>
      <w:pPr>
        <w:spacing w:after="0" w:line="104"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substantive review.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113" w:lineRule="exact"/>
        <w:rPr>
          <w:sz w:val="20"/>
          <w:szCs w:val="20"/>
          <w:color w:val="auto"/>
        </w:rPr>
      </w:pPr>
    </w:p>
    <w:p>
      <w:pPr>
        <w:jc w:val="both"/>
        <w:ind w:right="880" w:firstLine="374"/>
        <w:spacing w:after="0" w:line="270" w:lineRule="auto"/>
        <w:rPr>
          <w:sz w:val="20"/>
          <w:szCs w:val="20"/>
          <w:color w:val="auto"/>
        </w:rPr>
      </w:pPr>
      <w:r>
        <w:rPr>
          <w:rFonts w:ascii="Arial" w:cs="Arial" w:eastAsia="Arial" w:hAnsi="Arial"/>
          <w:sz w:val="17"/>
          <w:szCs w:val="17"/>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83"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device may not be shown safe or effective to the FDA’s satisfaction;</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from pre-clinical studies and/or clinical trials may be found unreliable or insufficient to support approval;</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144" w:lineRule="exact"/>
        <w:rPr>
          <w:sz w:val="20"/>
          <w:szCs w:val="20"/>
          <w:color w:val="auto"/>
        </w:rPr>
      </w:pPr>
    </w:p>
    <w:p>
      <w:pPr>
        <w:ind w:right="80" w:firstLine="374"/>
        <w:spacing w:after="0" w:line="272"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2" w:name="page33"/>
    <w:bookmarkEnd w:id="32"/>
    <w:p>
      <w:pPr>
        <w:ind w:firstLine="374"/>
        <w:spacing w:after="0" w:line="259" w:lineRule="auto"/>
        <w:rPr>
          <w:sz w:val="20"/>
          <w:szCs w:val="20"/>
          <w:color w:val="auto"/>
        </w:rPr>
      </w:pPr>
      <w:r>
        <w:rPr>
          <w:rFonts w:ascii="Arial" w:cs="Arial" w:eastAsia="Arial" w:hAnsi="Arial"/>
          <w:sz w:val="17"/>
          <w:szCs w:val="17"/>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93" w:lineRule="exact"/>
        <w:rPr>
          <w:sz w:val="20"/>
          <w:szCs w:val="20"/>
          <w:color w:val="auto"/>
        </w:rPr>
      </w:pPr>
    </w:p>
    <w:p>
      <w:pPr>
        <w:ind w:right="20" w:firstLine="374"/>
        <w:spacing w:after="0" w:line="254" w:lineRule="auto"/>
        <w:rPr>
          <w:sz w:val="20"/>
          <w:szCs w:val="20"/>
          <w:color w:val="auto"/>
        </w:rPr>
      </w:pPr>
      <w:r>
        <w:rPr>
          <w:rFonts w:ascii="Arial" w:cs="Arial" w:eastAsia="Arial" w:hAnsi="Arial"/>
          <w:sz w:val="17"/>
          <w:szCs w:val="17"/>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require post-market surveillance for certain devices cleared under a 510(k) notification, such as implants or life-supporting or life-sustaining devices used outside a device user facility. The FDA may also approve a PMA application with other post-approval conditions intended to ensure the safety and effectiveness of the device, such as, among other things, restrictions on labeling, promotion, sale, distribution and use. Significant modifications to the manufacturing process, labeling and design for a device which has received approval through the PMA process may require submission of a new PMA application or PMA supplement prior to marketing.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regulation by the FDA</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Even after the FDA permits a device to be marketed, numerous regulatory requirements apply, including but not limited to:</w:t>
      </w:r>
    </w:p>
    <w:p>
      <w:pPr>
        <w:spacing w:after="0" w:line="144"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130"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QSR, which requires manufacturers, including third-party manufacturers, to follow stringent design, testing, production, control, supplier/contractor selection, complaint handling, documentation, and other quality assurance procedures during the manufacturing process;</w:t>
      </w:r>
    </w:p>
    <w:p>
      <w:pPr>
        <w:spacing w:after="0" w:line="56" w:lineRule="exact"/>
        <w:rPr>
          <w:rFonts w:ascii="Arial" w:cs="Arial" w:eastAsia="Arial" w:hAnsi="Arial"/>
          <w:sz w:val="16"/>
          <w:szCs w:val="16"/>
          <w:color w:val="auto"/>
        </w:rPr>
      </w:pPr>
    </w:p>
    <w:p>
      <w:pPr>
        <w:ind w:left="1020" w:right="18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labeling regulations, advertising and promotion requirements, restrictions on sale distribution or use of a device, each including the FDA general prohibition against the promotion of products for any uses other than those authorized by the FDA, which are commonly known as “off label” uses;</w:t>
      </w:r>
    </w:p>
    <w:p>
      <w:pPr>
        <w:spacing w:after="0" w:line="114" w:lineRule="exact"/>
        <w:rPr>
          <w:rFonts w:ascii="Arial" w:cs="Arial" w:eastAsia="Arial" w:hAnsi="Arial"/>
          <w:sz w:val="18"/>
          <w:szCs w:val="18"/>
          <w:color w:val="auto"/>
        </w:rPr>
      </w:pPr>
    </w:p>
    <w:p>
      <w:pPr>
        <w:ind w:left="1020" w:right="200" w:hanging="503"/>
        <w:spacing w:after="0" w:line="270"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Medical Device Reporting, or MDR regulation, which requires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82" w:lineRule="exact"/>
        <w:rPr>
          <w:rFonts w:ascii="Arial" w:cs="Arial" w:eastAsia="Arial" w:hAnsi="Arial"/>
          <w:sz w:val="17"/>
          <w:szCs w:val="17"/>
          <w:color w:val="auto"/>
        </w:rPr>
      </w:pPr>
    </w:p>
    <w:p>
      <w:pPr>
        <w:ind w:left="1020" w:right="44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medical device corrections and removal reporting regulations, which require that manufactures report to the FDA field corrections or removals if undertaken to reduce a risk to health posed by a device or to remedy a violation of the FD&amp;C Act that may present a risk to health;</w:t>
      </w:r>
    </w:p>
    <w:p>
      <w:pPr>
        <w:spacing w:after="0" w:line="114"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requirements, including a mandatory recall if there is a reasonable probability that the device would cause serious adverse health consequences or death;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order of repair, replacement or refund;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device tracking requirements;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post market study and surveillance requirements.</w:t>
      </w:r>
    </w:p>
    <w:p>
      <w:pPr>
        <w:spacing w:after="0" w:line="144"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clearance or a PMA is obtained. Also, in these circumstances, we may be subject to significant regulatory fines and penalties.</w:t>
      </w:r>
    </w:p>
    <w:p>
      <w:pPr>
        <w:spacing w:after="0" w:line="131" w:lineRule="exact"/>
        <w:rPr>
          <w:sz w:val="20"/>
          <w:szCs w:val="20"/>
          <w:color w:val="auto"/>
        </w:rPr>
      </w:pPr>
    </w:p>
    <w:p>
      <w:pPr>
        <w:ind w:right="260" w:firstLine="374"/>
        <w:spacing w:after="0" w:line="259" w:lineRule="auto"/>
        <w:rPr>
          <w:sz w:val="20"/>
          <w:szCs w:val="20"/>
          <w:color w:val="auto"/>
        </w:rPr>
      </w:pPr>
      <w:r>
        <w:rPr>
          <w:rFonts w:ascii="Arial" w:cs="Arial" w:eastAsia="Arial" w:hAnsi="Arial"/>
          <w:sz w:val="17"/>
          <w:szCs w:val="17"/>
          <w:color w:val="auto"/>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106"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QSR and any applicable state requirements. These regulations require that we manufacture our products and maintain related documentation in a prescribed manner with respect to manufacturing, testing and control activities. Further, the FDA requires us to comply with various FDA regulations regarding labeling. Failure by us or by our suppliers to comply with applicable regulatory requirements can result in enforcement action by the FDA or state authorities, which may include any of the following sanctions:</w:t>
      </w:r>
    </w:p>
    <w:p>
      <w:pPr>
        <w:spacing w:after="0" w:line="9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 fines, injunctions, consent decrees and civil penalties;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notifications, voluntary or mandatory recall or seizure of our products;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in processing, clearing or approving submissions or applications for new products or modifications to existing products;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FDA approvals or clearances that have already been granted;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31"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products under development.</w:t>
      </w:r>
    </w:p>
    <w:p>
      <w:pPr>
        <w:spacing w:after="0" w:line="120"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Our facilities, records and manufacturing processes are subject to periodic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92" w:lineRule="exact"/>
        <w:rPr>
          <w:sz w:val="20"/>
          <w:szCs w:val="20"/>
          <w:color w:val="auto"/>
        </w:rPr>
      </w:pPr>
    </w:p>
    <w:p>
      <w:pPr>
        <w:ind w:right="200" w:firstLine="374"/>
        <w:spacing w:after="0" w:line="284" w:lineRule="auto"/>
        <w:rPr>
          <w:sz w:val="20"/>
          <w:szCs w:val="20"/>
          <w:color w:val="auto"/>
        </w:rPr>
      </w:pPr>
      <w:r>
        <w:rPr>
          <w:rFonts w:ascii="Arial" w:cs="Arial" w:eastAsia="Arial" w:hAnsi="Arial"/>
          <w:sz w:val="16"/>
          <w:szCs w:val="16"/>
          <w:color w:val="auto"/>
        </w:rPr>
        <w:t>When the FDA conducts an inspection, the inspectors will identify any deficiencies they believe exist in the form of a notice of inspectional observations, or Form FDA 483. If we receive a notice of inspectional observations or deficiencies from the FDA following an inspection, we would be required to respond in writing, and would be required to undertake corrective and/or preventive or other actions in order to address the FDA’s or other regulators’ concerns. Failure to address the FDA’s concerns may result in the issuance of a warning letter or other enforcement or administrative actions.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medical device premarket authorization process</w:t>
      </w:r>
    </w:p>
    <w:p>
      <w:pPr>
        <w:spacing w:after="0" w:line="104"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The European Union has adopted numerous directives and standards regulating the design, manufacture, clinical trials, labeling and adverse event reporting for medical devices. Our products are regulated in the European</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4" w:name="page35"/>
    <w:bookmarkEnd w:id="34"/>
    <w:p>
      <w:pPr>
        <w:ind w:right="20"/>
        <w:spacing w:after="0" w:line="253" w:lineRule="auto"/>
        <w:rPr>
          <w:sz w:val="20"/>
          <w:szCs w:val="20"/>
          <w:color w:val="auto"/>
        </w:rPr>
      </w:pPr>
      <w:r>
        <w:rPr>
          <w:rFonts w:ascii="Arial" w:cs="Arial" w:eastAsia="Arial" w:hAnsi="Arial"/>
          <w:sz w:val="17"/>
          <w:szCs w:val="17"/>
          <w:color w:val="auto"/>
        </w:rPr>
        <w:t>Union as medical devices per European Union Directive 93/42/EEC, also known as the Medical Device Directive, or MDD. The MDD sets out the basic regulatory framework for medical devices in the European Union. The system of regulating medical devices operates by way of a certification for each medical device. Each certified device is marked with the CE mark which shows that the device has a Certificat de Conformité. There are national bodies known as Competent Authorities in each member state which oversee the implementation of the MDD within their jurisdiction. The means for achieving the requirements for the CE mark vary according to the nature of the device. Devices are classified in accordance with their perceived risks, similarly to the U.S. system. The class of a product determines the conformity assessment required before the CE mark can be placed on a product. Conformity assessments for our products are carried out as required by the MDD. Each member state can appoint Notified Bodies within its jurisdiction. If a Notified Body of a one-member state has issued a Certificat de Conformité, the device can be sold throughout the European Union without further conformance tests being required in other member states. The CE mark is contingent upon continued compliance with the applicable regulations and the quality system requirements of the ISO 13485 standard.</w:t>
      </w:r>
    </w:p>
    <w:p>
      <w:pPr>
        <w:spacing w:after="0" w:line="72" w:lineRule="exact"/>
        <w:rPr>
          <w:sz w:val="20"/>
          <w:szCs w:val="20"/>
          <w:color w:val="auto"/>
        </w:rPr>
      </w:pPr>
    </w:p>
    <w:p>
      <w:pPr>
        <w:ind w:right="40" w:firstLine="374"/>
        <w:spacing w:after="0" w:line="269" w:lineRule="auto"/>
        <w:rPr>
          <w:sz w:val="20"/>
          <w:szCs w:val="20"/>
          <w:color w:val="auto"/>
        </w:rPr>
      </w:pPr>
      <w:r>
        <w:rPr>
          <w:rFonts w:ascii="Arial" w:cs="Arial" w:eastAsia="Arial" w:hAnsi="Arial"/>
          <w:sz w:val="16"/>
          <w:szCs w:val="16"/>
          <w:color w:val="auto"/>
        </w:rPr>
        <w:t>The new European Union Medical Devices Regulation 2017/745, or EU MDR, which was published in May 2017 with a transition period of three years, replaces the MDD and will expand and modify the pre-market and post-market obligations of the MDD. The date of application of the EU MDR has been postponed to May 26, 2021 with implementation dates based off of risk classification of the medical device. The EU MDR will impose additional requirements on clinical evaluation process, safety, classification and performance of medical device products. The EU MDR will have no impact on our current and future products as registrations to the EU MDR are in process and are scheduled for completion prior to the implementation dates. The company has passed the MDR upgrade assessment with no observations and a recommendation for certification by the European Notified Body in December 2021. In addition to inspections by the FDA and other regulatory entities, we are also subject to periodic inspections by applicable European Notified Body with respect to regulatory requirements that apply to medical devices designed and manufactured by us and clinical trials sponsored by us. We are also certified to the Medical Device Single Audit Program (“MDSAP”) for the jurisdictions of the United States, Canada, Japan, Brazil, and Australia which allows for one single audit performed by Notified Body to cover those jurisdictions with respect to quality systems. All registrations and certifications due to Great Britain leaving the European Union (Brexit) and Switzerland ending a joint agreement with the European Union (Swexit) have been done to the timelines as required for these countries and will continue to be performed to the updated timelines as published during these processes.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04"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Medical device companies are subject to additional healthcare regulation and enforcement by the federal government and by authorities in the states and foreign jurisdictions in which they conduct their business. Manufacturing, sales, promotion and other activities following product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anti-kickback false claims, transparency, government price reporting, anti-corruption, and health information privacy and security laws and regulations. Internationally, other governments also impose regulations in connection with their healthcare reimbursement programs and the delivery of healthcare items and services. These laws include the following:</w:t>
      </w:r>
    </w:p>
    <w:p>
      <w:pPr>
        <w:spacing w:after="0" w:line="110" w:lineRule="exact"/>
        <w:rPr>
          <w:sz w:val="20"/>
          <w:szCs w:val="20"/>
          <w:color w:val="auto"/>
        </w:rPr>
      </w:pPr>
    </w:p>
    <w:p>
      <w:pPr>
        <w:ind w:left="1020" w:right="100" w:hanging="503"/>
        <w:spacing w:after="0" w:line="27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U.S. federal healthcare fraud and abuse laws generally apply to our activities because our products are covered under federal healthcare programs such as Medicare and Medicaid. The Anti-Kickback Statute is particularly relevant because of its broad applicability. The federal Anti-Kickback Statute makes it illegal for any person, including a prescription medical device manufacturer (or a party acting on its behalf), to knowingly and willfully solicit, receive, offer or pay any remuneration that is intended to induce or reward referrals, including the purchase, recommendation, order or prescription of a particular medical device, for which payment may be made under a federal healthcare program, such as Medicare or Medicaid. Almost any financial arrangement with a healthcare provider, patient or customer could implicate the Anti-Kickback Statute. Statutory exceptions and regulatory safe harbors protect certain arrangements if specific requirements are met. The government can exercise enforcement discretion in taking action against arrangements that do not fit within a safe harbor. Further, a person or entity does not need to have actual knowledge of the statute or specific intent to violate it. Moreover, the</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left="503" w:right="40"/>
        <w:spacing w:after="0" w:line="241" w:lineRule="auto"/>
        <w:rPr>
          <w:sz w:val="20"/>
          <w:szCs w:val="20"/>
          <w:color w:val="auto"/>
        </w:rPr>
      </w:pPr>
      <w:r>
        <w:rPr>
          <w:rFonts w:ascii="Arial" w:cs="Arial" w:eastAsia="Arial" w:hAnsi="Arial"/>
          <w:sz w:val="18"/>
          <w:szCs w:val="18"/>
          <w:color w:val="auto"/>
        </w:rPr>
        <w:t>government may assert that a claim including items or services resulting from a violation of the federal Anti-Kickback Statute constitutes a false or fraudulent claim for purposes of the civil False Claims Act. Penalties for violations of the Anti- Kickback Statute include, but are not limited to, criminal, civil and/or administrative penalties, damages, fines, disgorgement, individual imprisonment, possible exclusion from Medicare, Medicaid and other federal healthcare programs. Our exclusion would mean that procedures using our products would no longer be eligible for reimbursement under federal healthcare programs;</w:t>
      </w:r>
    </w:p>
    <w:p>
      <w:pPr>
        <w:spacing w:after="0" w:line="108" w:lineRule="exact"/>
        <w:rPr>
          <w:sz w:val="20"/>
          <w:szCs w:val="20"/>
          <w:color w:val="auto"/>
        </w:rPr>
      </w:pPr>
    </w:p>
    <w:p>
      <w:pPr>
        <w:ind w:left="503" w:right="100" w:hanging="503"/>
        <w:spacing w:after="0" w:line="255" w:lineRule="auto"/>
        <w:tabs>
          <w:tab w:leader="none" w:pos="5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Another development affecting the healthcare industry is the increased use of the federal Civil False Claims Act and, in particular, actions brought pursuant to the False Claims Act’s “whistleblower” or “qui tam” provisions. In recent years, the number of suits brought against healthcare companies by private individuals has increased dramatically. The federal civil and criminal false claims acts, including the civil FCA,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112" w:lineRule="exact"/>
        <w:rPr>
          <w:rFonts w:ascii="Arial" w:cs="Arial" w:eastAsia="Arial" w:hAnsi="Arial"/>
          <w:sz w:val="17"/>
          <w:szCs w:val="17"/>
          <w:color w:val="auto"/>
        </w:rPr>
      </w:pPr>
    </w:p>
    <w:p>
      <w:pPr>
        <w:ind w:left="503" w:right="120" w:hanging="503"/>
        <w:spacing w:after="0" w:line="259" w:lineRule="auto"/>
        <w:tabs>
          <w:tab w:leader="none" w:pos="5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06" w:lineRule="exact"/>
        <w:rPr>
          <w:rFonts w:ascii="Arial" w:cs="Arial" w:eastAsia="Arial" w:hAnsi="Arial"/>
          <w:sz w:val="17"/>
          <w:szCs w:val="17"/>
          <w:color w:val="auto"/>
        </w:rPr>
      </w:pPr>
    </w:p>
    <w:p>
      <w:pPr>
        <w:ind w:left="503" w:right="80" w:hanging="503"/>
        <w:spacing w:after="0" w:line="262" w:lineRule="auto"/>
        <w:tabs>
          <w:tab w:leader="none" w:pos="5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91" w:lineRule="exact"/>
        <w:rPr>
          <w:rFonts w:ascii="Arial" w:cs="Arial" w:eastAsia="Arial" w:hAnsi="Arial"/>
          <w:sz w:val="17"/>
          <w:szCs w:val="17"/>
          <w:color w:val="auto"/>
        </w:rPr>
      </w:pPr>
    </w:p>
    <w:p>
      <w:pPr>
        <w:ind w:left="503" w:right="160" w:hanging="503"/>
        <w:spacing w:after="0" w:line="261"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medical devices;</w:t>
      </w:r>
    </w:p>
    <w:p>
      <w:pPr>
        <w:spacing w:after="0" w:line="144" w:lineRule="exact"/>
        <w:rPr>
          <w:rFonts w:ascii="Arial" w:cs="Arial" w:eastAsia="Arial" w:hAnsi="Arial"/>
          <w:sz w:val="18"/>
          <w:szCs w:val="18"/>
          <w:color w:val="auto"/>
        </w:rPr>
      </w:pPr>
    </w:p>
    <w:p>
      <w:pPr>
        <w:ind w:left="503" w:hanging="503"/>
        <w:spacing w:after="0" w:line="239"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Additionally, there has been a recent trend of increased federal and state regulation of payments made to doctors. 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109" w:lineRule="exact"/>
        <w:rPr>
          <w:rFonts w:ascii="Arial" w:cs="Arial" w:eastAsia="Arial" w:hAnsi="Arial"/>
          <w:sz w:val="18"/>
          <w:szCs w:val="18"/>
          <w:color w:val="auto"/>
        </w:rPr>
      </w:pPr>
    </w:p>
    <w:p>
      <w:pPr>
        <w:ind w:left="503" w:right="80" w:hanging="503"/>
        <w:spacing w:after="0" w:line="257" w:lineRule="auto"/>
        <w:tabs>
          <w:tab w:leader="none" w:pos="5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67"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76" w:right="359" w:bottom="1440" w:gutter="0" w:footer="0" w:header="0"/>
        </w:sectPr>
      </w:pPr>
    </w:p>
    <w:bookmarkStart w:id="36" w:name="page37"/>
    <w:bookmarkEnd w:id="36"/>
    <w:p>
      <w:pPr>
        <w:ind w:left="1020" w:right="100" w:hanging="503"/>
        <w:spacing w:after="0" w:line="27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certain biotechnology, pharmaceutical, and medical device companies to comply with the industry’s voluntary compliance guidelines and the relevant compliance guidance promulgated by the federal government and may require applicable manufacturers to disclose or report certain information related to payments and other transfers of value to doctors and entities or sales, marketing, pricing, clinical trials, marketing expenditures and activities,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87" w:lineRule="exact"/>
        <w:rPr>
          <w:sz w:val="20"/>
          <w:szCs w:val="20"/>
          <w:color w:val="auto"/>
        </w:rPr>
      </w:pPr>
    </w:p>
    <w:p>
      <w:pPr>
        <w:ind w:right="20" w:firstLine="374"/>
        <w:spacing w:after="0" w:line="268"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various interpretations.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individual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health care reform</w:t>
      </w:r>
    </w:p>
    <w:p>
      <w:pPr>
        <w:spacing w:after="0" w:line="104" w:lineRule="exact"/>
        <w:rPr>
          <w:sz w:val="20"/>
          <w:szCs w:val="20"/>
          <w:color w:val="auto"/>
        </w:rPr>
      </w:pPr>
    </w:p>
    <w:p>
      <w:pPr>
        <w:ind w:firstLine="374"/>
        <w:spacing w:after="0" w:line="267" w:lineRule="auto"/>
        <w:rPr>
          <w:sz w:val="20"/>
          <w:szCs w:val="20"/>
          <w:color w:val="auto"/>
        </w:rPr>
      </w:pPr>
      <w:r>
        <w:rPr>
          <w:rFonts w:ascii="Arial" w:cs="Arial" w:eastAsia="Arial" w:hAnsi="Arial"/>
          <w:sz w:val="16"/>
          <w:szCs w:val="16"/>
          <w:color w:val="auto"/>
        </w:rPr>
        <w:t>Changes in healthcare policy could increase our costs and subject us to additional regulatory requirements that may interrupt commercialization of our current and future solutions. Current and future legislative proposals to further reform healthcare or reduce healthcare costs may limit coverage for the procedures associated with the use of our products or result in lower reimbursement for those procedures. The cost containment measures that payers and providers are instituting and the effect of any healthcare reform initiative implemented in the future could significantly reduce our revenues from the sale of our products. Changes in healthcare policy, including changes in the implementation or the repeal of the ACA in the United States, could increase our costs, decrease our revenue and impact sales of and reimbursement and coverage for our current and future products.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held oral arguments in November 2020.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of the Biden administration will impact the ACA and our business. Other legislative changes have been proposed and adopted since the ACA was enacted, including aggregate reductions of Medicare payments to providers of 2% per fiscal year and reduced payments to several types of Medicare providers, which will remain in effect through 2031 absent additional congressional action, with the exception of a temporary suspension from May 1, 2020 through March 31, 2022 due to the COVID-19 pandemic, unless additional action is taken by Congress. Under current legislation, the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spacing w:after="0" w:line="241" w:lineRule="auto"/>
        <w:rPr>
          <w:sz w:val="20"/>
          <w:szCs w:val="20"/>
          <w:color w:val="auto"/>
        </w:rPr>
      </w:pPr>
      <w:r>
        <w:rPr>
          <w:rFonts w:ascii="Arial" w:cs="Arial" w:eastAsia="Arial" w:hAnsi="Arial"/>
          <w:sz w:val="18"/>
          <w:szCs w:val="18"/>
          <w:color w:val="auto"/>
        </w:rPr>
        <w:t>actual reduction in Medicare payments will vary from 1% in 2022 to up to 4% in the final fiscal year of this sequester. Moreover, there recently has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Complying with any new legislation or reversing changes implemented under the ACA could be time-intensive and expensive, resulting in a material adverse effect on our business.</w:t>
      </w:r>
    </w:p>
    <w:p>
      <w:pPr>
        <w:spacing w:after="0" w:line="122" w:lineRule="exact"/>
        <w:rPr>
          <w:sz w:val="20"/>
          <w:szCs w:val="20"/>
          <w:color w:val="auto"/>
        </w:rPr>
      </w:pPr>
    </w:p>
    <w:p>
      <w:pPr>
        <w:ind w:right="40" w:firstLine="374"/>
        <w:spacing w:after="0" w:line="257"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94" w:lineRule="exact"/>
        <w:rPr>
          <w:sz w:val="20"/>
          <w:szCs w:val="20"/>
          <w:color w:val="auto"/>
        </w:rPr>
      </w:pPr>
    </w:p>
    <w:p>
      <w:pPr>
        <w:ind w:right="120" w:firstLine="374"/>
        <w:spacing w:after="0" w:line="284" w:lineRule="auto"/>
        <w:rPr>
          <w:sz w:val="20"/>
          <w:szCs w:val="20"/>
          <w:color w:val="auto"/>
        </w:rPr>
      </w:pPr>
      <w:r>
        <w:rPr>
          <w:rFonts w:ascii="Arial" w:cs="Arial" w:eastAsia="Arial" w:hAnsi="Arial"/>
          <w:sz w:val="16"/>
          <w:szCs w:val="16"/>
          <w:color w:val="auto"/>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08"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Medical device companies may be subject to U.S. federal and state health information privacy, security and data breach notification laws, which may govern the collection, use, disclosure and protection of health-related and other personal information.</w:t>
      </w:r>
    </w:p>
    <w:p>
      <w:pPr>
        <w:spacing w:after="0" w:line="103" w:lineRule="exact"/>
        <w:rPr>
          <w:sz w:val="20"/>
          <w:szCs w:val="20"/>
          <w:color w:val="auto"/>
        </w:rPr>
      </w:pPr>
    </w:p>
    <w:p>
      <w:pPr>
        <w:ind w:right="20" w:firstLine="374"/>
        <w:spacing w:after="0" w:line="254" w:lineRule="auto"/>
        <w:rPr>
          <w:sz w:val="20"/>
          <w:szCs w:val="20"/>
          <w:color w:val="auto"/>
        </w:rPr>
      </w:pPr>
      <w:r>
        <w:rPr>
          <w:rFonts w:ascii="Arial" w:cs="Arial" w:eastAsia="Arial" w:hAnsi="Arial"/>
          <w:sz w:val="17"/>
          <w:szCs w:val="17"/>
          <w:color w:val="auto"/>
        </w:rPr>
        <w:t>The Health Insurance Portability and Accountability Act of 1996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United States Department of Health and Human Services,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00"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22" w:lineRule="exact"/>
        <w:rPr>
          <w:sz w:val="20"/>
          <w:szCs w:val="20"/>
          <w:color w:val="auto"/>
        </w:rPr>
      </w:pPr>
    </w:p>
    <w:p>
      <w:pPr>
        <w:ind w:right="60" w:firstLine="374"/>
        <w:spacing w:after="0" w:line="239"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enacted the California Consumer Privacy Act, or CCPA, which went into effect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20" w:firstLine="374"/>
        <w:spacing w:after="0" w:line="257" w:lineRule="auto"/>
        <w:rPr>
          <w:sz w:val="20"/>
          <w:szCs w:val="20"/>
          <w:color w:val="auto"/>
        </w:rPr>
      </w:pPr>
      <w:r>
        <w:rPr>
          <w:rFonts w:ascii="Arial" w:cs="Arial" w:eastAsia="Arial" w:hAnsi="Arial"/>
          <w:sz w:val="17"/>
          <w:szCs w:val="17"/>
          <w:color w:val="auto"/>
        </w:rPr>
        <w:t>Additionally, in November 2020, California voters passed the California Privacy Rights Act of 2020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w:t>
      </w:r>
    </w:p>
    <w:p>
      <w:pPr>
        <w:spacing w:after="0" w:line="94"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The EU also has laws and regulations dealing with the collection, use and processing of personal data obtained from individuals in the EU, namely the EU General Data Protection Regulation, or GDPR. These regulations are often more restrictive than those in the United States and may restrict transfers of personal data to the United States unless certain requirements are met. The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Failure to comply with any of these obligations could expose us to significant fines.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08" w:lineRule="exact"/>
        <w:rPr>
          <w:sz w:val="20"/>
          <w:szCs w:val="20"/>
          <w:color w:val="auto"/>
        </w:rPr>
      </w:pPr>
    </w:p>
    <w:p>
      <w:pPr>
        <w:jc w:val="both"/>
        <w:ind w:right="20" w:firstLine="374"/>
        <w:spacing w:after="0" w:line="248" w:lineRule="auto"/>
        <w:rPr>
          <w:sz w:val="20"/>
          <w:szCs w:val="20"/>
          <w:color w:val="auto"/>
        </w:rPr>
      </w:pPr>
      <w:r>
        <w:rPr>
          <w:rFonts w:ascii="Arial" w:cs="Arial" w:eastAsia="Arial" w:hAnsi="Arial"/>
          <w:sz w:val="18"/>
          <w:szCs w:val="18"/>
          <w:color w:val="auto"/>
        </w:rPr>
        <w:t>As of December 31, 2021, we had 221 full-time employees, including 87 employees in sales &amp; marketing, 22 in general and administrative functions, 57 in research and development and 55 in manufacturing. All of our employees are full-time and none of our employees are represented by a labor union or covered under a collective bargaining agreement.</w:t>
      </w:r>
    </w:p>
    <w:p>
      <w:pPr>
        <w:spacing w:after="0" w:line="114" w:lineRule="exact"/>
        <w:rPr>
          <w:sz w:val="20"/>
          <w:szCs w:val="20"/>
          <w:color w:val="auto"/>
        </w:rPr>
      </w:pPr>
    </w:p>
    <w:p>
      <w:pPr>
        <w:ind w:right="180" w:firstLine="374"/>
        <w:spacing w:after="0" w:line="24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Our corporate headquarters is in Aliso Viejo, California where we lease four facilities housing our headquarters, manufacturing, research and development and administrative offices. The facility leases are for approximately 121,000 square feet in the aggregate. The leases terminate on (a) September 30, 2024, with one option to extend for five years; (b) January 31, 2026, with three options to extend for five years each; (c) March 31, 2023 with two options to extend for five years each; and (d) August 31, 2024, with one option to extend for five years. We believe that our existing facilities are adequate for our near-term needs but expect to need additional space as we grow. We believe that suitable additional or alternative space would be available in the future as required on commercially reasonable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right="840" w:firstLine="374"/>
        <w:spacing w:after="0" w:line="261" w:lineRule="auto"/>
        <w:rPr>
          <w:sz w:val="20"/>
          <w:szCs w:val="20"/>
          <w:color w:val="auto"/>
        </w:rPr>
      </w:pPr>
      <w:r>
        <w:rPr>
          <w:rFonts w:ascii="Arial" w:cs="Arial" w:eastAsia="Arial" w:hAnsi="Arial"/>
          <w:sz w:val="18"/>
          <w:szCs w:val="18"/>
          <w:color w:val="auto"/>
        </w:rPr>
        <w:t>We were incorporated in California on March 5, 1997 as Calhoun Vision, Inc. and changed our name to RxSight, Inc. in October 2016. We reincorporated in Delaware on July 6, 2021.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00" w:firstLine="374"/>
        <w:spacing w:after="0" w:line="254" w:lineRule="auto"/>
        <w:rPr>
          <w:sz w:val="20"/>
          <w:szCs w:val="20"/>
          <w:color w:val="auto"/>
        </w:rPr>
      </w:pPr>
      <w:r>
        <w:rPr>
          <w:rFonts w:ascii="Arial" w:cs="Arial" w:eastAsia="Arial" w:hAnsi="Arial"/>
          <w:sz w:val="17"/>
          <w:szCs w:val="17"/>
          <w:i w:val="1"/>
          <w:iCs w:val="1"/>
          <w:color w:val="auto"/>
        </w:rPr>
        <w:t>We operate in a rapidly changing environment that involves numerous uncertainties and risks. In addition to the other information included in this Annual Report on Form 10-K,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Annual Report on Form 10-K. The risks and uncertainties described below may not be the only ones we face. If any of the risks or uncertainties we face were to occur, the trading price of our securities could decline, and you may lose all or part of your investment. This Annual Report on Form 10-K also contains forward-looking statements that involve risks and uncertainties. See the section titled “Special Note Regarding Forward-Looking Statements” appearing elsewhere in this Annual Report. Our actual results could differ materially from those anticipated in the forward-looking statements as a result of factors that are described below and elsewhere in this report.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48" w:lineRule="exact"/>
        <w:rPr>
          <w:sz w:val="20"/>
          <w:szCs w:val="20"/>
          <w:color w:val="auto"/>
        </w:rPr>
      </w:pPr>
    </w:p>
    <w:p>
      <w:pPr>
        <w:ind w:left="1140" w:right="460" w:hanging="383"/>
        <w:spacing w:after="0" w:line="324"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6" w:lineRule="exact"/>
        <w:rPr>
          <w:rFonts w:ascii="Arial" w:cs="Arial" w:eastAsia="Arial" w:hAnsi="Arial"/>
          <w:sz w:val="16"/>
          <w:szCs w:val="16"/>
          <w:color w:val="auto"/>
        </w:rPr>
      </w:pPr>
    </w:p>
    <w:p>
      <w:pPr>
        <w:ind w:left="1140" w:right="80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history of net operating losses, and we expect to continue to incur losses for the foreseeable future. If we ever achieve profitability, we may not be able to sustain it.</w:t>
      </w:r>
    </w:p>
    <w:p>
      <w:pPr>
        <w:spacing w:after="0" w:line="103" w:lineRule="exact"/>
        <w:rPr>
          <w:rFonts w:ascii="Arial" w:cs="Arial" w:eastAsia="Arial" w:hAnsi="Arial"/>
          <w:sz w:val="18"/>
          <w:szCs w:val="18"/>
          <w:color w:val="auto"/>
        </w:rPr>
      </w:pPr>
    </w:p>
    <w:p>
      <w:pPr>
        <w:ind w:left="1140" w:right="2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89" w:lineRule="exact"/>
        <w:rPr>
          <w:rFonts w:ascii="Arial" w:cs="Arial" w:eastAsia="Arial" w:hAnsi="Arial"/>
          <w:sz w:val="18"/>
          <w:szCs w:val="18"/>
          <w:color w:val="auto"/>
        </w:rPr>
      </w:pPr>
    </w:p>
    <w:p>
      <w:pPr>
        <w:ind w:left="1140" w:right="10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62" w:lineRule="exact"/>
        <w:rPr>
          <w:sz w:val="20"/>
          <w:szCs w:val="20"/>
          <w:color w:val="auto"/>
        </w:rPr>
      </w:pPr>
    </w:p>
    <w:p>
      <w:pPr>
        <w:ind w:left="1140" w:right="160" w:hanging="383"/>
        <w:spacing w:after="0" w:line="24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100" w:lineRule="exact"/>
        <w:rPr>
          <w:rFonts w:ascii="Arial" w:cs="Arial" w:eastAsia="Arial" w:hAnsi="Arial"/>
          <w:sz w:val="18"/>
          <w:szCs w:val="18"/>
          <w:color w:val="auto"/>
        </w:rPr>
      </w:pPr>
    </w:p>
    <w:p>
      <w:pPr>
        <w:ind w:left="1140" w:right="14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and other proprietary information, our business and competitive position may be harmed.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 which could impair our business.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8" w:lineRule="exact"/>
        <w:rPr>
          <w:sz w:val="20"/>
          <w:szCs w:val="20"/>
          <w:color w:val="auto"/>
        </w:rPr>
      </w:pPr>
    </w:p>
    <w:p>
      <w:pPr>
        <w:ind w:left="1140" w:right="42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0" w:right="379" w:bottom="1440" w:gutter="0" w:footer="0" w:header="0"/>
        </w:sectPr>
      </w:pPr>
    </w:p>
    <w:bookmarkStart w:id="40" w:name="page41"/>
    <w:bookmarkEnd w:id="40"/>
    <w:p>
      <w:pPr>
        <w:ind w:left="38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62" w:lineRule="exact"/>
        <w:rPr>
          <w:sz w:val="20"/>
          <w:szCs w:val="20"/>
          <w:color w:val="auto"/>
        </w:rPr>
      </w:pPr>
    </w:p>
    <w:p>
      <w:pPr>
        <w:ind w:left="1140" w:right="52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depend on third parties, including single and sole source suppliers, to manufacture certain components and subcomponents of the RxSight system, making us vulnerable to supply disruptions and price fluctuations.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44" w:lineRule="exact"/>
        <w:rPr>
          <w:rFonts w:ascii="Arial" w:cs="Arial" w:eastAsia="Arial" w:hAnsi="Arial"/>
          <w:sz w:val="18"/>
          <w:szCs w:val="18"/>
          <w:color w:val="auto"/>
        </w:rPr>
      </w:pPr>
    </w:p>
    <w:p>
      <w:pPr>
        <w:ind w:left="1140" w:right="400" w:hanging="383"/>
        <w:spacing w:after="0" w:line="26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COVID-19:</w:t>
      </w:r>
    </w:p>
    <w:p>
      <w:pPr>
        <w:spacing w:after="0" w:line="162" w:lineRule="exact"/>
        <w:rPr>
          <w:sz w:val="20"/>
          <w:szCs w:val="20"/>
          <w:color w:val="auto"/>
        </w:rPr>
      </w:pPr>
    </w:p>
    <w:p>
      <w:pPr>
        <w:ind w:left="1140" w:right="24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have been harmed by the effects of the COVID-19 pandemic and may continue to be harmed.</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risk factors:</w:t>
      </w:r>
    </w:p>
    <w:p>
      <w:pPr>
        <w:spacing w:after="0" w:line="148" w:lineRule="exact"/>
        <w:rPr>
          <w:sz w:val="20"/>
          <w:szCs w:val="20"/>
          <w:color w:val="auto"/>
        </w:rPr>
      </w:pPr>
    </w:p>
    <w:p>
      <w:pPr>
        <w:ind w:left="1140" w:right="200" w:hanging="383"/>
        <w:spacing w:after="0" w:line="26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must recruit, retain, manage and motivate qualified executives as we build out the management team, and we are highly dependent on our management team.</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litigation proceedings may adversely affect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65"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We were incorporated in March 1997 and began commercializing our products in the second half of 2019, when we initiated a full launch of our light adjustable lenses and light delivery devices.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110"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Identifying and recruiting qualified sales and marketing personnel and training them on our product,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13" w:lineRule="exact"/>
        <w:rPr>
          <w:sz w:val="20"/>
          <w:szCs w:val="20"/>
          <w:color w:val="auto"/>
        </w:rPr>
      </w:pPr>
    </w:p>
    <w:p>
      <w:pPr>
        <w:ind w:right="40" w:firstLine="374"/>
        <w:spacing w:after="0" w:line="311" w:lineRule="auto"/>
        <w:rPr>
          <w:sz w:val="20"/>
          <w:szCs w:val="20"/>
          <w:color w:val="auto"/>
        </w:rPr>
      </w:pPr>
      <w:r>
        <w:rPr>
          <w:rFonts w:ascii="Arial" w:cs="Arial" w:eastAsia="Arial" w:hAnsi="Arial"/>
          <w:sz w:val="16"/>
          <w:szCs w:val="16"/>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ind w:right="20"/>
        <w:spacing w:after="0" w:line="279" w:lineRule="auto"/>
        <w:rPr>
          <w:sz w:val="20"/>
          <w:szCs w:val="20"/>
          <w:color w:val="auto"/>
        </w:rPr>
      </w:pPr>
      <w:r>
        <w:rPr>
          <w:rFonts w:ascii="Arial" w:cs="Arial" w:eastAsia="Arial" w:hAnsi="Arial"/>
          <w:sz w:val="17"/>
          <w:szCs w:val="17"/>
          <w:color w:val="auto"/>
        </w:rPr>
        <w:t>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104" w:lineRule="exact"/>
        <w:rPr>
          <w:sz w:val="20"/>
          <w:szCs w:val="20"/>
          <w:color w:val="auto"/>
        </w:rPr>
      </w:pPr>
    </w:p>
    <w:p>
      <w:pPr>
        <w:ind w:right="120" w:firstLine="374"/>
        <w:spacing w:after="0" w:line="272" w:lineRule="auto"/>
        <w:rPr>
          <w:sz w:val="20"/>
          <w:szCs w:val="20"/>
          <w:color w:val="auto"/>
        </w:rPr>
      </w:pPr>
      <w:r>
        <w:rPr>
          <w:rFonts w:ascii="Arial" w:cs="Arial" w:eastAsia="Arial" w:hAnsi="Arial"/>
          <w:sz w:val="17"/>
          <w:szCs w:val="17"/>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6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We have incurred losses from operations since our inception and expect to continue to incur losses from operations for the foreseeable future. We reported losses from operations of $52.8 million and $35.4 million for the years ended December 31, 2021 and 2020. As a result of these losses, as of December 31, 2021, we had an accumulated deficit of $479.3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additional costs associated with being a public company.</w:t>
      </w:r>
    </w:p>
    <w:p>
      <w:pPr>
        <w:spacing w:after="0" w:line="110" w:lineRule="exact"/>
        <w:rPr>
          <w:sz w:val="20"/>
          <w:szCs w:val="20"/>
          <w:color w:val="auto"/>
        </w:rPr>
      </w:pPr>
    </w:p>
    <w:p>
      <w:pPr>
        <w:ind w:right="400" w:firstLine="374"/>
        <w:spacing w:after="0" w:line="342" w:lineRule="auto"/>
        <w:rPr>
          <w:sz w:val="20"/>
          <w:szCs w:val="20"/>
          <w:color w:val="auto"/>
        </w:rPr>
      </w:pPr>
      <w:r>
        <w:rPr>
          <w:rFonts w:ascii="Arial" w:cs="Arial" w:eastAsia="Arial" w:hAnsi="Arial"/>
          <w:sz w:val="16"/>
          <w:szCs w:val="16"/>
          <w:color w:val="auto"/>
        </w:rPr>
        <w:t>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62" w:lineRule="exact"/>
        <w:rPr>
          <w:sz w:val="20"/>
          <w:szCs w:val="20"/>
          <w:color w:val="auto"/>
        </w:rPr>
      </w:pPr>
    </w:p>
    <w:p>
      <w:pPr>
        <w:ind w:right="100" w:firstLine="374"/>
        <w:spacing w:after="0" w:line="255"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11"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103" w:lineRule="exact"/>
        <w:rPr>
          <w:sz w:val="20"/>
          <w:szCs w:val="20"/>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revenue growth;</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success in leveraging future strategic partnerships;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2" w:name="page43"/>
    <w:bookmarkEnd w:id="42"/>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raise additional funds to finance our operations;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and amount of reimbursement for procedures using our products;</w:t>
      </w:r>
    </w:p>
    <w:p>
      <w:pPr>
        <w:spacing w:after="0" w:line="144" w:lineRule="exact"/>
        <w:rPr>
          <w:rFonts w:ascii="Arial" w:cs="Arial" w:eastAsia="Arial" w:hAnsi="Arial"/>
          <w:sz w:val="18"/>
          <w:szCs w:val="18"/>
          <w:color w:val="auto"/>
        </w:rPr>
      </w:pPr>
    </w:p>
    <w:p>
      <w:pPr>
        <w:ind w:left="1140" w:right="20" w:hanging="383"/>
        <w:spacing w:after="0" w:line="248"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100"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retain our employees and the need and ability to hire additional management and sales, scientific and medical personnel;</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requirements;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1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w:t>
      </w:r>
    </w:p>
    <w:p>
      <w:pPr>
        <w:spacing w:after="0" w:line="119"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color w:val="auto"/>
        </w:rPr>
        <w:t>As of December 31, 2021 and 2020, we had $159.3 million and $69.0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Annual Report on Form 10-K, we cannot assure you that we will be able to generate sufficient liquidity as and when needed.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The terms of our term loan place restrictions on our operating and financial flexibility, and failure to comply with covenants or to satisfy certain conditions of the agreement governing the term loan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3" w:name="page44"/>
    <w:bookmarkEnd w:id="43"/>
    <w:p>
      <w:pPr>
        <w:ind w:firstLine="374"/>
        <w:spacing w:after="0" w:line="263" w:lineRule="auto"/>
        <w:rPr>
          <w:sz w:val="20"/>
          <w:szCs w:val="20"/>
          <w:color w:val="auto"/>
        </w:rPr>
      </w:pPr>
      <w:r>
        <w:rPr>
          <w:rFonts w:ascii="Arial" w:cs="Arial" w:eastAsia="Arial" w:hAnsi="Arial"/>
          <w:sz w:val="18"/>
          <w:szCs w:val="18"/>
          <w:color w:val="auto"/>
        </w:rPr>
        <w:t>Our loan facility (“Term Loan”) with Oxford Finance, provided for a five-year $60.0 million term-loan facility, of which $40.0 million has been drawn as of December 31, 2021. Another $10.0 million of the term-loan facility was available for additional draws during 2021, which was not borrowed and $10.0 million was to be available in the first quarter of 2022 which we do not intend to borrow.</w:t>
      </w:r>
    </w:p>
    <w:p>
      <w:pPr>
        <w:spacing w:after="0" w:line="116"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Our payment obligations under the Term Loan reduce cash available to fund working capital, capital expenditures, research and development and general corporate needs. In addition, indebtedness under the Term Loan bears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06"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Our obligations under the Term Loan are secured by substantially all of our assets, excluding intellectual property. The security interest granted over our assets could limit our ability to obtain additional debt financing. The Term Loan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110"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101" w:lineRule="exact"/>
        <w:rPr>
          <w:sz w:val="20"/>
          <w:szCs w:val="20"/>
          <w:color w:val="auto"/>
        </w:rPr>
      </w:pPr>
    </w:p>
    <w:p>
      <w:pPr>
        <w:jc w:val="both"/>
        <w:ind w:right="260" w:firstLine="374"/>
        <w:spacing w:after="0" w:line="263" w:lineRule="auto"/>
        <w:rPr>
          <w:sz w:val="20"/>
          <w:szCs w:val="20"/>
          <w:color w:val="auto"/>
        </w:rPr>
      </w:pPr>
      <w:r>
        <w:rPr>
          <w:rFonts w:ascii="Arial" w:cs="Arial" w:eastAsia="Arial" w:hAnsi="Arial"/>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62"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16" w:lineRule="exact"/>
        <w:rPr>
          <w:sz w:val="20"/>
          <w:szCs w:val="20"/>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actual and perceived effectiveness and reliability of our RxSight system, especially relative to alternative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any adverse patient events involving our RxSight system;</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relating to our RxSight system;</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sustain meaningful clinical benefits for our patients;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our planned or future products for use in the United States or internationally;</w:t>
      </w:r>
    </w:p>
    <w:p>
      <w:pPr>
        <w:spacing w:after="0" w:line="144" w:lineRule="exact"/>
        <w:rPr>
          <w:rFonts w:ascii="Arial" w:cs="Arial" w:eastAsia="Arial" w:hAnsi="Arial"/>
          <w:sz w:val="18"/>
          <w:szCs w:val="18"/>
          <w:color w:val="auto"/>
        </w:rPr>
      </w:pPr>
    </w:p>
    <w:p>
      <w:pPr>
        <w:ind w:left="1140" w:right="26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relative cost and perceived advantages and disadvantages of alternative technologies or treatment methods for conditions treated by our products;</w:t>
      </w:r>
    </w:p>
    <w:p>
      <w:pPr>
        <w:spacing w:after="0" w:line="89" w:lineRule="exact"/>
        <w:rPr>
          <w:rFonts w:ascii="Arial" w:cs="Arial" w:eastAsia="Arial" w:hAnsi="Arial"/>
          <w:sz w:val="18"/>
          <w:szCs w:val="18"/>
          <w:color w:val="auto"/>
        </w:rPr>
      </w:pPr>
    </w:p>
    <w:p>
      <w:pPr>
        <w:ind w:left="1140" w:hanging="383"/>
        <w:spacing w:after="0" w:line="248"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11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degree to which doctors adopt our RxSight system;</w:t>
      </w:r>
    </w:p>
    <w:p>
      <w:pPr>
        <w:spacing w:after="0" w:line="144" w:lineRule="exact"/>
        <w:rPr>
          <w:rFonts w:ascii="Arial" w:cs="Arial" w:eastAsia="Arial" w:hAnsi="Arial"/>
          <w:sz w:val="18"/>
          <w:szCs w:val="18"/>
          <w:color w:val="auto"/>
        </w:rPr>
      </w:pPr>
    </w:p>
    <w:p>
      <w:pPr>
        <w:ind w:left="1140" w:right="300" w:hanging="383"/>
        <w:spacing w:after="0" w:line="262" w:lineRule="auto"/>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91" w:lineRule="exact"/>
        <w:rPr>
          <w:rFonts w:ascii="Arial" w:cs="Arial" w:eastAsia="Arial" w:hAnsi="Arial"/>
          <w:sz w:val="17"/>
          <w:szCs w:val="17"/>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 and to our RxSight system;</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degree to which patients value the customized vision delivered by the RxSight system and are satisfied with their results;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achieving and maintaining compliance with regulatory requirements applicable to our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we are successful in educating doctors about IOLs in general, and the benefits of our RxSight system;</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reputation among doctors;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our marketing and commercial organization;</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our marketing and sales efforts in the United States, including our efforts to build out our sales team;</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expand the commercialization of our products into international markets;</w:t>
      </w:r>
    </w:p>
    <w:p>
      <w:pPr>
        <w:spacing w:after="0" w:line="144"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continue to develop, validate and maintain a commercially viable manufacturing process that is compliant with the Quality Systems Regulations (“QSR”), and other applicable foreign, federal and state regulatory requirements;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ongoing or future clinical trials; and</w:t>
      </w:r>
    </w:p>
    <w:p>
      <w:pPr>
        <w:spacing w:after="0" w:line="144"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we are required by the FDA or comparable non-U.S. regulatory authorities to conduct additional clinical trials for current or future indications.</w:t>
      </w:r>
    </w:p>
    <w:p>
      <w:pPr>
        <w:spacing w:after="0" w:line="103" w:lineRule="exact"/>
        <w:rPr>
          <w:sz w:val="20"/>
          <w:szCs w:val="20"/>
          <w:color w:val="auto"/>
        </w:rPr>
      </w:pPr>
    </w:p>
    <w:p>
      <w:pPr>
        <w:ind w:right="120" w:firstLine="374"/>
        <w:spacing w:after="0" w:line="239" w:lineRule="auto"/>
        <w:rPr>
          <w:sz w:val="20"/>
          <w:szCs w:val="20"/>
          <w:color w:val="auto"/>
        </w:rPr>
      </w:pPr>
      <w:r>
        <w:rPr>
          <w:rFonts w:ascii="Arial" w:cs="Arial" w:eastAsia="Arial" w:hAnsi="Arial"/>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ind w:right="660"/>
        <w:spacing w:after="0" w:line="261" w:lineRule="auto"/>
        <w:rPr>
          <w:sz w:val="20"/>
          <w:szCs w:val="20"/>
          <w:color w:val="auto"/>
        </w:rPr>
      </w:pPr>
      <w:r>
        <w:rPr>
          <w:rFonts w:ascii="Arial" w:cs="Arial" w:eastAsia="Arial" w:hAnsi="Arial"/>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63" w:lineRule="exact"/>
        <w:rPr>
          <w:sz w:val="20"/>
          <w:szCs w:val="20"/>
          <w:color w:val="auto"/>
        </w:rPr>
      </w:pPr>
    </w:p>
    <w:p>
      <w:pPr>
        <w:ind w:firstLine="374"/>
        <w:spacing w:after="0" w:line="271" w:lineRule="auto"/>
        <w:rPr>
          <w:sz w:val="20"/>
          <w:szCs w:val="20"/>
          <w:color w:val="auto"/>
        </w:rPr>
      </w:pPr>
      <w:r>
        <w:rPr>
          <w:rFonts w:ascii="Arial" w:cs="Arial" w:eastAsia="Arial" w:hAnsi="Arial"/>
          <w:sz w:val="16"/>
          <w:szCs w:val="16"/>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101"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RxSight system will depend upon attaining significant market acceptance of these products among patients and doctors.</w:t>
      </w:r>
    </w:p>
    <w:p>
      <w:pPr>
        <w:spacing w:after="0" w:line="138" w:lineRule="exact"/>
        <w:rPr>
          <w:sz w:val="20"/>
          <w:szCs w:val="20"/>
          <w:color w:val="auto"/>
        </w:rPr>
      </w:pPr>
    </w:p>
    <w:p>
      <w:pPr>
        <w:ind w:right="20" w:firstLine="374"/>
        <w:spacing w:after="0" w:line="270" w:lineRule="auto"/>
        <w:rPr>
          <w:sz w:val="20"/>
          <w:szCs w:val="20"/>
          <w:color w:val="auto"/>
        </w:rPr>
      </w:pPr>
      <w:r>
        <w:rPr>
          <w:rFonts w:ascii="Arial" w:cs="Arial" w:eastAsia="Arial" w:hAnsi="Arial"/>
          <w:sz w:val="16"/>
          <w:szCs w:val="16"/>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104" w:lineRule="exact"/>
        <w:rPr>
          <w:sz w:val="20"/>
          <w:szCs w:val="20"/>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long-standing relationships with competing companies and distributors that sell other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safety or clinical benefits;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 commitment and skill development that may be required to gain familiarity and proficiency with our products;</w:t>
      </w:r>
    </w:p>
    <w:p>
      <w:pPr>
        <w:spacing w:after="0" w:line="130"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confusion regarding the wide range of commercially available premium IOL offerings and their ability to deliver promised results at near, middle and far distances without reliance on spectacles;</w:t>
      </w:r>
    </w:p>
    <w:p>
      <w:pPr>
        <w:spacing w:after="0" w:line="103" w:lineRule="exact"/>
        <w:rPr>
          <w:rFonts w:ascii="Arial" w:cs="Arial" w:eastAsia="Arial" w:hAnsi="Arial"/>
          <w:sz w:val="18"/>
          <w:szCs w:val="18"/>
          <w:color w:val="auto"/>
        </w:rPr>
      </w:pPr>
    </w:p>
    <w:p>
      <w:pPr>
        <w:ind w:left="1140" w:right="580" w:hanging="383"/>
        <w:spacing w:after="0" w:line="26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reticence to select a premium IOL due to nonperformance and adverse side effects associated with competing products in the market;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ind w:left="1140" w:right="100" w:hanging="383"/>
        <w:spacing w:after="0" w:line="248"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14" w:lineRule="exact"/>
        <w:rPr>
          <w:rFonts w:ascii="Arial" w:cs="Arial" w:eastAsia="Arial" w:hAnsi="Arial"/>
          <w:sz w:val="18"/>
          <w:szCs w:val="18"/>
          <w:color w:val="auto"/>
        </w:rPr>
      </w:pPr>
    </w:p>
    <w:p>
      <w:pPr>
        <w:ind w:left="1140" w:right="240" w:hanging="383"/>
        <w:spacing w:after="0" w:line="261"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inability to generate patient referral due to dissatisfaction with results obtained through treatment with our products, the out-of-pocket cost of treatments using our products or otherwise.</w:t>
      </w:r>
    </w:p>
    <w:p>
      <w:pPr>
        <w:spacing w:after="0" w:line="90"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114" w:lineRule="exact"/>
        <w:rPr>
          <w:sz w:val="20"/>
          <w:szCs w:val="20"/>
          <w:color w:val="auto"/>
        </w:rPr>
      </w:pPr>
    </w:p>
    <w:p>
      <w:pPr>
        <w:jc w:val="both"/>
        <w:ind w:right="600" w:firstLine="374"/>
        <w:spacing w:after="0" w:line="294" w:lineRule="auto"/>
        <w:rPr>
          <w:sz w:val="20"/>
          <w:szCs w:val="20"/>
          <w:color w:val="auto"/>
        </w:rPr>
      </w:pPr>
      <w:r>
        <w:rPr>
          <w:rFonts w:ascii="Arial" w:cs="Arial" w:eastAsia="Arial" w:hAnsi="Arial"/>
          <w:sz w:val="16"/>
          <w:szCs w:val="16"/>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80" w:lineRule="exact"/>
        <w:rPr>
          <w:sz w:val="20"/>
          <w:szCs w:val="20"/>
          <w:color w:val="auto"/>
        </w:rPr>
      </w:pPr>
    </w:p>
    <w:p>
      <w:pPr>
        <w:ind w:right="80" w:firstLine="374"/>
        <w:spacing w:after="0" w:line="274" w:lineRule="auto"/>
        <w:rPr>
          <w:sz w:val="20"/>
          <w:szCs w:val="20"/>
          <w:color w:val="auto"/>
        </w:rPr>
      </w:pPr>
      <w:r>
        <w:rPr>
          <w:rFonts w:ascii="Arial" w:cs="Arial" w:eastAsia="Arial" w:hAnsi="Arial"/>
          <w:sz w:val="16"/>
          <w:szCs w:val="16"/>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82"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RxSight system involves surgical risks and is contraindicated in certain patients, which may limit adoption.</w:t>
      </w:r>
    </w:p>
    <w:p>
      <w:pPr>
        <w:spacing w:after="0" w:line="144" w:lineRule="exact"/>
        <w:rPr>
          <w:sz w:val="20"/>
          <w:szCs w:val="20"/>
          <w:color w:val="auto"/>
        </w:rPr>
      </w:pPr>
    </w:p>
    <w:p>
      <w:pPr>
        <w:ind w:right="120" w:firstLine="374"/>
        <w:spacing w:after="0" w:line="243" w:lineRule="auto"/>
        <w:rPr>
          <w:sz w:val="20"/>
          <w:szCs w:val="20"/>
          <w:color w:val="auto"/>
        </w:rPr>
      </w:pPr>
      <w:r>
        <w:rPr>
          <w:rFonts w:ascii="Arial" w:cs="Arial" w:eastAsia="Arial" w:hAnsi="Arial"/>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62"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Carl Zeiss Meditec, Bausch + Lomb, and Hoya Corporation.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spectacles until final lock-in which is approximately 4-5 weeks after surgery. They will also be required to return for an additional 2-3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116" w:lineRule="exact"/>
        <w:rPr>
          <w:sz w:val="20"/>
          <w:szCs w:val="20"/>
          <w:color w:val="auto"/>
        </w:rPr>
      </w:pPr>
    </w:p>
    <w:p>
      <w:pPr>
        <w:ind w:left="5540" w:right="3240" w:hanging="4783"/>
        <w:spacing w:after="0" w:line="434"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quality of patient outcomes, oftentimes measured by visual acuity, and adverse event rates;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7" w:name="page48"/>
    <w:bookmarkEnd w:id="47"/>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Patient experience, including patient recovery time and level of discomfort;</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Acceptance by treating doctors and referral sources;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Doctor learning curves and willingness to adopt new technologies;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Ease-of-use and reliability;</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benefits and cost savings;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Strength of clinical evidence;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distribution and marketing to surgeons and potential patients;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price and qualification for coverage and reimbursement.</w:t>
      </w:r>
    </w:p>
    <w:p>
      <w:pPr>
        <w:spacing w:after="0" w:line="131"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We compete primarily on the basis that our products are designed to enable more doctors to treat more patients more efficiently and effectively. Our continued success depends on our ability to:</w:t>
      </w:r>
    </w:p>
    <w:p>
      <w:pPr>
        <w:spacing w:after="0" w:line="103" w:lineRule="exact"/>
        <w:rPr>
          <w:sz w:val="20"/>
          <w:szCs w:val="20"/>
          <w:color w:val="auto"/>
        </w:rPr>
      </w:pPr>
    </w:p>
    <w:p>
      <w:pPr>
        <w:ind w:left="1140" w:right="20" w:hanging="383"/>
        <w:spacing w:after="0" w:line="26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develop innovative, proprietary products that address significant clinical needs in a manner that is safe and effective for patients and easy-to-use for doctors;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and maintain regulatory clearances or approvals;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demonstrate safety and effectiveness in our sponsored and third-party clinical trials;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expand our sales force across key markets to increase doctors’ awareness;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and maintain coverage and adequate reimbursement for procedures using our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 and retain skilled research, development, sales and clinical personnel;</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cost-effectively manufacture, market and sell our products;</w:t>
      </w:r>
    </w:p>
    <w:p>
      <w:pPr>
        <w:spacing w:after="0" w:line="144"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doctors with a sufficient return on investment as compared to alternative premium IOL procedures that justifies the upfront cost of our LDD; and</w:t>
      </w:r>
    </w:p>
    <w:p>
      <w:pPr>
        <w:spacing w:after="0" w:line="89" w:lineRule="exact"/>
        <w:rPr>
          <w:rFonts w:ascii="Arial" w:cs="Arial" w:eastAsia="Arial" w:hAnsi="Arial"/>
          <w:sz w:val="18"/>
          <w:szCs w:val="18"/>
          <w:color w:val="auto"/>
        </w:rPr>
      </w:pPr>
    </w:p>
    <w:p>
      <w:pPr>
        <w:ind w:left="1140" w:right="500" w:hanging="383"/>
        <w:spacing w:after="0" w:line="26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03"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08" w:lineRule="exact"/>
        <w:rPr>
          <w:sz w:val="20"/>
          <w:szCs w:val="20"/>
          <w:color w:val="auto"/>
        </w:rPr>
      </w:pPr>
    </w:p>
    <w:p>
      <w:pPr>
        <w:ind w:right="40" w:firstLine="374"/>
        <w:spacing w:after="0" w:line="284" w:lineRule="auto"/>
        <w:rPr>
          <w:sz w:val="20"/>
          <w:szCs w:val="20"/>
          <w:color w:val="auto"/>
        </w:rPr>
      </w:pPr>
      <w:r>
        <w:rPr>
          <w:rFonts w:ascii="Arial" w:cs="Arial" w:eastAsia="Arial" w:hAnsi="Arial"/>
          <w:sz w:val="16"/>
          <w:szCs w:val="16"/>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8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38" w:lineRule="exact"/>
        <w:rPr>
          <w:sz w:val="20"/>
          <w:szCs w:val="20"/>
          <w:color w:val="auto"/>
        </w:rPr>
      </w:pPr>
    </w:p>
    <w:p>
      <w:pPr>
        <w:ind w:right="340" w:firstLine="374"/>
        <w:spacing w:after="0" w:line="261" w:lineRule="auto"/>
        <w:rPr>
          <w:sz w:val="20"/>
          <w:szCs w:val="20"/>
          <w:color w:val="auto"/>
        </w:rPr>
      </w:pPr>
      <w:r>
        <w:rPr>
          <w:rFonts w:ascii="Arial" w:cs="Arial" w:eastAsia="Arial" w:hAnsi="Arial"/>
          <w:sz w:val="18"/>
          <w:szCs w:val="18"/>
          <w:color w:val="auto"/>
        </w:rPr>
        <w:t>We currently maintain our research and development, manufacturing and administrative operations in Aliso Viejo, California, and we do not have redundant facilities. We operate a single manufacturing facility, and should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8" w:name="page49"/>
    <w:bookmarkEnd w:id="48"/>
    <w:p>
      <w:pPr>
        <w:ind w:right="100"/>
        <w:spacing w:after="0" w:line="252" w:lineRule="auto"/>
        <w:rPr>
          <w:sz w:val="20"/>
          <w:szCs w:val="20"/>
          <w:color w:val="auto"/>
        </w:rPr>
      </w:pPr>
      <w:r>
        <w:rPr>
          <w:rFonts w:ascii="Arial" w:cs="Arial" w:eastAsia="Arial" w:hAnsi="Arial"/>
          <w:sz w:val="17"/>
          <w:szCs w:val="17"/>
          <w:color w:val="auto"/>
        </w:rPr>
        <w:t>this facility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118" w:lineRule="exact"/>
        <w:rPr>
          <w:sz w:val="20"/>
          <w:szCs w:val="20"/>
          <w:color w:val="auto"/>
        </w:rPr>
      </w:pPr>
    </w:p>
    <w:p>
      <w:pPr>
        <w:ind w:firstLine="374"/>
        <w:spacing w:after="0" w:line="274" w:lineRule="auto"/>
        <w:rPr>
          <w:sz w:val="20"/>
          <w:szCs w:val="20"/>
          <w:color w:val="auto"/>
        </w:rPr>
      </w:pPr>
      <w:r>
        <w:rPr>
          <w:rFonts w:ascii="Arial" w:cs="Arial" w:eastAsia="Arial" w:hAnsi="Arial"/>
          <w:sz w:val="16"/>
          <w:szCs w:val="16"/>
          <w:color w:val="auto"/>
        </w:rPr>
        <w:t>Furthermore, the current leases on our four facilities expire at the end of September 30, 2029 (including a five year option to extend), January 31, 2041 (including three-five year options to extend), June 30, 2033 (including two extensions to extend for 5 years each) and August 31, 2024 (including a five year option to extend), and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change may adversely affect sales of our products and may cause our products to become obsolete.</w:t>
      </w:r>
    </w:p>
    <w:p>
      <w:pPr>
        <w:spacing w:after="0" w:line="117"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76" w:lineRule="exact"/>
        <w:rPr>
          <w:sz w:val="20"/>
          <w:szCs w:val="20"/>
          <w:color w:val="auto"/>
        </w:rPr>
      </w:pPr>
    </w:p>
    <w:p>
      <w:pPr>
        <w:ind w:right="160" w:firstLine="374"/>
        <w:spacing w:after="0" w:line="253" w:lineRule="auto"/>
        <w:rPr>
          <w:sz w:val="20"/>
          <w:szCs w:val="20"/>
          <w:color w:val="auto"/>
        </w:rPr>
      </w:pPr>
      <w:r>
        <w:rPr>
          <w:rFonts w:ascii="Arial" w:cs="Arial" w:eastAsia="Arial" w:hAnsi="Arial"/>
          <w:sz w:val="17"/>
          <w:szCs w:val="17"/>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of clinical trials may fail to show the desired safety and efficacy despite having progressed through nonclinical studies and earlier clinical trials.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clinical trials are unsuccessful or significantly delayed, or if we do not complete our clinical trials, our business may be harmed.</w:t>
      </w:r>
    </w:p>
    <w:p>
      <w:pPr>
        <w:spacing w:after="0" w:line="129"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99" w:lineRule="exact"/>
        <w:rPr>
          <w:sz w:val="20"/>
          <w:szCs w:val="20"/>
          <w:color w:val="auto"/>
        </w:rPr>
      </w:pPr>
    </w:p>
    <w:p>
      <w:pPr>
        <w:ind w:right="640" w:firstLine="374"/>
        <w:spacing w:after="0" w:line="324" w:lineRule="auto"/>
        <w:rPr>
          <w:sz w:val="20"/>
          <w:szCs w:val="20"/>
          <w:color w:val="auto"/>
        </w:rPr>
      </w:pPr>
      <w:r>
        <w:rPr>
          <w:rFonts w:ascii="Arial" w:cs="Arial" w:eastAsia="Arial" w:hAnsi="Arial"/>
          <w:sz w:val="16"/>
          <w:szCs w:val="16"/>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57" w:lineRule="exact"/>
        <w:rPr>
          <w:sz w:val="20"/>
          <w:szCs w:val="20"/>
          <w:color w:val="auto"/>
        </w:rPr>
      </w:pPr>
    </w:p>
    <w:p>
      <w:pPr>
        <w:ind w:left="1140" w:right="160" w:hanging="383"/>
        <w:spacing w:after="0" w:line="291" w:lineRule="auto"/>
        <w:tabs>
          <w:tab w:leader="none" w:pos="11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79" w:lineRule="exact"/>
        <w:rPr>
          <w:rFonts w:ascii="Arial" w:cs="Arial" w:eastAsia="Arial" w:hAnsi="Arial"/>
          <w:sz w:val="17"/>
          <w:szCs w:val="17"/>
          <w:color w:val="auto"/>
        </w:rPr>
      </w:pPr>
    </w:p>
    <w:p>
      <w:pPr>
        <w:ind w:left="1140" w:right="44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we may experience high screen failure rates in our clinical trials, resulting in significant delays;</w:t>
      </w:r>
    </w:p>
    <w:p>
      <w:pPr>
        <w:spacing w:after="0" w:line="89"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trial results may not meet the level of statistical significance required by the FDA or other regulatory authorities;</w:t>
      </w:r>
    </w:p>
    <w:p>
      <w:pPr>
        <w:spacing w:after="0" w:line="144"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find that one or more of our products is not sufficiently safe for investigational use in humans;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interpret data from preclinical testing and clinical trials in different ways than we do;</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may be delays or failure in obtaining approval of our clinical trial protocols from the FDA or other regulatory authorities;</w:t>
      </w:r>
    </w:p>
    <w:p>
      <w:pPr>
        <w:spacing w:after="0" w:line="144" w:lineRule="exact"/>
        <w:rPr>
          <w:rFonts w:ascii="Arial" w:cs="Arial" w:eastAsia="Arial" w:hAnsi="Arial"/>
          <w:sz w:val="18"/>
          <w:szCs w:val="18"/>
          <w:color w:val="auto"/>
        </w:rPr>
      </w:pPr>
    </w:p>
    <w:p>
      <w:pPr>
        <w:ind w:left="1140" w:right="26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may be delays in obtaining institutional review board approvals or governmental approvals to conduct clinical trials at prospective sites;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FDA or similar foreign regulatory authorities may find our or our suppliers’ manufacturing processes or facilities unsatisfactory;</w:t>
      </w:r>
    </w:p>
    <w:p>
      <w:pPr>
        <w:spacing w:after="0" w:line="155" w:lineRule="exact"/>
        <w:rPr>
          <w:rFonts w:ascii="Arial" w:cs="Arial" w:eastAsia="Arial" w:hAnsi="Arial"/>
          <w:sz w:val="17"/>
          <w:szCs w:val="17"/>
          <w:color w:val="auto"/>
        </w:rPr>
      </w:pPr>
    </w:p>
    <w:p>
      <w:pPr>
        <w:ind w:left="1140" w:right="16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have trouble in managing multiple clinical sites;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have trouble finding patients to enroll in our trials;</w:t>
      </w:r>
    </w:p>
    <w:p>
      <w:pPr>
        <w:spacing w:after="0" w:line="144" w:lineRule="exact"/>
        <w:rPr>
          <w:rFonts w:ascii="Arial" w:cs="Arial" w:eastAsia="Arial" w:hAnsi="Arial"/>
          <w:sz w:val="18"/>
          <w:szCs w:val="18"/>
          <w:color w:val="auto"/>
        </w:rPr>
      </w:pPr>
    </w:p>
    <w:p>
      <w:pPr>
        <w:ind w:left="1140" w:right="14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experience delays in agreeing on acceptable terms with third-party research organizations and trial sites that may help us conduct the clinical trials;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50" w:name="page51"/>
    <w:bookmarkEnd w:id="50"/>
    <w:p>
      <w:pPr>
        <w:ind w:left="1140" w:right="260" w:hanging="383"/>
        <w:spacing w:after="0" w:line="26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regulators, may suspend or terminate our clinical trials because the participating patients are being exposed to unacceptable health risks.</w:t>
      </w:r>
    </w:p>
    <w:p>
      <w:pPr>
        <w:spacing w:after="0" w:line="103" w:lineRule="exact"/>
        <w:rPr>
          <w:sz w:val="20"/>
          <w:szCs w:val="20"/>
          <w:color w:val="auto"/>
        </w:rPr>
      </w:pPr>
    </w:p>
    <w:p>
      <w:pPr>
        <w:ind w:right="160" w:firstLine="374"/>
        <w:spacing w:after="0" w:line="261" w:lineRule="auto"/>
        <w:rPr>
          <w:sz w:val="20"/>
          <w:szCs w:val="20"/>
          <w:color w:val="auto"/>
        </w:rPr>
      </w:pPr>
      <w:r>
        <w:rPr>
          <w:rFonts w:ascii="Arial" w:cs="Arial" w:eastAsia="Arial" w:hAnsi="Arial"/>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62" w:lineRule="exact"/>
        <w:rPr>
          <w:sz w:val="20"/>
          <w:szCs w:val="20"/>
          <w:color w:val="auto"/>
        </w:rPr>
      </w:pPr>
    </w:p>
    <w:p>
      <w:pPr>
        <w:ind w:right="40" w:firstLine="374"/>
        <w:spacing w:after="0" w:line="257" w:lineRule="auto"/>
        <w:rPr>
          <w:sz w:val="20"/>
          <w:szCs w:val="20"/>
          <w:color w:val="auto"/>
        </w:rPr>
      </w:pPr>
      <w:r>
        <w:rPr>
          <w:rFonts w:ascii="Arial" w:cs="Arial" w:eastAsia="Arial" w:hAnsi="Arial"/>
          <w:sz w:val="17"/>
          <w:szCs w:val="17"/>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1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62"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2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76"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08"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ind w:right="60"/>
        <w:spacing w:after="0" w:line="255" w:lineRule="auto"/>
        <w:rPr>
          <w:sz w:val="20"/>
          <w:szCs w:val="20"/>
          <w:color w:val="auto"/>
        </w:rPr>
      </w:pPr>
      <w:r>
        <w:rPr>
          <w:rFonts w:ascii="Arial" w:cs="Arial" w:eastAsia="Arial" w:hAnsi="Arial"/>
          <w:sz w:val="17"/>
          <w:szCs w:val="17"/>
          <w:color w:val="auto"/>
        </w:rPr>
        <w:t>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112"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108"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acquire and develop other products, we may be unable to grow our business.</w:t>
      </w:r>
    </w:p>
    <w:p>
      <w:pPr>
        <w:spacing w:after="0" w:line="117" w:lineRule="exact"/>
        <w:rPr>
          <w:sz w:val="20"/>
          <w:szCs w:val="20"/>
          <w:color w:val="auto"/>
        </w:rPr>
      </w:pPr>
    </w:p>
    <w:p>
      <w:pPr>
        <w:jc w:val="both"/>
        <w:ind w:right="500" w:firstLine="374"/>
        <w:spacing w:after="0" w:line="248" w:lineRule="auto"/>
        <w:rPr>
          <w:sz w:val="20"/>
          <w:szCs w:val="20"/>
          <w:color w:val="auto"/>
        </w:rPr>
      </w:pPr>
      <w:r>
        <w:rPr>
          <w:rFonts w:ascii="Arial" w:cs="Arial" w:eastAsia="Arial" w:hAnsi="Arial"/>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114"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08"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20"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10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16" w:lineRule="exact"/>
        <w:rPr>
          <w:sz w:val="20"/>
          <w:szCs w:val="20"/>
          <w:color w:val="auto"/>
        </w:rPr>
      </w:pPr>
    </w:p>
    <w:p>
      <w:pPr>
        <w:ind w:right="260" w:firstLine="374"/>
        <w:spacing w:after="0" w:line="294" w:lineRule="auto"/>
        <w:rPr>
          <w:sz w:val="20"/>
          <w:szCs w:val="20"/>
          <w:color w:val="auto"/>
        </w:rPr>
      </w:pPr>
      <w:r>
        <w:rPr>
          <w:rFonts w:ascii="Arial" w:cs="Arial" w:eastAsia="Arial" w:hAnsi="Arial"/>
          <w:sz w:val="16"/>
          <w:szCs w:val="16"/>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2" w:name="page53"/>
    <w:bookmarkEnd w:id="52"/>
    <w:p>
      <w:pPr>
        <w:spacing w:after="0" w:line="262" w:lineRule="auto"/>
        <w:rPr>
          <w:sz w:val="20"/>
          <w:szCs w:val="20"/>
          <w:color w:val="auto"/>
        </w:rPr>
      </w:pPr>
      <w:r>
        <w:rPr>
          <w:rFonts w:ascii="Arial" w:cs="Arial" w:eastAsia="Arial" w:hAnsi="Arial"/>
          <w:sz w:val="17"/>
          <w:szCs w:val="17"/>
          <w:color w:val="auto"/>
        </w:rPr>
        <w:t>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05"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76" w:lineRule="exact"/>
        <w:rPr>
          <w:sz w:val="20"/>
          <w:szCs w:val="20"/>
          <w:color w:val="auto"/>
        </w:rPr>
      </w:pPr>
    </w:p>
    <w:p>
      <w:pPr>
        <w:ind w:firstLine="374"/>
        <w:spacing w:after="0" w:line="252"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18" w:lineRule="exact"/>
        <w:rPr>
          <w:sz w:val="20"/>
          <w:szCs w:val="20"/>
          <w:color w:val="auto"/>
        </w:rPr>
      </w:pPr>
    </w:p>
    <w:p>
      <w:pPr>
        <w:ind w:right="80" w:firstLine="374"/>
        <w:spacing w:after="0" w:line="279" w:lineRule="auto"/>
        <w:rPr>
          <w:sz w:val="20"/>
          <w:szCs w:val="20"/>
          <w:color w:val="auto"/>
        </w:rPr>
      </w:pPr>
      <w:r>
        <w:rPr>
          <w:rFonts w:ascii="Arial" w:cs="Arial" w:eastAsia="Arial" w:hAnsi="Arial"/>
          <w:sz w:val="16"/>
          <w:szCs w:val="16"/>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92" w:lineRule="exact"/>
        <w:rPr>
          <w:sz w:val="20"/>
          <w:szCs w:val="20"/>
          <w:color w:val="auto"/>
        </w:rPr>
      </w:pPr>
    </w:p>
    <w:p>
      <w:pPr>
        <w:ind w:right="40" w:firstLine="374"/>
        <w:spacing w:after="0" w:line="262" w:lineRule="auto"/>
        <w:rPr>
          <w:sz w:val="20"/>
          <w:szCs w:val="20"/>
          <w:color w:val="auto"/>
        </w:rPr>
      </w:pPr>
      <w:r>
        <w:rPr>
          <w:rFonts w:ascii="Arial" w:cs="Arial" w:eastAsia="Arial" w:hAnsi="Arial"/>
          <w:sz w:val="17"/>
          <w:szCs w:val="17"/>
          <w:color w:val="auto"/>
        </w:rPr>
        <w:t>Furthermore, although we believe there is potential to improve on the current reimbursement profile for our products in the future,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91"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sufficiently cost effective to warrant coverage and adequate reimbursement levels for procedures using such products in any given jurisdiction.</w:t>
      </w:r>
    </w:p>
    <w:p>
      <w:pPr>
        <w:spacing w:after="0" w:line="1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76" w:lineRule="exact"/>
        <w:rPr>
          <w:sz w:val="20"/>
          <w:szCs w:val="20"/>
          <w:color w:val="auto"/>
        </w:rPr>
      </w:pPr>
    </w:p>
    <w:p>
      <w:pPr>
        <w:ind w:right="40" w:firstLine="374"/>
        <w:spacing w:after="0" w:line="255" w:lineRule="auto"/>
        <w:rPr>
          <w:sz w:val="20"/>
          <w:szCs w:val="20"/>
          <w:color w:val="auto"/>
        </w:rPr>
      </w:pPr>
      <w:r>
        <w:rPr>
          <w:rFonts w:ascii="Arial" w:cs="Arial" w:eastAsia="Arial" w:hAnsi="Arial"/>
          <w:sz w:val="17"/>
          <w:szCs w:val="17"/>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99" w:lineRule="exact"/>
        <w:rPr>
          <w:sz w:val="20"/>
          <w:szCs w:val="20"/>
          <w:color w:val="auto"/>
        </w:rPr>
      </w:pPr>
    </w:p>
    <w:p>
      <w:pPr>
        <w:ind w:right="360" w:firstLine="374"/>
        <w:spacing w:after="0" w:line="24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market and sell our products.</w:t>
      </w:r>
    </w:p>
    <w:p>
      <w:pPr>
        <w:spacing w:after="0" w:line="144"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03" w:lineRule="exact"/>
        <w:rPr>
          <w:sz w:val="20"/>
          <w:szCs w:val="20"/>
          <w:color w:val="auto"/>
        </w:rPr>
      </w:pPr>
    </w:p>
    <w:p>
      <w:pPr>
        <w:ind w:right="180" w:firstLine="374"/>
        <w:spacing w:after="0" w:line="243" w:lineRule="auto"/>
        <w:rPr>
          <w:sz w:val="20"/>
          <w:szCs w:val="20"/>
          <w:color w:val="auto"/>
        </w:rPr>
      </w:pPr>
      <w:r>
        <w:rPr>
          <w:rFonts w:ascii="Arial" w:cs="Arial" w:eastAsia="Arial" w:hAnsi="Arial"/>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jc w:val="both"/>
        <w:ind w:right="580"/>
        <w:spacing w:after="0" w:line="263" w:lineRule="auto"/>
        <w:rPr>
          <w:sz w:val="20"/>
          <w:szCs w:val="20"/>
          <w:color w:val="auto"/>
        </w:rPr>
      </w:pPr>
      <w:r>
        <w:rPr>
          <w:rFonts w:ascii="Arial" w:cs="Arial" w:eastAsia="Arial" w:hAnsi="Arial"/>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76" w:lineRule="exact"/>
        <w:rPr>
          <w:sz w:val="20"/>
          <w:szCs w:val="20"/>
          <w:color w:val="auto"/>
        </w:rPr>
      </w:pPr>
    </w:p>
    <w:p>
      <w:pPr>
        <w:ind w:right="380" w:firstLine="374"/>
        <w:spacing w:after="0" w:line="248" w:lineRule="auto"/>
        <w:rPr>
          <w:sz w:val="20"/>
          <w:szCs w:val="20"/>
          <w:color w:val="auto"/>
        </w:rPr>
      </w:pPr>
      <w:r>
        <w:rPr>
          <w:rFonts w:ascii="Arial" w:cs="Arial" w:eastAsia="Arial" w:hAnsi="Arial"/>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14" w:lineRule="exact"/>
        <w:rPr>
          <w:sz w:val="20"/>
          <w:szCs w:val="20"/>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44"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(“FCPA”) or comparable foreign regulations;</w:t>
      </w:r>
    </w:p>
    <w:p>
      <w:pPr>
        <w:spacing w:after="0" w:line="144"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44" w:lineRule="exact"/>
        <w:rPr>
          <w:sz w:val="20"/>
          <w:szCs w:val="20"/>
          <w:color w:val="auto"/>
        </w:rPr>
      </w:pPr>
    </w:p>
    <w:p>
      <w:pPr>
        <w:ind w:firstLine="374"/>
        <w:spacing w:after="0" w:line="291" w:lineRule="auto"/>
        <w:rPr>
          <w:sz w:val="20"/>
          <w:szCs w:val="20"/>
          <w:color w:val="auto"/>
        </w:rPr>
      </w:pPr>
      <w:r>
        <w:rPr>
          <w:rFonts w:ascii="Arial" w:cs="Arial" w:eastAsia="Arial" w:hAnsi="Arial"/>
          <w:sz w:val="17"/>
          <w:szCs w:val="17"/>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66"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117" w:lineRule="exact"/>
        <w:rPr>
          <w:sz w:val="20"/>
          <w:szCs w:val="20"/>
          <w:color w:val="auto"/>
        </w:rPr>
      </w:pPr>
    </w:p>
    <w:p>
      <w:pPr>
        <w:ind w:right="20" w:firstLine="374"/>
        <w:spacing w:after="0" w:line="253" w:lineRule="auto"/>
        <w:rPr>
          <w:sz w:val="20"/>
          <w:szCs w:val="20"/>
          <w:color w:val="auto"/>
        </w:rPr>
      </w:pPr>
      <w:r>
        <w:rPr>
          <w:rFonts w:ascii="Arial" w:cs="Arial" w:eastAsia="Arial" w:hAnsi="Arial"/>
          <w:sz w:val="17"/>
          <w:szCs w:val="17"/>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140"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public health insurance coverage and government reimbursement rates for our products could affect the adoption of our products and our future revenue.</w:t>
      </w:r>
    </w:p>
    <w:p>
      <w:pPr>
        <w:spacing w:after="0" w:line="62" w:lineRule="exact"/>
        <w:rPr>
          <w:sz w:val="20"/>
          <w:szCs w:val="20"/>
          <w:color w:val="auto"/>
        </w:rPr>
      </w:pPr>
    </w:p>
    <w:p>
      <w:pPr>
        <w:ind w:right="140" w:firstLine="374"/>
        <w:spacing w:after="0" w:line="254" w:lineRule="auto"/>
        <w:rPr>
          <w:sz w:val="20"/>
          <w:szCs w:val="20"/>
          <w:color w:val="auto"/>
        </w:rPr>
      </w:pPr>
      <w:r>
        <w:rPr>
          <w:rFonts w:ascii="Arial" w:cs="Arial" w:eastAsia="Arial" w:hAnsi="Arial"/>
          <w:sz w:val="17"/>
          <w:szCs w:val="17"/>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may fluctuate significantly and may not fully reflect the underlying performance of our business.</w:t>
      </w:r>
    </w:p>
    <w:p>
      <w:pPr>
        <w:spacing w:after="0" w:line="117" w:lineRule="exact"/>
        <w:rPr>
          <w:sz w:val="20"/>
          <w:szCs w:val="20"/>
          <w:color w:val="auto"/>
        </w:rPr>
      </w:pPr>
    </w:p>
    <w:p>
      <w:pPr>
        <w:ind w:right="140" w:firstLine="374"/>
        <w:spacing w:after="0" w:line="276" w:lineRule="auto"/>
        <w:rPr>
          <w:sz w:val="20"/>
          <w:szCs w:val="20"/>
          <w:color w:val="auto"/>
        </w:rPr>
      </w:pPr>
      <w:r>
        <w:rPr>
          <w:rFonts w:ascii="Arial" w:cs="Arial" w:eastAsia="Arial" w:hAnsi="Arial"/>
          <w:sz w:val="16"/>
          <w:szCs w:val="16"/>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ind w:right="180"/>
        <w:spacing w:after="0" w:line="263"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76" w:lineRule="exact"/>
        <w:rPr>
          <w:sz w:val="20"/>
          <w:szCs w:val="20"/>
          <w:color w:val="auto"/>
        </w:rPr>
      </w:pPr>
    </w:p>
    <w:p>
      <w:pPr>
        <w:ind w:right="100" w:firstLine="374"/>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operating results and financial metrics may be difficult to predict as a result of seasonality.</w:t>
      </w:r>
    </w:p>
    <w:p>
      <w:pPr>
        <w:spacing w:after="0" w:line="117"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62"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As of December 31, 2021, we had federal net operating loss carryforwards (“NOLs”) of approximately $270.4 million, which will begin to expire in various years ranging from 2022 to 2037. Our NOLs could expire unused and be unavailable to offset future income tax liabilities because of their limited duration or because of restrictions under U.S. tax law. Under the Tax Act, as modified by the Coronavirus Aid, Relief, and Economic Security Act, or the CARES Act, our federal NOLs generated in tax years ending after December 31, 2017 may be carried forward indefinitely, but the deductibility of such federal net NOLs in tax years beginning after December 31, 2020 is limited to 80% of taxable income. It is uncertain if and to what extent various states will conform to the Tax Act, as modified by the CARES Act. Additionally, California recently enacted legislation limiting our ability to use our state NOLs for taxable years 2021 and 2022.</w:t>
      </w:r>
    </w:p>
    <w:p>
      <w:pPr>
        <w:spacing w:after="0" w:line="127"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76"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04"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1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111"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104"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8" w:name="page59"/>
    <w:bookmarkEnd w:id="58"/>
    <w:p>
      <w:pPr>
        <w:ind w:right="60" w:firstLine="374"/>
        <w:spacing w:after="0" w:line="254" w:lineRule="auto"/>
        <w:rPr>
          <w:sz w:val="20"/>
          <w:szCs w:val="20"/>
          <w:color w:val="auto"/>
        </w:rPr>
      </w:pPr>
      <w:r>
        <w:rPr>
          <w:rFonts w:ascii="Arial" w:cs="Arial" w:eastAsia="Arial" w:hAnsi="Arial"/>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27"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9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19"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0" w:lineRule="exact"/>
        <w:rPr>
          <w:sz w:val="20"/>
          <w:szCs w:val="20"/>
          <w:color w:val="auto"/>
        </w:rPr>
      </w:pPr>
    </w:p>
    <w:p>
      <w:pPr>
        <w:ind w:right="160" w:firstLine="374"/>
        <w:spacing w:after="0" w:line="279" w:lineRule="auto"/>
        <w:rPr>
          <w:sz w:val="20"/>
          <w:szCs w:val="20"/>
          <w:color w:val="auto"/>
        </w:rPr>
      </w:pPr>
      <w:r>
        <w:rPr>
          <w:rFonts w:ascii="Arial" w:cs="Arial" w:eastAsia="Arial" w:hAnsi="Arial"/>
          <w:sz w:val="17"/>
          <w:szCs w:val="17"/>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90"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intellectual property, nor can we be certain that our agreements with such parties will be upheld in the face of a potential challenge, or that they will not be breached, for which we may not have an adequate remedy.</w:t>
      </w:r>
    </w:p>
    <w:p>
      <w:pPr>
        <w:spacing w:after="0" w:line="103"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83" w:lineRule="exact"/>
        <w:rPr>
          <w:sz w:val="20"/>
          <w:szCs w:val="20"/>
          <w:color w:val="auto"/>
        </w:rPr>
      </w:pPr>
    </w:p>
    <w:p>
      <w:pPr>
        <w:ind w:right="60" w:firstLine="374"/>
        <w:spacing w:after="0" w:line="288" w:lineRule="auto"/>
        <w:rPr>
          <w:sz w:val="20"/>
          <w:szCs w:val="20"/>
          <w:color w:val="auto"/>
        </w:rPr>
      </w:pPr>
      <w:r>
        <w:rPr>
          <w:rFonts w:ascii="Arial" w:cs="Arial" w:eastAsia="Arial" w:hAnsi="Arial"/>
          <w:sz w:val="16"/>
          <w:szCs w:val="16"/>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01" w:lineRule="exact"/>
        <w:rPr>
          <w:sz w:val="20"/>
          <w:szCs w:val="20"/>
          <w:color w:val="auto"/>
        </w:rPr>
      </w:pPr>
    </w:p>
    <w:p>
      <w:pPr>
        <w:jc w:val="both"/>
        <w:ind w:right="60" w:firstLine="374"/>
        <w:spacing w:after="0" w:line="301" w:lineRule="auto"/>
        <w:rPr>
          <w:sz w:val="20"/>
          <w:szCs w:val="20"/>
          <w:color w:val="auto"/>
        </w:rPr>
      </w:pPr>
      <w:r>
        <w:rPr>
          <w:rFonts w:ascii="Arial" w:cs="Arial" w:eastAsia="Arial" w:hAnsi="Arial"/>
          <w:sz w:val="16"/>
          <w:szCs w:val="16"/>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technology for an adequate amount of time.</w:t>
      </w:r>
    </w:p>
    <w:p>
      <w:pPr>
        <w:spacing w:after="0" w:line="11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9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0" w:name="page61"/>
    <w:bookmarkEnd w:id="60"/>
    <w:p>
      <w:pPr>
        <w:ind w:right="140"/>
        <w:spacing w:after="0" w:line="270" w:lineRule="auto"/>
        <w:rPr>
          <w:sz w:val="20"/>
          <w:szCs w:val="20"/>
          <w:color w:val="auto"/>
        </w:rPr>
      </w:pPr>
      <w:r>
        <w:rPr>
          <w:rFonts w:ascii="Arial" w:cs="Arial" w:eastAsia="Arial" w:hAnsi="Arial"/>
          <w:sz w:val="17"/>
          <w:szCs w:val="17"/>
          <w:color w:val="auto"/>
        </w:rPr>
        <w:t>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100" w:firstLine="374"/>
        <w:spacing w:after="0" w:line="311"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68"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1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0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1" w:name="page62"/>
    <w:bookmarkEnd w:id="61"/>
    <w:p>
      <w:pPr>
        <w:ind w:right="1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18"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83"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98"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62"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medical device industry has been characterized by extensive litigation regarding patents, trademarks, trade secrets and other intellectual property rights, and companies in the industry have used intellectual property litigation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2" w:name="page63"/>
    <w:bookmarkEnd w:id="62"/>
    <w:p>
      <w:pPr>
        <w:ind w:right="20"/>
        <w:spacing w:after="0" w:line="285" w:lineRule="auto"/>
        <w:rPr>
          <w:sz w:val="20"/>
          <w:szCs w:val="20"/>
          <w:color w:val="auto"/>
        </w:rPr>
      </w:pPr>
      <w:r>
        <w:rPr>
          <w:rFonts w:ascii="Arial" w:cs="Arial" w:eastAsia="Arial" w:hAnsi="Arial"/>
          <w:sz w:val="16"/>
          <w:szCs w:val="16"/>
          <w:color w:val="auto"/>
        </w:rPr>
        <w:t>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317"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84"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19"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3" w:name="page64"/>
    <w:bookmarkEnd w:id="63"/>
    <w:p>
      <w:pPr>
        <w:ind w:right="80" w:firstLine="374"/>
        <w:spacing w:after="0" w:line="255" w:lineRule="auto"/>
        <w:rPr>
          <w:sz w:val="20"/>
          <w:szCs w:val="20"/>
          <w:color w:val="auto"/>
        </w:rPr>
      </w:pPr>
      <w:r>
        <w:rPr>
          <w:rFonts w:ascii="Arial" w:cs="Arial" w:eastAsia="Arial" w:hAnsi="Arial"/>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25"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87"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97"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rights to develop and commercialize our products are subject, in part, to the terms and conditions of licenses granted to us by others.</w:t>
      </w:r>
    </w:p>
    <w:p>
      <w:pPr>
        <w:spacing w:after="0" w:line="129"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11"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99" w:lineRule="exact"/>
        <w:rPr>
          <w:sz w:val="20"/>
          <w:szCs w:val="20"/>
          <w:color w:val="auto"/>
        </w:rPr>
      </w:pPr>
    </w:p>
    <w:p>
      <w:pPr>
        <w:ind w:right="360" w:firstLine="374"/>
        <w:spacing w:after="0" w:line="342"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56"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p>
      <w:pPr>
        <w:jc w:val="both"/>
        <w:ind w:right="440"/>
        <w:spacing w:after="0" w:line="311" w:lineRule="auto"/>
        <w:rPr>
          <w:sz w:val="20"/>
          <w:szCs w:val="20"/>
          <w:color w:val="auto"/>
        </w:rPr>
      </w:pPr>
      <w:r>
        <w:rPr>
          <w:rFonts w:ascii="Arial" w:cs="Arial" w:eastAsia="Arial" w:hAnsi="Arial"/>
          <w:sz w:val="16"/>
          <w:szCs w:val="16"/>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41"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Disputes may arise between us and our future licensors regarding intellectual property subject to a license agreement, including:</w:t>
      </w:r>
    </w:p>
    <w:p>
      <w:pPr>
        <w:spacing w:after="0" w:line="144" w:lineRule="exact"/>
        <w:rPr>
          <w:sz w:val="20"/>
          <w:szCs w:val="20"/>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1140" w:right="460" w:hanging="383"/>
        <w:spacing w:after="0" w:line="26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30"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44"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any of our future licensors and us and our partners.</w:t>
      </w:r>
    </w:p>
    <w:p>
      <w:pPr>
        <w:spacing w:after="0" w:line="90" w:lineRule="exact"/>
        <w:rPr>
          <w:sz w:val="20"/>
          <w:szCs w:val="20"/>
          <w:color w:val="auto"/>
        </w:rPr>
      </w:pPr>
    </w:p>
    <w:p>
      <w:pPr>
        <w:jc w:val="both"/>
        <w:ind w:right="240" w:firstLine="374"/>
        <w:spacing w:after="0" w:line="342" w:lineRule="auto"/>
        <w:rPr>
          <w:sz w:val="20"/>
          <w:szCs w:val="20"/>
          <w:color w:val="auto"/>
        </w:rPr>
      </w:pPr>
      <w:r>
        <w:rPr>
          <w:rFonts w:ascii="Arial" w:cs="Arial" w:eastAsia="Arial" w:hAnsi="Arial"/>
          <w:sz w:val="16"/>
          <w:szCs w:val="16"/>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6"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98"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00" w:lineRule="exact"/>
        <w:rPr>
          <w:sz w:val="20"/>
          <w:szCs w:val="20"/>
          <w:color w:val="auto"/>
        </w:rPr>
      </w:pPr>
    </w:p>
    <w:p>
      <w:pPr>
        <w:jc w:val="both"/>
        <w:ind w:right="160" w:firstLine="374"/>
        <w:spacing w:after="0" w:line="263"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firstLine="374"/>
        <w:spacing w:after="0" w:line="275" w:lineRule="auto"/>
        <w:rPr>
          <w:sz w:val="20"/>
          <w:szCs w:val="20"/>
          <w:color w:val="auto"/>
        </w:rPr>
      </w:pPr>
      <w:r>
        <w:rPr>
          <w:rFonts w:ascii="Arial" w:cs="Arial" w:eastAsia="Arial" w:hAnsi="Arial"/>
          <w:sz w:val="17"/>
          <w:szCs w:val="17"/>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09"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any products we may develop through acquisitions and in-licenses.</w:t>
      </w:r>
    </w:p>
    <w:p>
      <w:pPr>
        <w:spacing w:after="0" w:line="117"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1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03" w:lineRule="exact"/>
        <w:rPr>
          <w:sz w:val="20"/>
          <w:szCs w:val="20"/>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30" w:lineRule="exact"/>
        <w:rPr>
          <w:rFonts w:ascii="Arial" w:cs="Arial" w:eastAsia="Arial" w:hAnsi="Arial"/>
          <w:sz w:val="18"/>
          <w:szCs w:val="18"/>
          <w:color w:val="auto"/>
        </w:rPr>
      </w:pPr>
    </w:p>
    <w:p>
      <w:pPr>
        <w:jc w:val="both"/>
        <w:ind w:left="1140" w:right="280" w:hanging="383"/>
        <w:spacing w:after="0" w:line="294"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79" w:lineRule="exact"/>
        <w:rPr>
          <w:rFonts w:ascii="Arial" w:cs="Arial" w:eastAsia="Arial" w:hAnsi="Arial"/>
          <w:sz w:val="16"/>
          <w:szCs w:val="16"/>
          <w:color w:val="auto"/>
        </w:rPr>
      </w:pPr>
    </w:p>
    <w:p>
      <w:pPr>
        <w:ind w:left="1140" w:right="180" w:hanging="383"/>
        <w:spacing w:after="0" w:line="261"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current and future products;</w:t>
      </w:r>
    </w:p>
    <w:p>
      <w:pPr>
        <w:spacing w:after="0" w:line="103" w:lineRule="exact"/>
        <w:rPr>
          <w:rFonts w:ascii="Arial" w:cs="Arial" w:eastAsia="Arial" w:hAnsi="Arial"/>
          <w:sz w:val="18"/>
          <w:szCs w:val="18"/>
          <w:color w:val="auto"/>
        </w:rPr>
      </w:pPr>
    </w:p>
    <w:p>
      <w:pPr>
        <w:ind w:left="1140" w:right="360" w:hanging="383"/>
        <w:spacing w:after="0" w:line="261"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7" w:name="page68"/>
    <w:bookmarkEnd w:id="67"/>
    <w:p>
      <w:pPr>
        <w:ind w:left="1140" w:right="580" w:hanging="383"/>
        <w:spacing w:after="0" w:line="248"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14" w:lineRule="exact"/>
        <w:rPr>
          <w:rFonts w:ascii="Arial" w:cs="Arial" w:eastAsia="Arial" w:hAnsi="Arial"/>
          <w:sz w:val="18"/>
          <w:szCs w:val="18"/>
          <w:color w:val="auto"/>
        </w:rPr>
      </w:pPr>
    </w:p>
    <w:p>
      <w:pPr>
        <w:ind w:left="1140" w:right="100" w:hanging="383"/>
        <w:spacing w:after="0" w:line="324" w:lineRule="auto"/>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43" w:lineRule="exact"/>
        <w:rPr>
          <w:rFonts w:ascii="Arial" w:cs="Arial" w:eastAsia="Arial" w:hAnsi="Arial"/>
          <w:sz w:val="16"/>
          <w:szCs w:val="16"/>
          <w:color w:val="auto"/>
        </w:rPr>
      </w:pPr>
    </w:p>
    <w:p>
      <w:pPr>
        <w:ind w:left="1140" w:right="840" w:hanging="383"/>
        <w:spacing w:after="0" w:line="261"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03" w:lineRule="exact"/>
        <w:rPr>
          <w:rFonts w:ascii="Arial" w:cs="Arial" w:eastAsia="Arial" w:hAnsi="Arial"/>
          <w:sz w:val="18"/>
          <w:szCs w:val="18"/>
          <w:color w:val="auto"/>
        </w:rPr>
      </w:pPr>
    </w:p>
    <w:p>
      <w:pPr>
        <w:ind w:left="1140" w:right="380" w:hanging="383"/>
        <w:spacing w:after="0" w:line="261"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03" w:lineRule="exact"/>
        <w:rPr>
          <w:rFonts w:ascii="Arial" w:cs="Arial" w:eastAsia="Arial" w:hAnsi="Arial"/>
          <w:sz w:val="18"/>
          <w:szCs w:val="18"/>
          <w:color w:val="auto"/>
        </w:rPr>
      </w:pPr>
    </w:p>
    <w:p>
      <w:pPr>
        <w:ind w:left="1140" w:right="560" w:hanging="383"/>
        <w:spacing w:after="0" w:line="261"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1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62" w:lineRule="exact"/>
        <w:rPr>
          <w:sz w:val="20"/>
          <w:szCs w:val="20"/>
          <w:color w:val="auto"/>
        </w:rPr>
      </w:pPr>
    </w:p>
    <w:p>
      <w:pPr>
        <w:ind w:right="20" w:firstLine="374"/>
        <w:spacing w:after="0" w:line="268"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ind w:right="440"/>
        <w:spacing w:after="0" w:line="277" w:lineRule="auto"/>
        <w:rPr>
          <w:sz w:val="20"/>
          <w:szCs w:val="20"/>
          <w:color w:val="auto"/>
        </w:rPr>
      </w:pPr>
      <w:r>
        <w:rPr>
          <w:rFonts w:ascii="Arial" w:cs="Arial" w:eastAsia="Arial" w:hAnsi="Arial"/>
          <w:sz w:val="18"/>
          <w:szCs w:val="18"/>
          <w:color w:val="auto"/>
        </w:rPr>
        <w:t>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03"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97"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27" w:lineRule="exact"/>
        <w:rPr>
          <w:sz w:val="20"/>
          <w:szCs w:val="20"/>
          <w:color w:val="auto"/>
        </w:rPr>
      </w:pPr>
    </w:p>
    <w:p>
      <w:pPr>
        <w:ind w:right="240" w:firstLine="374"/>
        <w:spacing w:after="0" w:line="275" w:lineRule="auto"/>
        <w:rPr>
          <w:sz w:val="20"/>
          <w:szCs w:val="20"/>
          <w:color w:val="auto"/>
        </w:rPr>
      </w:pPr>
      <w:r>
        <w:rPr>
          <w:rFonts w:ascii="Arial" w:cs="Arial" w:eastAsia="Arial" w:hAnsi="Arial"/>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0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9" w:name="page70"/>
    <w:bookmarkEnd w:id="69"/>
    <w:p>
      <w:pPr>
        <w:ind w:firstLine="374"/>
        <w:spacing w:after="0" w:line="289"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117" w:lineRule="exact"/>
        <w:rPr>
          <w:sz w:val="20"/>
          <w:szCs w:val="20"/>
          <w:color w:val="auto"/>
        </w:rPr>
      </w:pPr>
    </w:p>
    <w:p>
      <w:pPr>
        <w:ind w:right="100" w:firstLine="374"/>
        <w:spacing w:after="0" w:line="269" w:lineRule="auto"/>
        <w:rPr>
          <w:sz w:val="20"/>
          <w:szCs w:val="20"/>
          <w:color w:val="auto"/>
        </w:rPr>
      </w:pPr>
      <w:r>
        <w:rPr>
          <w:rFonts w:ascii="Arial" w:cs="Arial" w:eastAsia="Arial" w:hAnsi="Arial"/>
          <w:sz w:val="17"/>
          <w:szCs w:val="17"/>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101"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9"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00" w:firstLine="374"/>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9" w:lineRule="exact"/>
        <w:rPr>
          <w:sz w:val="20"/>
          <w:szCs w:val="20"/>
          <w:color w:val="auto"/>
        </w:rPr>
      </w:pPr>
    </w:p>
    <w:p>
      <w:pPr>
        <w:ind w:left="1140" w:right="120" w:hanging="383"/>
        <w:spacing w:after="0" w:line="261"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9"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103"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any of our current or future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1140" w:right="1060" w:hanging="383"/>
        <w:spacing w:after="0" w:line="261"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possible that our current or future owned or in-licensed patent applications will not lead to issued patents;</w:t>
      </w:r>
    </w:p>
    <w:p>
      <w:pPr>
        <w:spacing w:after="0" w:line="144"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103" w:lineRule="exact"/>
        <w:rPr>
          <w:rFonts w:ascii="Arial" w:cs="Arial" w:eastAsia="Arial" w:hAnsi="Arial"/>
          <w:sz w:val="18"/>
          <w:szCs w:val="18"/>
          <w:color w:val="auto"/>
        </w:rPr>
      </w:pPr>
    </w:p>
    <w:p>
      <w:pPr>
        <w:ind w:left="1140" w:right="80" w:hanging="383"/>
        <w:spacing w:after="0" w:line="294" w:lineRule="auto"/>
        <w:tabs>
          <w:tab w:leader="none" w:pos="1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6" w:lineRule="exact"/>
        <w:rPr>
          <w:rFonts w:ascii="Arial" w:cs="Arial" w:eastAsia="Arial" w:hAnsi="Arial"/>
          <w:sz w:val="16"/>
          <w:szCs w:val="16"/>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44"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63"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1" w:name="page72"/>
    <w:bookmarkEnd w:id="71"/>
    <w:p>
      <w:pPr>
        <w:ind w:right="80"/>
        <w:spacing w:after="0" w:line="243" w:lineRule="auto"/>
        <w:rPr>
          <w:sz w:val="20"/>
          <w:szCs w:val="20"/>
          <w:color w:val="auto"/>
        </w:rPr>
      </w:pPr>
      <w:r>
        <w:rPr>
          <w:rFonts w:ascii="Arial" w:cs="Arial" w:eastAsia="Arial" w:hAnsi="Arial"/>
          <w:sz w:val="18"/>
          <w:szCs w:val="18"/>
          <w:color w:val="auto"/>
        </w:rPr>
        <w:t>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63" w:lineRule="exact"/>
        <w:rPr>
          <w:sz w:val="20"/>
          <w:szCs w:val="20"/>
          <w:color w:val="auto"/>
        </w:rPr>
      </w:pPr>
    </w:p>
    <w:p>
      <w:pPr>
        <w:ind w:firstLine="374"/>
        <w:spacing w:after="0" w:line="251" w:lineRule="auto"/>
        <w:rPr>
          <w:sz w:val="20"/>
          <w:szCs w:val="20"/>
          <w:color w:val="auto"/>
        </w:rPr>
      </w:pPr>
      <w:r>
        <w:rPr>
          <w:rFonts w:ascii="Arial" w:cs="Arial" w:eastAsia="Arial" w:hAnsi="Arial"/>
          <w:sz w:val="17"/>
          <w:szCs w:val="17"/>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63"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63" w:lineRule="exact"/>
        <w:rPr>
          <w:sz w:val="20"/>
          <w:szCs w:val="20"/>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safety and effective;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changes;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post marketing surveillance, including reporting of deaths or serious injuries and recalls and correction and removals.</w:t>
      </w:r>
    </w:p>
    <w:p>
      <w:pPr>
        <w:spacing w:after="0" w:line="144"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Before a new medical device, or a new intended use for an existing product, can be marketed in the United States, a company must first submit and receive either 510(k) clearance pursuant to Section 510(k) of the Food,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Drug and Cosmetic Act, or the (“FDCA”), or approval of a premarket approval, or PMA, application from the FDA, unless an exemption applies.</w:t>
      </w:r>
    </w:p>
    <w:p>
      <w:pPr>
        <w:spacing w:after="0" w:line="156" w:lineRule="exact"/>
        <w:rPr>
          <w:sz w:val="20"/>
          <w:szCs w:val="20"/>
          <w:color w:val="auto"/>
        </w:rPr>
      </w:pPr>
    </w:p>
    <w:p>
      <w:pPr>
        <w:ind w:firstLine="374"/>
        <w:spacing w:after="0" w:line="252" w:lineRule="auto"/>
        <w:rPr>
          <w:sz w:val="20"/>
          <w:szCs w:val="20"/>
          <w:color w:val="auto"/>
        </w:rPr>
      </w:pPr>
      <w:r>
        <w:rPr>
          <w:rFonts w:ascii="Arial" w:cs="Arial" w:eastAsia="Arial" w:hAnsi="Arial"/>
          <w:sz w:val="17"/>
          <w:szCs w:val="17"/>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44" w:lineRule="exact"/>
        <w:rPr>
          <w:sz w:val="20"/>
          <w:szCs w:val="20"/>
          <w:color w:val="auto"/>
        </w:rPr>
      </w:pPr>
    </w:p>
    <w:p>
      <w:pPr>
        <w:ind w:left="1140" w:right="160" w:hanging="383"/>
        <w:spacing w:after="0" w:line="26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our products are safe or effective for their intended uses;</w:t>
      </w:r>
    </w:p>
    <w:p>
      <w:pPr>
        <w:spacing w:after="0" w:line="103"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30" w:lineRule="exact"/>
        <w:rPr>
          <w:rFonts w:ascii="Arial" w:cs="Arial" w:eastAsia="Arial" w:hAnsi="Arial"/>
          <w:sz w:val="18"/>
          <w:szCs w:val="18"/>
          <w:color w:val="auto"/>
        </w:rPr>
      </w:pPr>
    </w:p>
    <w:p>
      <w:pPr>
        <w:ind w:left="1140" w:right="360" w:hanging="383"/>
        <w:spacing w:after="0" w:line="262" w:lineRule="auto"/>
        <w:tabs>
          <w:tab w:leader="none" w:pos="11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104" w:lineRule="exact"/>
        <w:rPr>
          <w:rFonts w:ascii="Arial" w:cs="Arial" w:eastAsia="Arial" w:hAnsi="Arial"/>
          <w:sz w:val="17"/>
          <w:szCs w:val="17"/>
          <w:color w:val="auto"/>
        </w:rPr>
      </w:pPr>
    </w:p>
    <w:p>
      <w:pPr>
        <w:ind w:left="1140" w:right="120" w:hanging="383"/>
        <w:spacing w:after="0" w:line="26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applicable regulatory authority may identify significant deficiencies in our manufacturing processes, facilities or analytical methods or those of our third-party contract manufacturers;</w:t>
      </w:r>
    </w:p>
    <w:p>
      <w:pPr>
        <w:spacing w:after="0" w:line="103"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89"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FDA or foreign regulatory authorities may audit our clinical trial data and conclude that the data is not sufficiently reliable to support approval or clearance.</w:t>
      </w:r>
    </w:p>
    <w:p>
      <w:pPr>
        <w:spacing w:after="0" w:line="103" w:lineRule="exact"/>
        <w:rPr>
          <w:sz w:val="20"/>
          <w:szCs w:val="20"/>
          <w:color w:val="auto"/>
        </w:rPr>
      </w:pPr>
    </w:p>
    <w:p>
      <w:pPr>
        <w:ind w:firstLine="374"/>
        <w:spacing w:after="0" w:line="262" w:lineRule="auto"/>
        <w:rPr>
          <w:sz w:val="20"/>
          <w:szCs w:val="20"/>
          <w:color w:val="auto"/>
        </w:rPr>
      </w:pPr>
      <w:r>
        <w:rPr>
          <w:rFonts w:ascii="Arial" w:cs="Arial" w:eastAsia="Arial" w:hAnsi="Arial"/>
          <w:sz w:val="17"/>
          <w:szCs w:val="17"/>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3" w:name="page74"/>
    <w:bookmarkEnd w:id="73"/>
    <w:p>
      <w:pPr>
        <w:ind w:right="300"/>
        <w:spacing w:after="0" w:line="261" w:lineRule="auto"/>
        <w:rPr>
          <w:sz w:val="20"/>
          <w:szCs w:val="20"/>
          <w:color w:val="auto"/>
        </w:rPr>
      </w:pPr>
      <w:r>
        <w:rPr>
          <w:rFonts w:ascii="Arial" w:cs="Arial" w:eastAsia="Arial" w:hAnsi="Arial"/>
          <w:sz w:val="18"/>
          <w:szCs w:val="18"/>
          <w:color w:val="auto"/>
        </w:rPr>
        <w:t>labeling, promotion and advertising of medical devices, including comparative and superiority claims vis a vis competitors’ products, that may be made about products.</w:t>
      </w:r>
    </w:p>
    <w:p>
      <w:pPr>
        <w:spacing w:after="0" w:line="103"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93"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20"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22"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93" w:lineRule="exact"/>
        <w:rPr>
          <w:sz w:val="20"/>
          <w:szCs w:val="20"/>
          <w:color w:val="auto"/>
        </w:rPr>
      </w:pPr>
    </w:p>
    <w:p>
      <w:pPr>
        <w:ind w:right="700" w:firstLine="374"/>
        <w:spacing w:after="0" w:line="261"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103" w:lineRule="exact"/>
        <w:rPr>
          <w:sz w:val="20"/>
          <w:szCs w:val="20"/>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 of our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denial of our requests for 510(k) clearance or PMA of new products, new intended uses or modifications to existing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withdrawal of 510(k) clearance or PMAs that have already been granted;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in the United States.</w:t>
      </w:r>
    </w:p>
    <w:p>
      <w:pPr>
        <w:spacing w:after="0" w:line="117"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99"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76"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110"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01"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5" w:name="page76"/>
    <w:bookmarkEnd w:id="75"/>
    <w:p>
      <w:pPr>
        <w:spacing w:after="0" w:line="275" w:lineRule="auto"/>
        <w:rPr>
          <w:sz w:val="20"/>
          <w:szCs w:val="20"/>
          <w:color w:val="auto"/>
        </w:rPr>
      </w:pPr>
      <w:r>
        <w:rPr>
          <w:rFonts w:ascii="Arial" w:cs="Arial" w:eastAsia="Arial" w:hAnsi="Arial"/>
          <w:sz w:val="17"/>
          <w:szCs w:val="17"/>
          <w:color w:val="auto"/>
        </w:rPr>
        <w:t>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109"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fail to comply with applicable regulatory requirements, a regulatory agency or enforcement authority may, among other things:</w:t>
      </w:r>
    </w:p>
    <w:p>
      <w:pPr>
        <w:spacing w:after="0" w:line="158" w:lineRule="exact"/>
        <w:rPr>
          <w:sz w:val="20"/>
          <w:szCs w:val="20"/>
          <w:color w:val="auto"/>
        </w:rPr>
      </w:pPr>
    </w:p>
    <w:p>
      <w:pPr>
        <w:ind w:left="1140" w:right="740" w:hanging="383"/>
        <w:spacing w:after="0" w:line="261"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our facility to an adverse inspectional finding or Form 483, or other compliance or enforcement notice, communication or correspondence;</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issue warning or untitled letters that would result in adverse publicity or may require corrective advertising;</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suspend or withdraw regulatory clearances or approvals;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refuse to clear or approve pending applications or supplements to approved applications submitted by us;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sub-assembly suppliers’ facilities;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31"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103"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6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6" w:name="page77"/>
    <w:bookmarkEnd w:id="76"/>
    <w:p>
      <w:pPr>
        <w:ind w:right="20"/>
        <w:spacing w:after="0" w:line="293" w:lineRule="auto"/>
        <w:rPr>
          <w:sz w:val="20"/>
          <w:szCs w:val="20"/>
          <w:color w:val="auto"/>
        </w:rPr>
      </w:pPr>
      <w:r>
        <w:rPr>
          <w:rFonts w:ascii="Arial" w:cs="Arial" w:eastAsia="Arial" w:hAnsi="Arial"/>
          <w:sz w:val="16"/>
          <w:szCs w:val="16"/>
          <w:color w:val="auto"/>
        </w:rPr>
        <w:t>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76"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00"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Obtaining additional foreign regulatory approvals and establishing and maintaining compliance with foreign regulatory requirements in jurisdictions where we conduct business currently or in the future, such as 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11"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1" w:lineRule="exact"/>
        <w:rPr>
          <w:sz w:val="20"/>
          <w:szCs w:val="20"/>
          <w:color w:val="auto"/>
        </w:rPr>
      </w:pPr>
    </w:p>
    <w:p>
      <w:pPr>
        <w:ind w:right="80" w:firstLine="8"/>
        <w:spacing w:after="0" w:line="269" w:lineRule="auto"/>
        <w:tabs>
          <w:tab w:leader="none" w:pos="2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62"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20" w:lineRule="exact"/>
        <w:rPr>
          <w:sz w:val="20"/>
          <w:szCs w:val="20"/>
          <w:color w:val="auto"/>
        </w:rPr>
      </w:pPr>
    </w:p>
    <w:p>
      <w:pPr>
        <w:jc w:val="both"/>
        <w:ind w:right="80" w:firstLine="374"/>
        <w:spacing w:after="0" w:line="275" w:lineRule="auto"/>
        <w:rPr>
          <w:sz w:val="20"/>
          <w:szCs w:val="20"/>
          <w:color w:val="auto"/>
        </w:rPr>
      </w:pPr>
      <w:r>
        <w:rPr>
          <w:rFonts w:ascii="Arial" w:cs="Arial" w:eastAsia="Arial" w:hAnsi="Arial"/>
          <w:sz w:val="17"/>
          <w:szCs w:val="17"/>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95"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90"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62"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Our manufacturing and design processes and those of our third-party component suppliers are required to comply with the FDA’s Quality System Regulation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01" w:lineRule="exact"/>
        <w:rPr>
          <w:sz w:val="20"/>
          <w:szCs w:val="20"/>
          <w:color w:val="auto"/>
        </w:rPr>
      </w:pPr>
    </w:p>
    <w:p>
      <w:pPr>
        <w:jc w:val="both"/>
        <w:ind w:right="120" w:firstLine="374"/>
        <w:spacing w:after="0" w:line="286" w:lineRule="auto"/>
        <w:rPr>
          <w:sz w:val="20"/>
          <w:szCs w:val="20"/>
          <w:color w:val="auto"/>
        </w:rPr>
      </w:pPr>
      <w:r>
        <w:rPr>
          <w:rFonts w:ascii="Arial" w:cs="Arial" w:eastAsia="Arial" w:hAnsi="Arial"/>
          <w:sz w:val="17"/>
          <w:szCs w:val="17"/>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98"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We can provide no assurance that we will continue to remain in material compliance with the QSR. If the FDA, CDPH, or any applicable notified body in the European Union or United Kingdom inspects any of our facilities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8" w:name="page79"/>
    <w:bookmarkEnd w:id="78"/>
    <w:p>
      <w:pPr>
        <w:spacing w:after="0" w:line="263" w:lineRule="auto"/>
        <w:rPr>
          <w:sz w:val="20"/>
          <w:szCs w:val="20"/>
          <w:color w:val="auto"/>
        </w:rPr>
      </w:pPr>
      <w:r>
        <w:rPr>
          <w:rFonts w:ascii="Arial" w:cs="Arial" w:eastAsia="Arial" w:hAnsi="Arial"/>
          <w:sz w:val="18"/>
          <w:szCs w:val="18"/>
          <w:color w:val="auto"/>
        </w:rPr>
        <w:t>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62"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76"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109" w:lineRule="exact"/>
        <w:rPr>
          <w:sz w:val="20"/>
          <w:szCs w:val="20"/>
          <w:color w:val="auto"/>
        </w:rPr>
      </w:pPr>
    </w:p>
    <w:p>
      <w:pPr>
        <w:ind w:right="160" w:firstLine="374"/>
        <w:spacing w:after="0" w:line="254" w:lineRule="auto"/>
        <w:rPr>
          <w:sz w:val="20"/>
          <w:szCs w:val="20"/>
          <w:color w:val="auto"/>
        </w:rPr>
      </w:pPr>
      <w:r>
        <w:rPr>
          <w:rFonts w:ascii="Arial" w:cs="Arial" w:eastAsia="Arial" w:hAnsi="Arial"/>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27" w:lineRule="exact"/>
        <w:rPr>
          <w:sz w:val="20"/>
          <w:szCs w:val="20"/>
          <w:color w:val="auto"/>
        </w:rPr>
      </w:pPr>
    </w:p>
    <w:p>
      <w:pPr>
        <w:ind w:right="60" w:firstLine="374"/>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101" w:lineRule="exact"/>
        <w:rPr>
          <w:sz w:val="20"/>
          <w:szCs w:val="20"/>
          <w:color w:val="auto"/>
        </w:rPr>
      </w:pPr>
    </w:p>
    <w:p>
      <w:pPr>
        <w:ind w:right="380" w:firstLine="374"/>
        <w:spacing w:after="0" w:line="286" w:lineRule="auto"/>
        <w:rPr>
          <w:sz w:val="20"/>
          <w:szCs w:val="20"/>
          <w:color w:val="auto"/>
        </w:rPr>
      </w:pPr>
      <w:r>
        <w:rPr>
          <w:rFonts w:ascii="Arial" w:cs="Arial" w:eastAsia="Arial" w:hAnsi="Arial"/>
          <w:sz w:val="17"/>
          <w:szCs w:val="17"/>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98" w:lineRule="exact"/>
        <w:rPr>
          <w:sz w:val="20"/>
          <w:szCs w:val="20"/>
          <w:color w:val="auto"/>
        </w:rPr>
      </w:pPr>
    </w:p>
    <w:p>
      <w:pPr>
        <w:jc w:val="right"/>
        <w:ind w:left="5540" w:right="5480" w:hanging="4783"/>
        <w:spacing w:after="0" w:line="518" w:lineRule="auto"/>
        <w:tabs>
          <w:tab w:leader="none" w:pos="1137"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products;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9" w:name="page80"/>
    <w:bookmarkEnd w:id="79"/>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31"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63" w:lineRule="exact"/>
        <w:rPr>
          <w:sz w:val="20"/>
          <w:szCs w:val="20"/>
          <w:color w:val="auto"/>
        </w:rPr>
      </w:pPr>
    </w:p>
    <w:p>
      <w:pPr>
        <w:ind w:right="40" w:firstLine="374"/>
        <w:spacing w:after="0" w:line="274" w:lineRule="auto"/>
        <w:rPr>
          <w:sz w:val="20"/>
          <w:szCs w:val="20"/>
          <w:color w:val="auto"/>
        </w:rPr>
      </w:pPr>
      <w:r>
        <w:rPr>
          <w:rFonts w:ascii="Arial" w:cs="Arial" w:eastAsia="Arial" w:hAnsi="Arial"/>
          <w:sz w:val="16"/>
          <w:szCs w:val="16"/>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96" w:lineRule="exact"/>
        <w:rPr>
          <w:sz w:val="20"/>
          <w:szCs w:val="20"/>
          <w:color w:val="auto"/>
        </w:rPr>
      </w:pPr>
    </w:p>
    <w:p>
      <w:pPr>
        <w:ind w:right="100" w:firstLine="374"/>
        <w:spacing w:after="0" w:line="276" w:lineRule="auto"/>
        <w:rPr>
          <w:sz w:val="20"/>
          <w:szCs w:val="20"/>
          <w:color w:val="auto"/>
        </w:rPr>
      </w:pPr>
      <w:r>
        <w:rPr>
          <w:rFonts w:ascii="Arial" w:cs="Arial" w:eastAsia="Arial" w:hAnsi="Arial"/>
          <w:sz w:val="16"/>
          <w:szCs w:val="16"/>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94" w:lineRule="exact"/>
        <w:rPr>
          <w:sz w:val="20"/>
          <w:szCs w:val="20"/>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108" w:lineRule="exact"/>
        <w:rPr>
          <w:rFonts w:ascii="Arial" w:cs="Arial" w:eastAsia="Arial" w:hAnsi="Arial"/>
          <w:sz w:val="18"/>
          <w:szCs w:val="18"/>
          <w:color w:val="auto"/>
        </w:rPr>
      </w:pPr>
    </w:p>
    <w:p>
      <w:pPr>
        <w:ind w:left="1140" w:right="200" w:hanging="383"/>
        <w:spacing w:after="0" w:line="294" w:lineRule="auto"/>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ind w:left="1140" w:right="360"/>
        <w:spacing w:after="0" w:line="261" w:lineRule="auto"/>
        <w:rPr>
          <w:sz w:val="20"/>
          <w:szCs w:val="20"/>
          <w:color w:val="auto"/>
        </w:rPr>
      </w:pPr>
      <w:r>
        <w:rPr>
          <w:rFonts w:ascii="Arial" w:cs="Arial" w:eastAsia="Arial" w:hAnsi="Arial"/>
          <w:sz w:val="18"/>
          <w:szCs w:val="18"/>
          <w:color w:val="auto"/>
        </w:rPr>
        <w:t>decrease or conceal an obligation to pay money to the federal government, and/or impose exclusions from federal health care programs and/or penalties for parties who engage in such prohibited conduct;</w:t>
      </w:r>
    </w:p>
    <w:p>
      <w:pPr>
        <w:spacing w:after="0" w:line="103" w:lineRule="exact"/>
        <w:rPr>
          <w:sz w:val="20"/>
          <w:szCs w:val="20"/>
          <w:color w:val="auto"/>
        </w:rPr>
      </w:pPr>
    </w:p>
    <w:p>
      <w:pPr>
        <w:ind w:left="1140" w:right="360" w:hanging="383"/>
        <w:spacing w:after="0" w:line="324" w:lineRule="auto"/>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43" w:lineRule="exact"/>
        <w:rPr>
          <w:rFonts w:ascii="Arial" w:cs="Arial" w:eastAsia="Arial" w:hAnsi="Arial"/>
          <w:sz w:val="16"/>
          <w:szCs w:val="16"/>
          <w:color w:val="auto"/>
        </w:rPr>
      </w:pPr>
    </w:p>
    <w:p>
      <w:pPr>
        <w:ind w:left="1140" w:right="40" w:hanging="383"/>
        <w:spacing w:after="0" w:line="262" w:lineRule="auto"/>
        <w:tabs>
          <w:tab w:leader="none" w:pos="11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04" w:lineRule="exact"/>
        <w:rPr>
          <w:rFonts w:ascii="Arial" w:cs="Arial" w:eastAsia="Arial" w:hAnsi="Arial"/>
          <w:sz w:val="17"/>
          <w:szCs w:val="17"/>
          <w:color w:val="auto"/>
        </w:rPr>
      </w:pPr>
    </w:p>
    <w:p>
      <w:pPr>
        <w:ind w:left="1140" w:hanging="383"/>
        <w:spacing w:after="0" w:line="276" w:lineRule="auto"/>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94" w:lineRule="exact"/>
        <w:rPr>
          <w:rFonts w:ascii="Arial" w:cs="Arial" w:eastAsia="Arial" w:hAnsi="Arial"/>
          <w:sz w:val="16"/>
          <w:szCs w:val="16"/>
          <w:color w:val="auto"/>
        </w:rPr>
      </w:pPr>
    </w:p>
    <w:p>
      <w:pPr>
        <w:ind w:left="1140" w:hanging="383"/>
        <w:spacing w:after="0" w:line="272" w:lineRule="auto"/>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87" w:lineRule="exact"/>
        <w:rPr>
          <w:sz w:val="20"/>
          <w:szCs w:val="20"/>
          <w:color w:val="auto"/>
        </w:rPr>
      </w:pPr>
    </w:p>
    <w:p>
      <w:pPr>
        <w:ind w:right="140" w:firstLine="374"/>
        <w:spacing w:after="0" w:line="276"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9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06"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1" w:name="page82"/>
    <w:bookmarkEnd w:id="81"/>
    <w:p>
      <w:pPr>
        <w:ind w:right="80"/>
        <w:spacing w:after="0" w:line="284" w:lineRule="auto"/>
        <w:rPr>
          <w:sz w:val="20"/>
          <w:szCs w:val="20"/>
          <w:color w:val="auto"/>
        </w:rPr>
      </w:pPr>
      <w:r>
        <w:rPr>
          <w:rFonts w:ascii="Arial" w:cs="Arial" w:eastAsia="Arial" w:hAnsi="Arial"/>
          <w:sz w:val="16"/>
          <w:szCs w:val="16"/>
          <w:color w:val="auto"/>
        </w:rPr>
        <w:t>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88"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CMS fee schedules may harm our revenue and operating results.</w:t>
      </w:r>
    </w:p>
    <w:p>
      <w:pPr>
        <w:spacing w:after="0" w:line="104" w:lineRule="exact"/>
        <w:rPr>
          <w:sz w:val="20"/>
          <w:szCs w:val="20"/>
          <w:color w:val="auto"/>
        </w:rPr>
      </w:pPr>
    </w:p>
    <w:p>
      <w:pPr>
        <w:ind w:right="80" w:firstLine="374"/>
        <w:spacing w:after="0" w:line="253" w:lineRule="auto"/>
        <w:rPr>
          <w:sz w:val="20"/>
          <w:szCs w:val="20"/>
          <w:color w:val="auto"/>
        </w:rPr>
      </w:pPr>
      <w:r>
        <w:rPr>
          <w:rFonts w:ascii="Arial" w:cs="Arial" w:eastAsia="Arial" w:hAnsi="Arial"/>
          <w:sz w:val="17"/>
          <w:szCs w:val="17"/>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116"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39" w:lineRule="exact"/>
        <w:rPr>
          <w:sz w:val="20"/>
          <w:szCs w:val="20"/>
          <w:color w:val="auto"/>
        </w:rPr>
      </w:pPr>
    </w:p>
    <w:p>
      <w:pPr>
        <w:ind w:right="140" w:firstLine="374"/>
        <w:spacing w:after="0" w:line="279"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92"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2" w:name="page83"/>
    <w:bookmarkEnd w:id="82"/>
    <w:p>
      <w:pPr>
        <w:spacing w:after="0" w:line="324" w:lineRule="auto"/>
        <w:rPr>
          <w:sz w:val="20"/>
          <w:szCs w:val="20"/>
          <w:color w:val="auto"/>
        </w:rPr>
      </w:pPr>
      <w:r>
        <w:rPr>
          <w:rFonts w:ascii="Arial" w:cs="Arial" w:eastAsia="Arial" w:hAnsi="Arial"/>
          <w:sz w:val="16"/>
          <w:szCs w:val="16"/>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16" w:lineRule="exact"/>
        <w:rPr>
          <w:sz w:val="20"/>
          <w:szCs w:val="20"/>
          <w:color w:val="auto"/>
        </w:rPr>
      </w:pPr>
    </w:p>
    <w:p>
      <w:pPr>
        <w:ind w:right="20" w:firstLine="374"/>
        <w:spacing w:after="0" w:line="255" w:lineRule="auto"/>
        <w:rPr>
          <w:sz w:val="20"/>
          <w:szCs w:val="20"/>
          <w:color w:val="auto"/>
        </w:rPr>
      </w:pPr>
      <w:r>
        <w:rPr>
          <w:rFonts w:ascii="Arial" w:cs="Arial" w:eastAsia="Arial" w:hAnsi="Arial"/>
          <w:sz w:val="17"/>
          <w:szCs w:val="17"/>
          <w:color w:val="auto"/>
        </w:rPr>
        <w:t>In 2017, the European Union (“EU”)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12" w:lineRule="exact"/>
        <w:rPr>
          <w:sz w:val="20"/>
          <w:szCs w:val="20"/>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reclassification of some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greater emphasis on clinical data;</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data transparency, including publication of clinical trial data and safety summaries;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defined content and structure for technical files to support registration;</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unique device identification system;</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greater burden on post-market surveillance and clinical follow-up;</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reduction of adverse event reporting time from 30 to 15 days after the event;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more power to notified bodies.</w:t>
      </w:r>
    </w:p>
    <w:p>
      <w:pPr>
        <w:spacing w:after="0" w:line="144" w:lineRule="exact"/>
        <w:rPr>
          <w:sz w:val="20"/>
          <w:szCs w:val="20"/>
          <w:color w:val="auto"/>
        </w:rPr>
      </w:pPr>
    </w:p>
    <w:p>
      <w:pPr>
        <w:ind w:right="180" w:firstLine="374"/>
        <w:spacing w:after="0" w:line="241" w:lineRule="auto"/>
        <w:rPr>
          <w:sz w:val="20"/>
          <w:szCs w:val="20"/>
          <w:color w:val="auto"/>
        </w:rPr>
      </w:pPr>
      <w:r>
        <w:rPr>
          <w:rFonts w:ascii="Arial" w:cs="Arial" w:eastAsia="Arial" w:hAnsi="Arial"/>
          <w:sz w:val="18"/>
          <w:szCs w:val="18"/>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63"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failures associated with our products could lead to recalls, safety alerts or litigation, as well as significant costs and negative publicity.</w:t>
      </w:r>
    </w:p>
    <w:p>
      <w:pPr>
        <w:spacing w:after="0" w:line="127"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3" w:name="page84"/>
    <w:bookmarkEnd w:id="83"/>
    <w:p>
      <w:pPr>
        <w:ind w:right="20"/>
        <w:spacing w:after="0" w:line="261" w:lineRule="auto"/>
        <w:rPr>
          <w:sz w:val="20"/>
          <w:szCs w:val="20"/>
          <w:color w:val="auto"/>
        </w:rPr>
      </w:pPr>
      <w:r>
        <w:rPr>
          <w:rFonts w:ascii="Arial" w:cs="Arial" w:eastAsia="Arial" w:hAnsi="Arial"/>
          <w:sz w:val="18"/>
          <w:szCs w:val="18"/>
          <w:color w:val="auto"/>
        </w:rPr>
        <w:t>competitive pressure. The circumstances giving rise to recalls are unpredictable, and any recalls of existing or future products could have a material adverse effect on our business, financial condition and results of operations.</w:t>
      </w:r>
    </w:p>
    <w:p>
      <w:pPr>
        <w:spacing w:after="0" w:line="103" w:lineRule="exact"/>
        <w:rPr>
          <w:sz w:val="20"/>
          <w:szCs w:val="20"/>
          <w:color w:val="auto"/>
        </w:rPr>
      </w:pPr>
    </w:p>
    <w:p>
      <w:pPr>
        <w:ind w:right="20" w:firstLine="374"/>
        <w:spacing w:after="0" w:line="262" w:lineRule="auto"/>
        <w:rPr>
          <w:sz w:val="20"/>
          <w:szCs w:val="20"/>
          <w:color w:val="auto"/>
        </w:rPr>
      </w:pPr>
      <w:r>
        <w:rPr>
          <w:rFonts w:ascii="Arial" w:cs="Arial" w:eastAsia="Arial" w:hAnsi="Arial"/>
          <w:sz w:val="17"/>
          <w:szCs w:val="17"/>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91" w:lineRule="exact"/>
        <w:rPr>
          <w:sz w:val="20"/>
          <w:szCs w:val="20"/>
          <w:color w:val="auto"/>
        </w:rPr>
      </w:pPr>
    </w:p>
    <w:p>
      <w:pPr>
        <w:ind w:right="60" w:firstLine="374"/>
        <w:spacing w:after="0" w:line="270"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04"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13" w:lineRule="exact"/>
        <w:rPr>
          <w:sz w:val="20"/>
          <w:szCs w:val="20"/>
          <w:color w:val="auto"/>
        </w:rPr>
      </w:pPr>
    </w:p>
    <w:p>
      <w:pPr>
        <w:ind w:right="120" w:firstLine="374"/>
        <w:spacing w:after="0" w:line="272" w:lineRule="auto"/>
        <w:rPr>
          <w:sz w:val="20"/>
          <w:szCs w:val="20"/>
          <w:color w:val="auto"/>
        </w:rPr>
      </w:pPr>
      <w:r>
        <w:rPr>
          <w:rFonts w:ascii="Arial" w:cs="Arial" w:eastAsia="Arial" w:hAnsi="Arial"/>
          <w:sz w:val="16"/>
          <w:szCs w:val="16"/>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8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63" w:lineRule="exact"/>
        <w:rPr>
          <w:sz w:val="20"/>
          <w:szCs w:val="20"/>
          <w:color w:val="auto"/>
        </w:rPr>
      </w:pPr>
    </w:p>
    <w:p>
      <w:pPr>
        <w:ind w:right="340" w:firstLine="374"/>
        <w:spacing w:after="0" w:line="262"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ind w:right="60"/>
        <w:spacing w:after="0" w:line="276" w:lineRule="auto"/>
        <w:rPr>
          <w:sz w:val="20"/>
          <w:szCs w:val="20"/>
          <w:color w:val="auto"/>
        </w:rPr>
      </w:pPr>
      <w:r>
        <w:rPr>
          <w:rFonts w:ascii="Arial" w:cs="Arial" w:eastAsia="Arial" w:hAnsi="Arial"/>
          <w:sz w:val="16"/>
          <w:szCs w:val="16"/>
          <w:color w:val="auto"/>
        </w:rPr>
        <w:t>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94" w:lineRule="exact"/>
        <w:rPr>
          <w:sz w:val="20"/>
          <w:szCs w:val="20"/>
          <w:color w:val="auto"/>
        </w:rPr>
      </w:pPr>
    </w:p>
    <w:p>
      <w:pPr>
        <w:ind w:right="20" w:firstLine="374"/>
        <w:spacing w:after="0" w:line="252" w:lineRule="auto"/>
        <w:rPr>
          <w:sz w:val="20"/>
          <w:szCs w:val="20"/>
          <w:color w:val="auto"/>
        </w:rPr>
      </w:pPr>
      <w:r>
        <w:rPr>
          <w:rFonts w:ascii="Arial" w:cs="Arial" w:eastAsia="Arial" w:hAnsi="Arial"/>
          <w:sz w:val="17"/>
          <w:szCs w:val="17"/>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63" w:lineRule="exact"/>
        <w:rPr>
          <w:sz w:val="20"/>
          <w:szCs w:val="20"/>
          <w:color w:val="auto"/>
        </w:rPr>
      </w:pPr>
    </w:p>
    <w:p>
      <w:pPr>
        <w:ind w:right="100" w:firstLine="374"/>
        <w:spacing w:after="0" w:line="253" w:lineRule="auto"/>
        <w:rPr>
          <w:sz w:val="20"/>
          <w:szCs w:val="20"/>
          <w:color w:val="auto"/>
        </w:rPr>
      </w:pPr>
      <w:r>
        <w:rPr>
          <w:rFonts w:ascii="Arial" w:cs="Arial" w:eastAsia="Arial" w:hAnsi="Arial"/>
          <w:sz w:val="17"/>
          <w:szCs w:val="17"/>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16"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5" w:name="page86"/>
    <w:bookmarkEnd w:id="85"/>
    <w:p>
      <w:pPr>
        <w:ind w:right="20"/>
        <w:spacing w:after="0" w:line="291" w:lineRule="auto"/>
        <w:rPr>
          <w:sz w:val="20"/>
          <w:szCs w:val="20"/>
          <w:color w:val="auto"/>
        </w:rPr>
      </w:pPr>
      <w:r>
        <w:rPr>
          <w:rFonts w:ascii="Arial" w:cs="Arial" w:eastAsia="Arial" w:hAnsi="Arial"/>
          <w:sz w:val="17"/>
          <w:szCs w:val="17"/>
          <w:color w:val="auto"/>
        </w:rPr>
        <w:t>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7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63" w:lineRule="exact"/>
        <w:rPr>
          <w:sz w:val="20"/>
          <w:szCs w:val="20"/>
          <w:color w:val="auto"/>
        </w:rPr>
      </w:pPr>
    </w:p>
    <w:p>
      <w:pPr>
        <w:ind w:right="20" w:firstLine="374"/>
        <w:spacing w:after="0" w:line="270" w:lineRule="auto"/>
        <w:rPr>
          <w:sz w:val="20"/>
          <w:szCs w:val="20"/>
          <w:color w:val="auto"/>
        </w:rPr>
      </w:pPr>
      <w:r>
        <w:rPr>
          <w:rFonts w:ascii="Arial" w:cs="Arial" w:eastAsia="Arial" w:hAnsi="Arial"/>
          <w:sz w:val="16"/>
          <w:szCs w:val="16"/>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90" w:lineRule="exact"/>
        <w:rPr>
          <w:sz w:val="20"/>
          <w:szCs w:val="20"/>
          <w:color w:val="auto"/>
        </w:rPr>
      </w:pPr>
    </w:p>
    <w:p>
      <w:pPr>
        <w:ind w:right="40" w:firstLine="374"/>
        <w:spacing w:after="0" w:line="267" w:lineRule="auto"/>
        <w:rPr>
          <w:sz w:val="20"/>
          <w:szCs w:val="20"/>
          <w:color w:val="auto"/>
        </w:rPr>
      </w:pPr>
      <w:r>
        <w:rPr>
          <w:rFonts w:ascii="Arial" w:cs="Arial" w:eastAsia="Arial" w:hAnsi="Arial"/>
          <w:sz w:val="16"/>
          <w:szCs w:val="16"/>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the California Consumer Privacy Act (“CCPA”), in January 2020 which requires certain companies that process information on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314"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In addition, we are subject to international laws, regulations and standards in many jurisdictions, which apply broadly to the collection, use, retention, security, disclosure, transfer and other processing of personal information. For example, the General Data Protection Regulation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112"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The GDPR provides that EU member states may make their own laws and regulations limiting the (i) processing of personal data, including special categories of data (e.g., racial or ethnic origin, political opinions,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6" w:name="page87"/>
    <w:bookmarkEnd w:id="86"/>
    <w:p>
      <w:pPr>
        <w:ind w:right="40"/>
        <w:spacing w:after="0" w:line="269" w:lineRule="auto"/>
        <w:rPr>
          <w:sz w:val="20"/>
          <w:szCs w:val="20"/>
          <w:color w:val="auto"/>
        </w:rPr>
      </w:pPr>
      <w:r>
        <w:rPr>
          <w:rFonts w:ascii="Arial" w:cs="Arial" w:eastAsia="Arial" w:hAnsi="Arial"/>
          <w:sz w:val="16"/>
          <w:szCs w:val="16"/>
          <w:color w:val="auto"/>
        </w:rPr>
        <w:t>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The interpretations of the GDPR by local data protection authorities in EU member states, along with the complexity of the new data protection regime itself, will leave the interpretation and enforcement of the law unclear in the near term, with potential inconsistencies across the EU member states. The implementation and enforcement of the GDPR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These recent developments will require us to review and amend the legal mechanisms by which we make and/or receive personal data transfers.</w:t>
      </w:r>
    </w:p>
    <w:p>
      <w:pPr>
        <w:spacing w:after="0" w:line="10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Additionally, we are subject to laws and regulations regarding cross-border transfers of personal data, including laws relating to transfer of personal data outside of the European Economic Area (“EEA”). We rely on transfer mechanisms permitted under these laws, including EU Standard Contract Clauses. Such mechanisms have received heightened regulatory and judicial scrutiny in recent years. If we cannot rely on existing mechanisms for transferring personal data from the EEA, the United Kingdom or other jurisdictions, we could be prevented from transferring personal data of users or employees in those regions. This could adversely affect the manner in which we provide our services and thus materially affect our operations and financial results.</w:t>
      </w:r>
    </w:p>
    <w:p>
      <w:pPr>
        <w:spacing w:after="0" w:line="108"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10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ind w:right="140" w:firstLine="374"/>
        <w:spacing w:after="0" w:line="24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14" w:lineRule="exact"/>
        <w:rPr>
          <w:sz w:val="20"/>
          <w:szCs w:val="20"/>
          <w:color w:val="auto"/>
        </w:rPr>
      </w:pPr>
    </w:p>
    <w:p>
      <w:pPr>
        <w:ind w:right="40" w:firstLine="374"/>
        <w:spacing w:after="0" w:line="255" w:lineRule="auto"/>
        <w:rPr>
          <w:sz w:val="20"/>
          <w:szCs w:val="20"/>
          <w:color w:val="auto"/>
        </w:rPr>
      </w:pPr>
      <w:r>
        <w:rPr>
          <w:rFonts w:ascii="Arial" w:cs="Arial" w:eastAsia="Arial" w:hAnsi="Arial"/>
          <w:sz w:val="17"/>
          <w:szCs w:val="17"/>
          <w:color w:val="auto"/>
        </w:rPr>
        <w:t>Disruptions at the FDA and other agencies may also slow the time necessary for new medical devices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The FDA continues to ensure timely reviews of applications for medical products during the ongoing COVID-19 pandemic 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7" w:name="page88"/>
    <w:bookmarkEnd w:id="87"/>
    <w:p>
      <w:pPr>
        <w:ind w:right="80"/>
        <w:spacing w:after="0" w:line="255" w:lineRule="auto"/>
        <w:rPr>
          <w:sz w:val="20"/>
          <w:szCs w:val="20"/>
          <w:color w:val="auto"/>
        </w:rPr>
      </w:pPr>
      <w:r>
        <w:rPr>
          <w:rFonts w:ascii="Arial" w:cs="Arial" w:eastAsia="Arial" w:hAnsi="Arial"/>
          <w:sz w:val="17"/>
          <w:szCs w:val="17"/>
          <w:color w:val="auto"/>
        </w:rPr>
        <w:t>line with its user fee performance goals and conducting mission critical domestic and foreign inspections to ensure compliance of manufacturing facilities. However, the FDA may not be able to continue its current inspection pace or may be unable to complete required inspections during the review period, which can delay clinical development and result in a complete response letter.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74"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We have commercialized the RxSight system outside of the United States, each component of which has received a CE mark and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86"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116" w:lineRule="exact"/>
        <w:rPr>
          <w:sz w:val="20"/>
          <w:szCs w:val="20"/>
          <w:color w:val="auto"/>
        </w:rPr>
      </w:pPr>
    </w:p>
    <w:p>
      <w:pPr>
        <w:ind w:right="80" w:firstLine="374"/>
        <w:spacing w:after="0" w:line="259" w:lineRule="auto"/>
        <w:rPr>
          <w:sz w:val="20"/>
          <w:szCs w:val="20"/>
          <w:color w:val="auto"/>
        </w:rPr>
      </w:pPr>
      <w:r>
        <w:rPr>
          <w:rFonts w:ascii="Arial" w:cs="Arial" w:eastAsia="Arial" w:hAnsi="Arial"/>
          <w:sz w:val="17"/>
          <w:szCs w:val="17"/>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76" w:lineRule="exact"/>
        <w:rPr>
          <w:sz w:val="20"/>
          <w:szCs w:val="20"/>
          <w:color w:val="auto"/>
        </w:rPr>
      </w:pPr>
    </w:p>
    <w:p>
      <w:pPr>
        <w:ind w:right="40" w:firstLine="374"/>
        <w:spacing w:after="0" w:line="271" w:lineRule="auto"/>
        <w:rPr>
          <w:sz w:val="20"/>
          <w:szCs w:val="20"/>
          <w:color w:val="auto"/>
        </w:rPr>
      </w:pPr>
      <w:r>
        <w:rPr>
          <w:rFonts w:ascii="Arial" w:cs="Arial" w:eastAsia="Arial" w:hAnsi="Arial"/>
          <w:sz w:val="16"/>
          <w:szCs w:val="16"/>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10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63"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08"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24" w:lineRule="exact"/>
        <w:rPr>
          <w:sz w:val="20"/>
          <w:szCs w:val="20"/>
          <w:color w:val="auto"/>
        </w:rPr>
      </w:pPr>
    </w:p>
    <w:p>
      <w:pPr>
        <w:ind w:right="180" w:firstLine="374"/>
        <w:spacing w:after="0" w:line="284" w:lineRule="auto"/>
        <w:rPr>
          <w:sz w:val="20"/>
          <w:szCs w:val="20"/>
          <w:color w:val="auto"/>
        </w:rPr>
      </w:pPr>
      <w:r>
        <w:rPr>
          <w:rFonts w:ascii="Arial" w:cs="Arial" w:eastAsia="Arial" w:hAnsi="Arial"/>
          <w:sz w:val="16"/>
          <w:szCs w:val="16"/>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8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63"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blanket orders covering the medium term of 18–24 months for the majority of our supplier base. We depend on our suppliers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 expansion of global lead times, particularly in Europe and Asia, related to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p>
      <w:pPr>
        <w:spacing w:after="0" w:line="238" w:lineRule="auto"/>
        <w:rPr>
          <w:sz w:val="20"/>
          <w:szCs w:val="20"/>
          <w:color w:val="auto"/>
        </w:rPr>
      </w:pPr>
      <w:r>
        <w:rPr>
          <w:rFonts w:ascii="Arial" w:cs="Arial" w:eastAsia="Arial" w:hAnsi="Arial"/>
          <w:sz w:val="18"/>
          <w:szCs w:val="18"/>
          <w:color w:val="auto"/>
        </w:rPr>
        <w:t>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While we have taken measures to mitigate business continuity risk, including increasing standard lead times, payment of expedite fees, issuance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04"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we cannot control. From the date of our initial public offering through March 1, 2022, our common stock has traded at a low of $8.80 and a high of $19.67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“Part I, Item 1A and elsewhere in this Annual Report on Form 10-K, these factors include:</w:t>
      </w:r>
    </w:p>
    <w:p>
      <w:pPr>
        <w:spacing w:after="0" w:line="122" w:lineRule="exact"/>
        <w:rPr>
          <w:sz w:val="20"/>
          <w:szCs w:val="20"/>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current and future products or those of our competitors;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140" w:right="620" w:hanging="383"/>
        <w:spacing w:after="0" w:line="26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89" w:lineRule="exact"/>
        <w:rPr>
          <w:rFonts w:ascii="Arial" w:cs="Arial" w:eastAsia="Arial" w:hAnsi="Arial"/>
          <w:sz w:val="18"/>
          <w:szCs w:val="18"/>
          <w:color w:val="auto"/>
        </w:rPr>
      </w:pPr>
    </w:p>
    <w:p>
      <w:pPr>
        <w:jc w:val="center"/>
        <w:ind w:left="5540" w:right="700" w:hanging="4783"/>
        <w:spacing w:after="0" w:line="434"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0" w:name="page91"/>
    <w:bookmarkEnd w:id="90"/>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market conditions in the medical device sector;</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Part I, Item1A, could have a dramatic and adverse impact on the market price of our common stock.</w:t>
      </w:r>
    </w:p>
    <w:p>
      <w:pPr>
        <w:spacing w:after="0" w:line="103"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63"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2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63" w:lineRule="exact"/>
        <w:rPr>
          <w:sz w:val="20"/>
          <w:szCs w:val="20"/>
          <w:color w:val="auto"/>
        </w:rPr>
      </w:pPr>
    </w:p>
    <w:p>
      <w:pPr>
        <w:ind w:right="180" w:firstLine="374"/>
        <w:spacing w:after="0" w:line="255" w:lineRule="auto"/>
        <w:rPr>
          <w:sz w:val="20"/>
          <w:szCs w:val="20"/>
          <w:color w:val="auto"/>
        </w:rPr>
      </w:pPr>
      <w:r>
        <w:rPr>
          <w:rFonts w:ascii="Arial" w:cs="Arial" w:eastAsia="Arial" w:hAnsi="Arial"/>
          <w:sz w:val="17"/>
          <w:szCs w:val="17"/>
          <w:color w:val="auto"/>
        </w:rPr>
        <w:t>Our common stock is currently traded on Nasdaq, but we can provide no assurance that we will be able to maintain an active trading market on Nasdaq or any other exchange in the future. If an active trading market does not develop is not maintained, or if we fail to satisfy the continued listing standards of Nasdaq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20" w:firstLine="374"/>
        <w:spacing w:after="0" w:line="29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66" w:lineRule="exact"/>
        <w:rPr>
          <w:sz w:val="20"/>
          <w:szCs w:val="20"/>
          <w:color w:val="auto"/>
        </w:rPr>
      </w:pPr>
    </w:p>
    <w:p>
      <w:pPr>
        <w:ind w:right="480" w:firstLine="374"/>
        <w:spacing w:after="0" w:line="248" w:lineRule="auto"/>
        <w:rPr>
          <w:sz w:val="20"/>
          <w:szCs w:val="20"/>
          <w:color w:val="auto"/>
        </w:rPr>
      </w:pPr>
      <w:r>
        <w:rPr>
          <w:rFonts w:ascii="Arial" w:cs="Arial" w:eastAsia="Arial" w:hAnsi="Arial"/>
          <w:sz w:val="18"/>
          <w:szCs w:val="18"/>
          <w:color w:val="auto"/>
        </w:rPr>
        <w:t>As of December 31, 2021, we had 27,366,746 shares of common stock issued and outstanding. Of these shares approximately 7,300,000 shares became available for sale in the public market on January 26, 2022, following the scheduled expiration of lock-up agreements that certain of our stockholders and the underwriters entered into in connection with our Initial Public Offering, or (“IPO”).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1" w:name="page92"/>
    <w:bookmarkEnd w:id="91"/>
    <w:p>
      <w:pPr>
        <w:ind w:right="80" w:firstLine="374"/>
        <w:spacing w:after="0" w:line="294" w:lineRule="auto"/>
        <w:rPr>
          <w:sz w:val="20"/>
          <w:szCs w:val="20"/>
          <w:color w:val="auto"/>
        </w:rPr>
      </w:pPr>
      <w:r>
        <w:rPr>
          <w:rFonts w:ascii="Arial" w:cs="Arial" w:eastAsia="Arial" w:hAnsi="Arial"/>
          <w:sz w:val="16"/>
          <w:szCs w:val="16"/>
          <w:color w:val="auto"/>
        </w:rPr>
        <w:t>In addition, we have filed a registration statement on Form S-8 under the Securities Act registering the issuance of 7,473,839 shares of common stock subject to options or other equity awards issued or reserved for future issuance under our equity incentive plans. Shares registered under the registration statement on Form S-8 can be freely sold in the public market upon issuance, subject to volume limitations applicable to affiliates.</w:t>
      </w:r>
    </w:p>
    <w:p>
      <w:pPr>
        <w:spacing w:after="0" w:line="80"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Further, concurrent with the filing of this Form 10-K, we will file on Form S -8 under the Securities Act to register the issuance of 1,368,337 shares of common stock subject to options or other equity awards issued or future issuance under our equity incentive plans. The number of shares to be registered represent the annual increase commencing on the first day of each fiscal year beginning with the 2022 fiscal year calculated as 4% of the outstanding shares of our common stock on the last day of our immediately preceding fiscal year under our 2021 Equity Incentive Plan and 1% of the outstanding shares f our common stock as of the last day of the immediately preceding fiscal year under our 2021 Employee Stock Purchase Plan.</w:t>
      </w:r>
    </w:p>
    <w:p>
      <w:pPr>
        <w:spacing w:after="0" w:line="78"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Moreover, holders of an aggregate of 14,651,254 shares of our common stock have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upon issuance, subject to volume limitations applicable to affiliates under applicable rules. If these additional shares are sold, or if it is perceived that they will be sold, in the public market, the trading price of our common stock could decline.</w:t>
      </w:r>
    </w:p>
    <w:p>
      <w:pPr>
        <w:spacing w:after="0" w:line="122" w:lineRule="exact"/>
        <w:rPr>
          <w:sz w:val="20"/>
          <w:szCs w:val="20"/>
          <w:color w:val="auto"/>
        </w:rPr>
      </w:pPr>
    </w:p>
    <w:p>
      <w:pPr>
        <w:ind w:right="460" w:firstLine="374"/>
        <w:spacing w:after="0" w:line="24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As of December 31, 2021, our executive officers, directors, holders of 5% or more of our common stock and their respective affiliates beneficially owned approximately 51%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will make our common stock less attractive to investors.</w:t>
      </w:r>
    </w:p>
    <w:p>
      <w:pPr>
        <w:spacing w:after="0" w:line="63" w:lineRule="exact"/>
        <w:rPr>
          <w:sz w:val="20"/>
          <w:szCs w:val="20"/>
          <w:color w:val="auto"/>
        </w:rPr>
      </w:pPr>
    </w:p>
    <w:p>
      <w:pPr>
        <w:ind w:right="140" w:firstLine="374"/>
        <w:spacing w:after="0" w:line="24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01" w:lineRule="exact"/>
        <w:rPr>
          <w:sz w:val="20"/>
          <w:szCs w:val="20"/>
          <w:color w:val="auto"/>
        </w:rPr>
      </w:pPr>
    </w:p>
    <w:p>
      <w:pPr>
        <w:jc w:val="both"/>
        <w:ind w:left="1140" w:hanging="383"/>
        <w:spacing w:after="0" w:line="248" w:lineRule="auto"/>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Annual Report on Form 10-K;</w:t>
      </w:r>
    </w:p>
    <w:p>
      <w:pPr>
        <w:spacing w:after="0" w:line="114" w:lineRule="exact"/>
        <w:rPr>
          <w:rFonts w:ascii="Arial" w:cs="Arial" w:eastAsia="Arial" w:hAnsi="Arial"/>
          <w:sz w:val="18"/>
          <w:szCs w:val="18"/>
          <w:color w:val="auto"/>
        </w:rPr>
      </w:pPr>
    </w:p>
    <w:p>
      <w:pPr>
        <w:ind w:left="1140" w:hanging="383"/>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44" w:lineRule="exact"/>
        <w:rPr>
          <w:rFonts w:ascii="Arial" w:cs="Arial" w:eastAsia="Arial" w:hAnsi="Arial"/>
          <w:sz w:val="18"/>
          <w:szCs w:val="18"/>
          <w:color w:val="auto"/>
        </w:rPr>
      </w:pPr>
    </w:p>
    <w:p>
      <w:pPr>
        <w:ind w:left="1140" w:right="340" w:hanging="383"/>
        <w:spacing w:after="0" w:line="248" w:lineRule="auto"/>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2" w:name="page93"/>
    <w:bookmarkEnd w:id="92"/>
    <w:p>
      <w:pPr>
        <w:ind w:left="1140" w:hanging="383"/>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44"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90" w:lineRule="exact"/>
        <w:rPr>
          <w:sz w:val="20"/>
          <w:szCs w:val="20"/>
          <w:color w:val="auto"/>
        </w:rPr>
      </w:pPr>
    </w:p>
    <w:p>
      <w:pPr>
        <w:jc w:val="both"/>
        <w:ind w:right="600" w:firstLine="374"/>
        <w:spacing w:after="0" w:line="324"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57"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(i.e., December 31, 2026).</w:t>
      </w:r>
    </w:p>
    <w:p>
      <w:pPr>
        <w:spacing w:after="0" w:line="120" w:lineRule="exact"/>
        <w:rPr>
          <w:sz w:val="20"/>
          <w:szCs w:val="20"/>
          <w:color w:val="auto"/>
        </w:rPr>
      </w:pPr>
    </w:p>
    <w:p>
      <w:pPr>
        <w:ind w:right="60" w:firstLine="374"/>
        <w:spacing w:after="0" w:line="25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3"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4"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As a public company we incur significant legal, accounting and other expenses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16"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if we are an accelerated filer or large accelerated filer. To achieve compliance with Section 404 within the prescribed period, we will be engaging in a process to document and evaluate our internal control over financial reporting, which is both costly and challenging. In this regard, we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3" w:name="page94"/>
    <w:bookmarkEnd w:id="93"/>
    <w:p>
      <w:pPr>
        <w:ind w:right="160"/>
        <w:spacing w:after="0" w:line="294" w:lineRule="auto"/>
        <w:rPr>
          <w:sz w:val="20"/>
          <w:szCs w:val="20"/>
          <w:color w:val="auto"/>
        </w:rPr>
      </w:pPr>
      <w:r>
        <w:rPr>
          <w:rFonts w:ascii="Arial" w:cs="Arial" w:eastAsia="Arial" w:hAnsi="Arial"/>
          <w:sz w:val="16"/>
          <w:szCs w:val="16"/>
          <w:color w:val="auto"/>
        </w:rPr>
        <w:t>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0"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our IPO and may not use them effectively.</w:t>
      </w:r>
    </w:p>
    <w:p>
      <w:pPr>
        <w:spacing w:after="0" w:line="104" w:lineRule="exact"/>
        <w:rPr>
          <w:sz w:val="20"/>
          <w:szCs w:val="20"/>
          <w:color w:val="auto"/>
        </w:rPr>
      </w:pPr>
    </w:p>
    <w:p>
      <w:pPr>
        <w:ind w:right="100" w:firstLine="374"/>
        <w:spacing w:after="0" w:line="284" w:lineRule="auto"/>
        <w:rPr>
          <w:sz w:val="20"/>
          <w:szCs w:val="20"/>
          <w:color w:val="auto"/>
        </w:rPr>
      </w:pPr>
      <w:r>
        <w:rPr>
          <w:rFonts w:ascii="Arial" w:cs="Arial" w:eastAsia="Arial" w:hAnsi="Arial"/>
          <w:sz w:val="16"/>
          <w:szCs w:val="16"/>
          <w:color w:val="auto"/>
        </w:rPr>
        <w:t>Our management has broad discretion in the application of the net proceeds from our IPO, and you will be relying on the judgment of our management regarding the application of these proceeds. You will not have the opportunity to assess whether we are using the proceeds appropriately. Our management might not apply the net proceeds in ways that ultimately increase stockholder value. If we do not invest or apply the net proceeds from our IPO in ways that enhance stockholder value, we may fail to achieve expected financial results, which could cause our stock price to decline.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0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63"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14" w:lineRule="exact"/>
        <w:rPr>
          <w:sz w:val="20"/>
          <w:szCs w:val="20"/>
          <w:color w:val="auto"/>
        </w:rPr>
      </w:pPr>
    </w:p>
    <w:p>
      <w:pPr>
        <w:ind w:left="1140" w:hanging="383"/>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44"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4" w:name="page95"/>
    <w:bookmarkEnd w:id="94"/>
    <w:p>
      <w:pPr>
        <w:ind w:left="1140" w:hanging="383"/>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44" w:lineRule="exact"/>
        <w:rPr>
          <w:rFonts w:ascii="Arial" w:cs="Arial" w:eastAsia="Arial" w:hAnsi="Arial"/>
          <w:sz w:val="18"/>
          <w:szCs w:val="18"/>
          <w:color w:val="auto"/>
        </w:rPr>
      </w:pPr>
    </w:p>
    <w:p>
      <w:pPr>
        <w:ind w:left="1140" w:right="680" w:hanging="383"/>
        <w:spacing w:after="0" w:line="261"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89" w:lineRule="exact"/>
        <w:rPr>
          <w:rFonts w:ascii="Arial" w:cs="Arial" w:eastAsia="Arial" w:hAnsi="Arial"/>
          <w:sz w:val="18"/>
          <w:szCs w:val="18"/>
          <w:color w:val="auto"/>
        </w:rPr>
      </w:pPr>
    </w:p>
    <w:p>
      <w:pPr>
        <w:ind w:left="1140" w:hanging="383"/>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44"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20" w:lineRule="exact"/>
        <w:rPr>
          <w:sz w:val="20"/>
          <w:szCs w:val="20"/>
          <w:color w:val="auto"/>
        </w:rPr>
      </w:pPr>
    </w:p>
    <w:p>
      <w:pPr>
        <w:jc w:val="both"/>
        <w:ind w:right="120" w:firstLine="374"/>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0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is the exclusive forum for:</w:t>
      </w:r>
    </w:p>
    <w:p>
      <w:pPr>
        <w:spacing w:after="0" w:line="103" w:lineRule="exact"/>
        <w:rPr>
          <w:sz w:val="20"/>
          <w:szCs w:val="20"/>
          <w:color w:val="auto"/>
        </w:rPr>
      </w:pPr>
    </w:p>
    <w:p>
      <w:pPr>
        <w:ind w:left="1140" w:hanging="383"/>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30" w:lineRule="exact"/>
        <w:rPr>
          <w:rFonts w:ascii="Arial" w:cs="Arial" w:eastAsia="Arial" w:hAnsi="Arial"/>
          <w:sz w:val="18"/>
          <w:szCs w:val="18"/>
          <w:color w:val="auto"/>
        </w:rPr>
      </w:pPr>
    </w:p>
    <w:p>
      <w:pPr>
        <w:ind w:left="1140" w:right="140" w:hanging="383"/>
        <w:spacing w:after="0" w:line="261"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44"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93" w:lineRule="exact"/>
        <w:rPr>
          <w:sz w:val="20"/>
          <w:szCs w:val="20"/>
          <w:color w:val="auto"/>
        </w:rPr>
      </w:pPr>
    </w:p>
    <w:p>
      <w:pPr>
        <w:ind w:right="20" w:firstLine="374"/>
        <w:spacing w:after="0" w:line="253" w:lineRule="auto"/>
        <w:rPr>
          <w:sz w:val="20"/>
          <w:szCs w:val="20"/>
          <w:color w:val="auto"/>
        </w:rPr>
      </w:pPr>
      <w:r>
        <w:rPr>
          <w:rFonts w:ascii="Arial" w:cs="Arial" w:eastAsia="Arial" w:hAnsi="Arial"/>
          <w:sz w:val="17"/>
          <w:szCs w:val="17"/>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113"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This Delaware forum provision does not apply to actions arising under the Securities Exchange Act of 1934 because the federal courts have exclusive jurisdiction over such claims.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5" w:name="page96"/>
    <w:bookmarkEnd w:id="95"/>
    <w:p>
      <w:pPr>
        <w:ind w:right="80"/>
        <w:spacing w:after="0" w:line="324"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6"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are authorized to issue and designate shares of our preferred stock in additional series without stockholder approval.</w:t>
      </w:r>
    </w:p>
    <w:p>
      <w:pPr>
        <w:spacing w:after="0" w:line="127"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7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3"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The foregoing items, as well as any future changes in tax laws, could have a material adverse effect on our business, cash flow, financial condition or results of operations. In addition, it is uncertain if and to what extent various states will conform to the newly enacted federal tax legislation.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harmed by the effects of the COVID-19 pandemic and may continue to be harmed.</w:t>
      </w:r>
    </w:p>
    <w:p>
      <w:pPr>
        <w:spacing w:after="0" w:line="63" w:lineRule="exact"/>
        <w:rPr>
          <w:sz w:val="20"/>
          <w:szCs w:val="20"/>
          <w:color w:val="auto"/>
        </w:rPr>
      </w:pPr>
    </w:p>
    <w:p>
      <w:pPr>
        <w:ind w:right="20" w:firstLine="374"/>
        <w:spacing w:after="0" w:line="269" w:lineRule="auto"/>
        <w:rPr>
          <w:sz w:val="20"/>
          <w:szCs w:val="20"/>
          <w:color w:val="auto"/>
        </w:rPr>
      </w:pPr>
      <w:r>
        <w:rPr>
          <w:rFonts w:ascii="Arial" w:cs="Arial" w:eastAsia="Arial" w:hAnsi="Arial"/>
          <w:sz w:val="16"/>
          <w:szCs w:val="16"/>
          <w:color w:val="auto"/>
        </w:rPr>
        <w:t>We are subject to risks related to public health crises such as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 the United States, governmental authorities have recommended, and in certain cases required, that elective, specialty and other procedures and appointments, including those related to cataract treatments,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6" w:name="page97"/>
    <w:bookmarkEnd w:id="96"/>
    <w:p>
      <w:pPr>
        <w:ind w:firstLine="374"/>
        <w:spacing w:after="0" w:line="252" w:lineRule="auto"/>
        <w:rPr>
          <w:sz w:val="20"/>
          <w:szCs w:val="20"/>
          <w:color w:val="auto"/>
        </w:rPr>
      </w:pPr>
      <w:r>
        <w:rPr>
          <w:rFonts w:ascii="Arial" w:cs="Arial" w:eastAsia="Arial" w:hAnsi="Arial"/>
          <w:sz w:val="17"/>
          <w:szCs w:val="17"/>
          <w:color w:val="auto"/>
        </w:rPr>
        <w:t>Numerous state and local jurisdictions have imposed, and others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the temporary closing of our headquarters, slowdowns and delays, travel restrictions and cancellation of events, among other effects, thereby negatively impacting our operations. Other disruptions or potential disruptions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are lifted, we may continue to experience disruptions to our business, including as a result of patients and customers continuing to be cautious in restarting elective procedures in light of the continued risk posed by the virus.</w:t>
      </w:r>
    </w:p>
    <w:p>
      <w:pPr>
        <w:spacing w:after="0" w:line="118"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As we continue to actively advance our clinical programs and discovery and research programs, we are in close contact with the third parties we engage with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issued in March 2020, updated subsequently,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FDA includes statistical considerations for clinical trials during the COVID-19 public health emergency and post-marketing adverse event reporting for medical products during a pandemic. We may need to make further adjustments in the future, including implementation of new policies and procedures.</w:t>
      </w:r>
    </w:p>
    <w:p>
      <w:pPr>
        <w:spacing w:after="0" w:line="100"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Further, the expansion of global lead times, particularly in Europe and Asia, related to the 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23"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04" w:lineRule="exact"/>
        <w:rPr>
          <w:sz w:val="20"/>
          <w:szCs w:val="20"/>
          <w:color w:val="auto"/>
        </w:rPr>
      </w:pPr>
    </w:p>
    <w:p>
      <w:pPr>
        <w:ind w:right="20" w:firstLine="374"/>
        <w:spacing w:after="0" w:line="294" w:lineRule="auto"/>
        <w:rPr>
          <w:sz w:val="20"/>
          <w:szCs w:val="20"/>
          <w:color w:val="auto"/>
        </w:rPr>
      </w:pPr>
      <w:r>
        <w:rPr>
          <w:rFonts w:ascii="Arial" w:cs="Arial" w:eastAsia="Arial" w:hAnsi="Arial"/>
          <w:sz w:val="16"/>
          <w:szCs w:val="16"/>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22" w:lineRule="exact"/>
        <w:rPr>
          <w:sz w:val="20"/>
          <w:szCs w:val="20"/>
          <w:color w:val="auto"/>
        </w:rPr>
      </w:pPr>
    </w:p>
    <w:p>
      <w:pPr>
        <w:ind w:right="60" w:firstLine="374"/>
        <w:spacing w:after="0" w:line="259" w:lineRule="auto"/>
        <w:rPr>
          <w:sz w:val="20"/>
          <w:szCs w:val="20"/>
          <w:color w:val="auto"/>
        </w:rPr>
      </w:pPr>
      <w:r>
        <w:rPr>
          <w:rFonts w:ascii="Arial" w:cs="Arial" w:eastAsia="Arial" w:hAnsi="Arial"/>
          <w:sz w:val="17"/>
          <w:szCs w:val="17"/>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or security breaches.</w:t>
      </w:r>
    </w:p>
    <w:p>
      <w:pPr>
        <w:spacing w:after="0" w:line="104"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Our computer systems, as well as those of our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of preclinical study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commercialization of our RxSight system and the further development of our current and future products could be delayed.</w:t>
      </w:r>
    </w:p>
    <w:p>
      <w:pPr>
        <w:spacing w:after="0" w:line="112"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such material security breach to date, any such breach could compromise our networks and the information stored there could be accessed, publicly disclosed, lost or stolen. Any such actual or perceived access, disclosure or other security breach or loss of information (whether affecting us or one of our third-party service providers) could result in legal claims proceedings, regulatory investigations, liability under laws that protect the privacy of personal information, significant regulatory penalties or other fines,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116" w:lineRule="exact"/>
        <w:rPr>
          <w:sz w:val="20"/>
          <w:szCs w:val="20"/>
          <w:color w:val="auto"/>
        </w:rPr>
      </w:pPr>
    </w:p>
    <w:p>
      <w:pPr>
        <w:ind w:right="20" w:firstLine="374"/>
        <w:spacing w:after="0" w:line="253" w:lineRule="auto"/>
        <w:rPr>
          <w:sz w:val="20"/>
          <w:szCs w:val="20"/>
          <w:color w:val="auto"/>
        </w:rPr>
      </w:pPr>
      <w:r>
        <w:rPr>
          <w:rFonts w:ascii="Arial" w:cs="Arial" w:eastAsia="Arial" w:hAnsi="Arial"/>
          <w:sz w:val="17"/>
          <w:szCs w:val="17"/>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99" w:lineRule="exact"/>
        <w:rPr>
          <w:sz w:val="20"/>
          <w:szCs w:val="20"/>
          <w:color w:val="auto"/>
        </w:rPr>
      </w:pPr>
    </w:p>
    <w:p>
      <w:pPr>
        <w:ind w:right="440" w:firstLine="374"/>
        <w:spacing w:after="0" w:line="261" w:lineRule="auto"/>
        <w:rPr>
          <w:sz w:val="20"/>
          <w:szCs w:val="20"/>
          <w:color w:val="auto"/>
        </w:rPr>
      </w:pPr>
      <w:r>
        <w:rPr>
          <w:rFonts w:ascii="Arial" w:cs="Arial" w:eastAsia="Arial" w:hAnsi="Arial"/>
          <w:sz w:val="18"/>
          <w:szCs w:val="18"/>
          <w:color w:val="auto"/>
        </w:rPr>
        <w:t>We may be required to expend significant capital and other resources to protect against, respond to, and recover from any potential, attempted or existing security breaches or failures and their consequences. As data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8" w:name="page99"/>
    <w:bookmarkEnd w:id="98"/>
    <w:p>
      <w:pPr>
        <w:ind w:right="40"/>
        <w:spacing w:after="0" w:line="276" w:lineRule="auto"/>
        <w:rPr>
          <w:sz w:val="20"/>
          <w:szCs w:val="20"/>
          <w:color w:val="auto"/>
        </w:rPr>
      </w:pPr>
      <w:r>
        <w:rPr>
          <w:rFonts w:ascii="Arial" w:cs="Arial" w:eastAsia="Arial" w:hAnsi="Arial"/>
          <w:sz w:val="16"/>
          <w:szCs w:val="16"/>
          <w:color w:val="auto"/>
        </w:rPr>
        <w:t>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adversely affect our business.</w:t>
      </w:r>
    </w:p>
    <w:p>
      <w:pPr>
        <w:spacing w:after="0" w:line="104" w:lineRule="exact"/>
        <w:rPr>
          <w:sz w:val="20"/>
          <w:szCs w:val="20"/>
          <w:color w:val="auto"/>
        </w:rPr>
      </w:pPr>
    </w:p>
    <w:p>
      <w:pPr>
        <w:ind w:right="60" w:firstLine="374"/>
        <w:spacing w:after="0" w:line="241" w:lineRule="auto"/>
        <w:rPr>
          <w:sz w:val="20"/>
          <w:szCs w:val="20"/>
          <w:color w:val="auto"/>
        </w:rPr>
      </w:pPr>
      <w:r>
        <w:rPr>
          <w:rFonts w:ascii="Arial" w:cs="Arial" w:eastAsia="Arial" w:hAnsi="Arial"/>
          <w:sz w:val="18"/>
          <w:szCs w:val="18"/>
          <w:color w:val="auto"/>
        </w:rPr>
        <w:t>Adverse worldwide economic conditions, including those related to the COVID-19 pandemic,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04"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4" w:lineRule="exact"/>
        <w:rPr>
          <w:sz w:val="20"/>
          <w:szCs w:val="20"/>
          <w:color w:val="auto"/>
        </w:rPr>
      </w:pPr>
    </w:p>
    <w:p>
      <w:pPr>
        <w:ind w:right="20" w:firstLine="374"/>
        <w:spacing w:after="0" w:line="255"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1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3" w:lineRule="exact"/>
        <w:rPr>
          <w:sz w:val="20"/>
          <w:szCs w:val="20"/>
          <w:color w:val="auto"/>
        </w:rPr>
      </w:pPr>
    </w:p>
    <w:p>
      <w:pPr>
        <w:ind w:right="280" w:firstLine="374"/>
        <w:spacing w:after="0" w:line="274"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due to the expansion of global lead times, particularly in Europe and Asia, related to the COVID-19 pandemic, has resulted in the lack of availability of raw materials, including semiconductors, computers, monitors electronic parts, metals, packaging, adhesives,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9" w:name="page100"/>
    <w:bookmarkEnd w:id="99"/>
    <w:p>
      <w:pPr>
        <w:ind w:right="320"/>
        <w:spacing w:after="0" w:line="243" w:lineRule="auto"/>
        <w:rPr>
          <w:sz w:val="20"/>
          <w:szCs w:val="20"/>
          <w:color w:val="auto"/>
        </w:rPr>
      </w:pPr>
      <w:r>
        <w:rPr>
          <w:rFonts w:ascii="Arial" w:cs="Arial" w:eastAsia="Arial" w:hAnsi="Arial"/>
          <w:sz w:val="18"/>
          <w:szCs w:val="18"/>
          <w:color w:val="auto"/>
        </w:rPr>
        <w:t>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20" w:lineRule="exact"/>
        <w:rPr>
          <w:sz w:val="20"/>
          <w:szCs w:val="20"/>
          <w:color w:val="auto"/>
        </w:rPr>
      </w:pPr>
    </w:p>
    <w:p>
      <w:pPr>
        <w:ind w:right="40" w:firstLine="374"/>
        <w:spacing w:after="0" w:line="271" w:lineRule="auto"/>
        <w:rPr>
          <w:sz w:val="20"/>
          <w:szCs w:val="20"/>
          <w:color w:val="auto"/>
        </w:rPr>
      </w:pPr>
      <w:r>
        <w:rPr>
          <w:rFonts w:ascii="Arial" w:cs="Arial" w:eastAsia="Arial" w:hAnsi="Arial"/>
          <w:sz w:val="16"/>
          <w:szCs w:val="16"/>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currently lease four facilities housing our headquarters, manufacturing, research and development and administrative offices in Aliso Viejo, California. The facility leases are for approximately 121,000 square feet in the aggregate. The leases terminate, respectively, on (i) September 30, 2024, with one option to extend for five years; (ii) January 31, 2026, with three options to extend for five years each; (iii) March 31, 2023 with two options to extend for five years each; and (iv) August 31, 2024, with one option to extend for five years. We believe that our facilities are adequate to meet our current needs.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auto"/>
        </w:rPr>
        <w:t>From time to time, we may become involved in litigation or other legal proceedings. Except as indicated above,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920"/>
        <w:spacing w:after="0" w:line="41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and holders</w:t>
      </w:r>
    </w:p>
    <w:p>
      <w:pPr>
        <w:ind w:right="300" w:firstLine="374"/>
        <w:spacing w:after="0" w:line="261" w:lineRule="auto"/>
        <w:rPr>
          <w:sz w:val="20"/>
          <w:szCs w:val="20"/>
          <w:color w:val="auto"/>
        </w:rPr>
      </w:pPr>
      <w:r>
        <w:rPr>
          <w:rFonts w:ascii="Arial" w:cs="Arial" w:eastAsia="Arial" w:hAnsi="Arial"/>
          <w:sz w:val="18"/>
          <w:szCs w:val="18"/>
          <w:color w:val="auto"/>
        </w:rPr>
        <w:t>Our common stock has been publicly traded on the Nasdaq Global Market under the symbol “RXST” since July 30, 2021. Prior to that time, there was no public market for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08" w:lineRule="exact"/>
        <w:rPr>
          <w:sz w:val="20"/>
          <w:szCs w:val="20"/>
          <w:color w:val="auto"/>
        </w:rPr>
      </w:pPr>
    </w:p>
    <w:p>
      <w:pPr>
        <w:ind w:right="60" w:firstLine="374"/>
        <w:spacing w:after="0" w:line="294" w:lineRule="auto"/>
        <w:rPr>
          <w:sz w:val="20"/>
          <w:szCs w:val="20"/>
          <w:color w:val="auto"/>
        </w:rPr>
      </w:pPr>
      <w:r>
        <w:rPr>
          <w:rFonts w:ascii="Arial" w:cs="Arial" w:eastAsia="Arial" w:hAnsi="Arial"/>
          <w:sz w:val="16"/>
          <w:szCs w:val="16"/>
          <w:color w:val="auto"/>
        </w:rPr>
        <w:t>As of February 15, 2022, there were approximately 372 registered stockholders of record for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310"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On August 3, 2021, we completed our IPO, with a subsequent partial exercise of the underwriter’s over-allotment option to purchase additional shares. We issued and sold an aggregate of 8,248,549 shares of common stock, par value $0.001 per share, at an offering price of $16.00 per share. We received aggregate net proceeds of approximately $119.6 million, after deducting underwriters' discounts and commissions of $9.2 million and offering expenses of $3.2 million.</w:t>
      </w:r>
    </w:p>
    <w:p>
      <w:pPr>
        <w:spacing w:after="0" w:line="120"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There has been no material change in the planned use of the IPO proceeds as described in our prospectus dated July 29, 2021, as filed with the SEC pursuant to Rule 424(b) under the Securities Act (File No. 333-257790). From the effective date of the IPO registration statement through December 31, 2021, we have used the net proceeds of the offering to expand our sales force, customer support and operations and increase our research and development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40" w:firstLine="374"/>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in Part I, Item 1A and elsewhere in this Annual Report on Form 10-K. See “Special Note Regarding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374"/>
        <w:spacing w:after="0" w:line="269" w:lineRule="auto"/>
        <w:rPr>
          <w:sz w:val="20"/>
          <w:szCs w:val="20"/>
          <w:color w:val="auto"/>
        </w:rPr>
      </w:pPr>
      <w:r>
        <w:rPr>
          <w:rFonts w:ascii="Arial" w:cs="Arial" w:eastAsia="Arial" w:hAnsi="Arial"/>
          <w:sz w:val="16"/>
          <w:szCs w:val="16"/>
          <w:color w:val="auto"/>
        </w:rPr>
        <w:t>We are a commercial-stage medical technology company dedicated to improving the vision of patients following cataract surgery. Our proprietary RxSight system, comprised of our LAL, LDD and accessories, is the first and only commercially available IOL technology that enables doctors to customize and optimize visual acuity for patients after cataract surgery. Our LAL is made of proprietary photosensitive material that changes shape in response to specific patterns of ultraviolet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December 31, 2021, we had an installed base of 206 LDDs in ophthalmology practices, and since our inception, surgeons have performed almost 17,000 surgeries with our RxSight system.</w:t>
      </w:r>
    </w:p>
    <w:p>
      <w:pPr>
        <w:spacing w:after="0" w:line="60"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products are also approved for sale in Europe and Mexico. We are not actively marketing our products for sale in Europe or Mexico; however, we have approval in both for improving uncorrected visual acuity by adjusting the LAL power to correct residual postoperative refractive error. We have one customer in Germany and one in Mexico, both of which have participated in our clinical studies and perform commercial cases. We are a Delaware corporation, headquartered in Aliso Viejo, California, and have one wholly owned subsidiary. Our subsidiary is located in Amsterdam, Netherlands, which itself has one wholly owned subsidiary in Germany and a registered branch in the United Kingdom.</w:t>
      </w:r>
    </w:p>
    <w:p>
      <w:pPr>
        <w:spacing w:after="0" w:line="113" w:lineRule="exact"/>
        <w:rPr>
          <w:sz w:val="20"/>
          <w:szCs w:val="20"/>
          <w:color w:val="auto"/>
        </w:rPr>
      </w:pPr>
    </w:p>
    <w:p>
      <w:pPr>
        <w:ind w:firstLine="374"/>
        <w:spacing w:after="0" w:line="252" w:lineRule="auto"/>
        <w:rPr>
          <w:sz w:val="20"/>
          <w:szCs w:val="20"/>
          <w:color w:val="auto"/>
        </w:rPr>
      </w:pPr>
      <w:r>
        <w:rPr>
          <w:rFonts w:ascii="Arial" w:cs="Arial" w:eastAsia="Arial" w:hAnsi="Arial"/>
          <w:sz w:val="17"/>
          <w:szCs w:val="17"/>
          <w:color w:val="auto"/>
        </w:rPr>
        <w:t>Our commercial strategy is focused on a “razor and razor blade” model through which we aim to drive new customer adoption, which generally begins with the sale of an LDD, and then helps the customer incorporate the LAL into their practice to drive utilization and premium procedure growth. We believe this commercial strategy over time may provide a degree of predictability in terms of our commercial growth and a consumable revenue stream from sales of our LALs. We are currently focused on driving adoption with surgeons performing a high volume of premium cataract procedures. MarketScope estimates that there are approximately 10,000 surgeons that perform cataract surgeries in the United States as of 2021, and we estimate that as many as 3,000 surgeons performed approximately 70% to 80% of the premium procedures in the United States in 2021. We believe this provides an attractive and concentrated market opportunity addressable with a focused sales force. We currently employ a sales team that, as of December 31, 2021 includes 18 LDD sales personnel, 14 LAL sales personnel, and a group of over 55 clinical specialists, field service, customer service, and marketing personnel. We intend to continue to make significant investments in our sales and marketing organization. We believe increasing the number of sales representatives, practice development personnel and clinical trainers will help facilitate further adoption of our products among existing customer accounts as well as broaden awareness of our products to new accounts. While we intend to initially focus our growing commercial efforts in the U.S., in the future, we may selectively pursue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2" w:name="page103"/>
    <w:bookmarkEnd w:id="102"/>
    <w:p>
      <w:pPr>
        <w:ind w:right="60"/>
        <w:spacing w:after="0" w:line="261" w:lineRule="auto"/>
        <w:rPr>
          <w:sz w:val="20"/>
          <w:szCs w:val="20"/>
          <w:color w:val="auto"/>
        </w:rPr>
      </w:pPr>
      <w:r>
        <w:rPr>
          <w:rFonts w:ascii="Arial" w:cs="Arial" w:eastAsia="Arial" w:hAnsi="Arial"/>
          <w:sz w:val="18"/>
          <w:szCs w:val="18"/>
          <w:color w:val="auto"/>
        </w:rPr>
        <w:t>commercial expansion in Asia, Europe, Australia or other geographies with significant market opportunity for premium IOLs, leveraging our CE and FDA approvals.</w:t>
      </w:r>
    </w:p>
    <w:p>
      <w:pPr>
        <w:spacing w:after="0" w:line="90"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6"/>
          <w:szCs w:val="16"/>
          <w:color w:val="auto"/>
        </w:rPr>
        <w:t>Our near-term research and development activities are focused on enhancements to the RxSight system to improve the patient and doctor experience, expand the range of patients that can be treated, as well as expand its indications and drive adoption. We believe that over time, our adjustable lens solution can be used to address a broad range of cataract surgery patients, including those that would otherwise elect for a conventional cataract procedure today.</w:t>
      </w:r>
    </w:p>
    <w:p>
      <w:pPr>
        <w:ind w:right="200"/>
        <w:spacing w:after="0" w:line="260" w:lineRule="auto"/>
        <w:rPr>
          <w:sz w:val="20"/>
          <w:szCs w:val="20"/>
          <w:color w:val="auto"/>
        </w:rPr>
      </w:pPr>
      <w:r>
        <w:rPr>
          <w:rFonts w:ascii="Arial" w:cs="Arial" w:eastAsia="Arial" w:hAnsi="Arial"/>
          <w:sz w:val="17"/>
          <w:szCs w:val="17"/>
          <w:color w:val="auto"/>
        </w:rPr>
        <w:t>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105" w:lineRule="exact"/>
        <w:rPr>
          <w:sz w:val="20"/>
          <w:szCs w:val="20"/>
          <w:color w:val="auto"/>
        </w:rPr>
      </w:pPr>
    </w:p>
    <w:p>
      <w:pPr>
        <w:ind w:right="220" w:firstLine="419"/>
        <w:spacing w:after="0" w:line="294" w:lineRule="auto"/>
        <w:rPr>
          <w:sz w:val="20"/>
          <w:szCs w:val="20"/>
          <w:color w:val="auto"/>
        </w:rPr>
      </w:pPr>
      <w:r>
        <w:rPr>
          <w:rFonts w:ascii="Arial" w:cs="Arial" w:eastAsia="Arial" w:hAnsi="Arial"/>
          <w:sz w:val="16"/>
          <w:szCs w:val="16"/>
          <w:color w:val="auto"/>
        </w:rPr>
        <w:t>On July 29, 2021, we completed our IPO, which resulted in the issuance and sale of 8,248,549 shares of common stock, including 898,549 shares sold pursuant to the exercise of the underwriters’ over-allotment option at the IPO price of $16.00 per share. We received net proceeds of approximately $119.6 million from the IPO, after deducting underwriters’ discounts and commissions of $9.2 million and offering costs of $3.2 million.</w:t>
      </w:r>
    </w:p>
    <w:p>
      <w:pPr>
        <w:spacing w:after="0" w:line="80"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Prior to our IPO, our primary sources of capital have been private placements of preferred stock, a structured transaction with a strategic partner, debt financing and revenue from sales of our products. Since inception, we have raised a total of $191.3 million in net proceeds from private placements of preferred stock, $120 million from a strategic partner, approximately $40.0 million in net proceeds from a credit facility, and approximately $11.0 million from issuance of common stock primarily from stock option exercises. As of December 31, 2021, we had cash and cash equivalents of $24.4 million, short-term investments of $135.0 million, long-term debt of $39.8 million and accumulated deficit of $479.3 million. We generated sales of $22.6 million and had a net loss of $48.7 million for the year ended December 31, 2021, compared to sales of $14.7 million and net income of $27.6 million for the year ended December 31, 2020.</w:t>
      </w:r>
    </w:p>
    <w:p>
      <w:pPr>
        <w:spacing w:after="0" w:line="110"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We intend to continue to make significant investments in our sales and marketing organization, primarily sales representatives, clinical applications specialists and technical service personnel to support new customers and upgrades and practice development personnel to facilitate adoption of use of our LALs among existing accounts. We will expand our marketing efforts with additional advertising and customer tools to expand their local advertising. We will also continue to make significant investments in research and development and clinical expenses to make enhancements in our current products. As a public company, we will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 reporting requirements. Because of these and other factors, we expect to continue to incur substantial net losses and negative cash flows from operations for at least the next several years.</w:t>
      </w:r>
    </w:p>
    <w:p>
      <w:pPr>
        <w:spacing w:after="0" w:line="100"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We believe that our existing cash and cash equivalents and short-term investments, will enable us to fund our operating expenses and capital expenditure and meet our term loan covenant requirements for at least the next 12 months from the date of filing of this Annual Report on Form 10-K. We may also seek additional financing opportunistically. We may seek to raise any additional capital by entering into partnerships or through public or private equity offerings or debt financings, credit or loan facilities or a combination of one or more of these funding sources. If we raise additional funds by issuing equity securities, our stockholders may experience dilution.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 agreements</w:t>
      </w:r>
    </w:p>
    <w:p>
      <w:pPr>
        <w:spacing w:after="0" w:line="108" w:lineRule="exact"/>
        <w:rPr>
          <w:sz w:val="20"/>
          <w:szCs w:val="20"/>
          <w:color w:val="auto"/>
        </w:rPr>
      </w:pPr>
    </w:p>
    <w:p>
      <w:pPr>
        <w:ind w:right="240" w:firstLine="374"/>
        <w:spacing w:after="0"/>
        <w:rPr>
          <w:sz w:val="20"/>
          <w:szCs w:val="20"/>
          <w:color w:val="auto"/>
        </w:rPr>
      </w:pPr>
      <w:r>
        <w:rPr>
          <w:rFonts w:ascii="Arial" w:cs="Arial" w:eastAsia="Arial" w:hAnsi="Arial"/>
          <w:sz w:val="18"/>
          <w:szCs w:val="18"/>
          <w:color w:val="auto"/>
        </w:rPr>
        <w:t>We currently lease four facilities housing our headquarters, manufacturing, research and development and administrative offices in Aliso Viejo, California. The facility leases are for approximately 121,000 square feet in the aggregate. The leases terminate, respectively, on (i) September 30, 2024, with one option to extend for five years; (ii) January 31, 2026, with three options to extend for five years each; (iii) March 31, 2023 with two options to extend for five years each; and (iv) August 31, 2024, with one option to extend for five years. See Note 15 - Leases and Note 18 - Subsequent Events in the “Notes to Consolidated Financial Statements” section in our consolidated financial statements included in Part II - Item 8 in this Annual Report on Form 10-K for additional information.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COVID-19 pandemic</w:t>
      </w:r>
    </w:p>
    <w:p>
      <w:pPr>
        <w:spacing w:after="0" w:line="108" w:lineRule="exact"/>
        <w:rPr>
          <w:sz w:val="20"/>
          <w:szCs w:val="20"/>
          <w:color w:val="auto"/>
        </w:rPr>
      </w:pPr>
    </w:p>
    <w:p>
      <w:pPr>
        <w:ind w:right="40" w:firstLine="374"/>
        <w:spacing w:after="0" w:line="252" w:lineRule="auto"/>
        <w:rPr>
          <w:sz w:val="20"/>
          <w:szCs w:val="20"/>
          <w:color w:val="auto"/>
        </w:rPr>
      </w:pPr>
      <w:r>
        <w:rPr>
          <w:rFonts w:ascii="Arial" w:cs="Arial" w:eastAsia="Arial" w:hAnsi="Arial"/>
          <w:sz w:val="17"/>
          <w:szCs w:val="17"/>
          <w:color w:val="auto"/>
        </w:rPr>
        <w:t>We are subject to the continuing risks related to the public health crises, primarily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similar to other medical device manufacturers, by decreasing the number of our products sold. RxSight has a limited commercial history, as all but eight months of commercial history has occurred during the COVID-19 crisis. Total IOL procedure volume dropped 17% in the US and 25% globally from 2019 to 2020 due principally to the COVID-19 pandemic, as health care organizations globally have prioritized the treatment of patients with COVID-19. In the United States, governmental authorities had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while the pandemic continues.</w:t>
      </w:r>
    </w:p>
    <w:p>
      <w:pPr>
        <w:spacing w:after="0" w:line="78" w:lineRule="exact"/>
        <w:rPr>
          <w:sz w:val="20"/>
          <w:szCs w:val="20"/>
          <w:color w:val="auto"/>
        </w:rPr>
      </w:pPr>
    </w:p>
    <w:p>
      <w:pPr>
        <w:ind w:right="80" w:firstLine="374"/>
        <w:spacing w:after="0" w:line="270" w:lineRule="auto"/>
        <w:rPr>
          <w:sz w:val="20"/>
          <w:szCs w:val="20"/>
          <w:color w:val="auto"/>
        </w:rPr>
      </w:pPr>
      <w:r>
        <w:rPr>
          <w:rFonts w:ascii="Arial" w:cs="Arial" w:eastAsia="Arial" w:hAnsi="Arial"/>
          <w:sz w:val="16"/>
          <w:szCs w:val="16"/>
          <w:color w:val="auto"/>
        </w:rPr>
        <w:t>Numerous state and local jurisdictions imposed, and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training and other events, among other effects, thereby negatively impacting our operations. Other disruptions or potential disruptions to our business and supply chain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were significantly reduced in the second quarter of 2021, we continue to experience disruptions to our business, including patients and customers continuing to be cautious in restarting elective procedures in light of the continued risk posed by the virus.</w:t>
      </w:r>
    </w:p>
    <w:p>
      <w:pPr>
        <w:spacing w:after="0" w:line="59"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As we continue to actively advance our clinical, discovery and research programs, we are in close contact with the third parties we engage with, who are primarily located in the United States,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the FDA includes statistical considerations for clinical trials conducted during the COVID-19 public health emergency and post marketing adverse event reporting for medical products during a pandemic. We may need to make further adjustments in the future, including implementation of new policies and procedures.</w:t>
      </w:r>
    </w:p>
    <w:p>
      <w:pPr>
        <w:spacing w:after="0" w:line="73"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our RxSight systems sold after the pandemic has ended.</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Key business metrics</w:t>
      </w:r>
    </w:p>
    <w:p>
      <w:pPr>
        <w:spacing w:after="0" w:line="108" w:lineRule="exact"/>
        <w:rPr>
          <w:sz w:val="20"/>
          <w:szCs w:val="20"/>
          <w:color w:val="auto"/>
        </w:rPr>
      </w:pPr>
    </w:p>
    <w:p>
      <w:pPr>
        <w:ind w:right="20" w:firstLine="374"/>
        <w:spacing w:after="0"/>
        <w:rPr>
          <w:sz w:val="20"/>
          <w:szCs w:val="20"/>
          <w:color w:val="auto"/>
        </w:rPr>
      </w:pPr>
      <w:r>
        <w:rPr>
          <w:rFonts w:ascii="Arial" w:cs="Arial" w:eastAsia="Arial" w:hAnsi="Arial"/>
          <w:sz w:val="18"/>
          <w:szCs w:val="18"/>
          <w:color w:val="auto"/>
        </w:rPr>
        <w:t>We regularly review several operating and financial metrics to evaluate our business, measure our performance, identify trends affecting our business, formulate our business plan and make strategic decisions. We believe the number of LDDs installed, LALs implanted and the number of doctors performing surgery with our products are indicators of our ability to drive adoption and generate revenue. We believe these are important metrics for our business. Due to our limited commercial history, all but eight months of which have occurred during the COVID-19 pandemic, we are not yet able to assess seasonality and other trends, and we will continue to evaluate our business in the future using these and other financial metrics as we observe trends in our business.</w:t>
      </w:r>
    </w:p>
    <w:p>
      <w:pPr>
        <w:spacing w:after="0" w:line="108" w:lineRule="exact"/>
        <w:rPr>
          <w:sz w:val="20"/>
          <w:szCs w:val="20"/>
          <w:color w:val="auto"/>
        </w:rPr>
      </w:pPr>
    </w:p>
    <w:p>
      <w:pPr>
        <w:ind w:right="160" w:firstLine="374"/>
        <w:spacing w:after="0" w:line="261" w:lineRule="auto"/>
        <w:rPr>
          <w:sz w:val="20"/>
          <w:szCs w:val="20"/>
          <w:color w:val="auto"/>
        </w:rPr>
      </w:pPr>
      <w:r>
        <w:rPr>
          <w:rFonts w:ascii="Arial" w:cs="Arial" w:eastAsia="Arial" w:hAnsi="Arial"/>
          <w:sz w:val="18"/>
          <w:szCs w:val="18"/>
          <w:color w:val="auto"/>
        </w:rPr>
        <w:t>We believe the number of LDDs sold in each quarter and our LDD installed base at the end of each period are important metrics as they represent an installed base into which we can sell our LALs.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ind w:left="300"/>
              <w:spacing w:after="0"/>
              <w:rPr>
                <w:sz w:val="20"/>
                <w:szCs w:val="20"/>
                <w:color w:val="auto"/>
              </w:rPr>
            </w:pPr>
            <w:r>
              <w:rPr>
                <w:rFonts w:ascii="Arial" w:cs="Arial" w:eastAsia="Arial" w:hAnsi="Arial"/>
                <w:sz w:val="14"/>
                <w:szCs w:val="14"/>
                <w:b w:val="1"/>
                <w:bCs w:val="1"/>
                <w:color w:val="auto"/>
                <w:w w:val="96"/>
              </w:rPr>
              <w:t>Q1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Q2</w:t>
            </w:r>
          </w:p>
        </w:tc>
        <w:tc>
          <w:tcPr>
            <w:tcW w:w="640" w:type="dxa"/>
            <w:vAlign w:val="bottom"/>
          </w:tcPr>
          <w:p>
            <w:pPr>
              <w:jc w:val="right"/>
              <w:ind w:right="236"/>
              <w:spacing w:after="0"/>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4"/>
                <w:szCs w:val="14"/>
                <w:color w:val="auto"/>
              </w:rPr>
            </w:pPr>
          </w:p>
        </w:tc>
        <w:tc>
          <w:tcPr>
            <w:tcW w:w="500" w:type="dxa"/>
            <w:vAlign w:val="bottom"/>
          </w:tcPr>
          <w:p>
            <w:pPr>
              <w:ind w:left="300"/>
              <w:spacing w:after="0"/>
              <w:rPr>
                <w:sz w:val="20"/>
                <w:szCs w:val="20"/>
                <w:color w:val="auto"/>
              </w:rPr>
            </w:pPr>
            <w:r>
              <w:rPr>
                <w:rFonts w:ascii="Arial" w:cs="Arial" w:eastAsia="Arial" w:hAnsi="Arial"/>
                <w:sz w:val="14"/>
                <w:szCs w:val="14"/>
                <w:b w:val="1"/>
                <w:bCs w:val="1"/>
                <w:color w:val="auto"/>
                <w:w w:val="96"/>
              </w:rPr>
              <w:t>Q4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ind w:left="320"/>
              <w:spacing w:after="0"/>
              <w:rPr>
                <w:sz w:val="20"/>
                <w:szCs w:val="20"/>
                <w:color w:val="auto"/>
              </w:rPr>
            </w:pPr>
            <w:r>
              <w:rPr>
                <w:rFonts w:ascii="Arial" w:cs="Arial" w:eastAsia="Arial" w:hAnsi="Arial"/>
                <w:sz w:val="14"/>
                <w:szCs w:val="14"/>
                <w:b w:val="1"/>
                <w:bCs w:val="1"/>
                <w:color w:val="auto"/>
              </w:rPr>
              <w:t>Q1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320"/>
              <w:spacing w:after="0"/>
              <w:rPr>
                <w:sz w:val="20"/>
                <w:szCs w:val="20"/>
                <w:color w:val="auto"/>
              </w:rPr>
            </w:pPr>
            <w:r>
              <w:rPr>
                <w:rFonts w:ascii="Arial" w:cs="Arial" w:eastAsia="Arial" w:hAnsi="Arial"/>
                <w:sz w:val="14"/>
                <w:szCs w:val="14"/>
                <w:b w:val="1"/>
                <w:bCs w:val="1"/>
                <w:color w:val="auto"/>
              </w:rPr>
              <w:t>Q2</w:t>
            </w:r>
          </w:p>
        </w:tc>
        <w:tc>
          <w:tcPr>
            <w:tcW w:w="640" w:type="dxa"/>
            <w:vAlign w:val="bottom"/>
          </w:tcPr>
          <w:p>
            <w:pPr>
              <w:jc w:val="right"/>
              <w:ind w:right="216"/>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4"/>
                <w:szCs w:val="14"/>
                <w:color w:val="auto"/>
              </w:rPr>
            </w:pPr>
          </w:p>
        </w:tc>
      </w:tr>
      <w:tr>
        <w:trPr>
          <w:trHeight w:val="196"/>
        </w:trPr>
        <w:tc>
          <w:tcPr>
            <w:tcW w:w="28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LDDs Sold</w:t>
            </w:r>
          </w:p>
        </w:tc>
        <w:tc>
          <w:tcPr>
            <w:tcW w:w="16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7"/>
                <w:szCs w:val="17"/>
                <w:color w:val="auto"/>
              </w:rPr>
            </w:pPr>
          </w:p>
        </w:tc>
      </w:tr>
      <w:tr>
        <w:trPr>
          <w:trHeight w:val="203"/>
        </w:trPr>
        <w:tc>
          <w:tcPr>
            <w:tcW w:w="30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Installed Base at End of Period</w:t>
            </w: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105</w:t>
            </w:r>
          </w:p>
        </w:tc>
        <w:tc>
          <w:tcPr>
            <w:tcW w:w="24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206</w:t>
            </w:r>
          </w:p>
        </w:tc>
        <w:tc>
          <w:tcPr>
            <w:tcW w:w="2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tcPr>
          <w:p>
            <w:pPr>
              <w:spacing w:after="0"/>
              <w:rPr>
                <w:sz w:val="17"/>
                <w:szCs w:val="17"/>
                <w:color w:val="auto"/>
              </w:rPr>
            </w:pPr>
          </w:p>
        </w:tc>
      </w:tr>
    </w:tbl>
    <w:p>
      <w:pPr>
        <w:spacing w:after="0" w:line="149"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4"/>
          <w:szCs w:val="14"/>
          <w:color w:val="auto"/>
        </w:rPr>
      </w:pPr>
      <w:r>
        <w:rPr>
          <w:rFonts w:ascii="Arial" w:cs="Arial" w:eastAsia="Arial" w:hAnsi="Arial"/>
          <w:sz w:val="15"/>
          <w:szCs w:val="15"/>
          <w:color w:val="auto"/>
        </w:rPr>
        <w:t>One LDD converted from clinical to commercial use in Q3 2020.</w:t>
      </w:r>
    </w:p>
    <w:p>
      <w:pPr>
        <w:spacing w:after="0" w:line="150" w:lineRule="exact"/>
        <w:rPr>
          <w:sz w:val="20"/>
          <w:szCs w:val="20"/>
          <w:color w:val="auto"/>
        </w:rPr>
      </w:pPr>
    </w:p>
    <w:p>
      <w:pPr>
        <w:ind w:right="20" w:firstLine="374"/>
        <w:spacing w:after="0" w:line="253" w:lineRule="auto"/>
        <w:rPr>
          <w:sz w:val="20"/>
          <w:szCs w:val="20"/>
          <w:color w:val="auto"/>
        </w:rPr>
      </w:pPr>
      <w:r>
        <w:rPr>
          <w:rFonts w:ascii="Arial" w:cs="Arial" w:eastAsia="Arial" w:hAnsi="Arial"/>
          <w:sz w:val="17"/>
          <w:szCs w:val="17"/>
          <w:color w:val="auto"/>
        </w:rPr>
        <w:t>We believe the number of LALs sold (reported as implanted in a patient) in each quarter is an important metric indicative of adoption and utilization of our RxSight system. While an important metric, the COVID-19 pandemic and severe weather periodically impacted trends in our business. In the second quarter of 2020, the number of our LALs sold decreased as compared to the first quarter of 2020 as ambulatory surgery centers (ASCs), where most cataract surgeries are performed, were closed for elective surgeries for six or more weeks. In the third quarter 2020, LALs sold increased as compared to the second quarter of 2020, reflecting, we believe, some resurgence of surgeries when ASCs re-opened, with sales of LALs in the fourth quarter of 2020 continuing to increase sequentially, despite seasonal holidays. During the first quarter of 2021, however, the U.S. saw a resurgence in COVID-19 cases attributed to holiday travel and gatherings and severe weather in Texas and other southern states, resulting in reduced LAL sales for such period. During 2021, we saw increased LDD sales of 41 and increased LAL sales of 3,857 from strong adoption of our RxSight technology by practices and doctors combined with an increased LDD installed base.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17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Q1</w:t>
            </w: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Q3</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Q4</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Q1</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r>
      <w:tr>
        <w:trPr>
          <w:trHeight w:val="196"/>
        </w:trPr>
        <w:tc>
          <w:tcPr>
            <w:tcW w:w="1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LALs Sold</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1,567</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1,825</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1,977</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2,959</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719</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1,513</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1,577</w:t>
            </w:r>
          </w:p>
        </w:tc>
        <w:tc>
          <w:tcPr>
            <w:tcW w:w="60" w:type="dxa"/>
            <w:vAlign w:val="bottom"/>
            <w:shd w:val="clear" w:color="auto" w:fill="CFF0FC"/>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Our sales consists of the sale of LALs used in cataract surgeries, the LDDs for delivering light to the LALs to adjust the lens post-surgery, as needed, and service and accessories. Revenue is derived from sales of products primarily in the U.S. and sales to a single customer in each of Germany and Mexico.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92" w:lineRule="exact"/>
        <w:rPr>
          <w:sz w:val="20"/>
          <w:szCs w:val="20"/>
          <w:color w:val="auto"/>
        </w:rPr>
      </w:pPr>
    </w:p>
    <w:p>
      <w:pPr>
        <w:ind w:right="200" w:firstLine="374"/>
        <w:spacing w:after="0" w:line="261"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is recognized for LALs upon customer notification that the LALs have been implanted in a patient.</w:t>
      </w:r>
    </w:p>
    <w:p>
      <w:pPr>
        <w:spacing w:after="0" w:line="90"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As of December 31, 2021, the Company recorded contract liabilities of $540,000 related to such service agreements and $345,000 as of December 31, 2020. Revenue for such service agreements will be recognized over the term of each contract.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5" w:name="page106"/>
    <w:bookmarkEnd w:id="105"/>
    <w:p>
      <w:pPr>
        <w:ind w:left="380"/>
        <w:spacing w:after="0"/>
        <w:rPr>
          <w:sz w:val="20"/>
          <w:szCs w:val="20"/>
          <w:color w:val="auto"/>
        </w:rPr>
      </w:pPr>
      <w:r>
        <w:rPr>
          <w:rFonts w:ascii="Arial" w:cs="Arial" w:eastAsia="Arial" w:hAnsi="Arial"/>
          <w:sz w:val="18"/>
          <w:szCs w:val="18"/>
          <w:color w:val="auto"/>
        </w:rPr>
        <w:t>For the year ended December 31, 2021 and 2020, revenue from contracts with customers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1420" w:type="dxa"/>
            <w:vAlign w:val="bottom"/>
            <w:vMerge w:val="restart"/>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LDD (including training)</w:t>
            </w:r>
          </w:p>
        </w:tc>
        <w:tc>
          <w:tcPr>
            <w:tcW w:w="1440" w:type="dxa"/>
            <w:vAlign w:val="bottom"/>
            <w:shd w:val="clear" w:color="auto" w:fill="CFF0FC"/>
          </w:tcPr>
          <w:p>
            <w:pPr>
              <w:jc w:val="right"/>
              <w:ind w:right="1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13,774</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10,159</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LAL</w:t>
            </w:r>
          </w:p>
        </w:tc>
        <w:tc>
          <w:tcPr>
            <w:tcW w:w="1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8,163</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4,256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Service warranty, service contracts, and</w:t>
            </w:r>
          </w:p>
        </w:tc>
        <w:tc>
          <w:tcPr>
            <w:tcW w:w="144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accessories</w:t>
            </w:r>
          </w:p>
        </w:tc>
        <w:tc>
          <w:tcPr>
            <w:tcW w:w="1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440" w:type="dxa"/>
            <w:vAlign w:val="bottom"/>
          </w:tcPr>
          <w:p>
            <w:pPr>
              <w:jc w:val="right"/>
              <w:ind w:right="1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22,593</w:t>
            </w:r>
          </w:p>
        </w:tc>
        <w:tc>
          <w:tcPr>
            <w:tcW w:w="1200" w:type="dxa"/>
            <w:vAlign w:val="bottom"/>
            <w:gridSpan w:val="2"/>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14,678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-159385</wp:posOffset>
            </wp:positionV>
            <wp:extent cx="514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-159385</wp:posOffset>
            </wp:positionV>
            <wp:extent cx="431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right="760" w:firstLine="374"/>
        <w:spacing w:after="0" w:line="261" w:lineRule="auto"/>
        <w:rPr>
          <w:sz w:val="20"/>
          <w:szCs w:val="20"/>
          <w:color w:val="auto"/>
        </w:rPr>
      </w:pPr>
      <w:r>
        <w:rPr>
          <w:rFonts w:ascii="Arial" w:cs="Arial" w:eastAsia="Arial" w:hAnsi="Arial"/>
          <w:sz w:val="18"/>
          <w:szCs w:val="18"/>
          <w:color w:val="auto"/>
        </w:rPr>
        <w:t>For the year ended December 31, 2021, we had no customers who individually accounted for more than 10% of revenue. For the year ended December 31, 2020, we had one customer who individually accounted for approximately 27% of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Cost of sales consists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106" w:lineRule="exact"/>
        <w:rPr>
          <w:sz w:val="20"/>
          <w:szCs w:val="20"/>
          <w:color w:val="auto"/>
        </w:rPr>
      </w:pPr>
    </w:p>
    <w:p>
      <w:pPr>
        <w:ind w:right="240" w:firstLine="374"/>
        <w:spacing w:after="0" w:line="243" w:lineRule="auto"/>
        <w:rPr>
          <w:sz w:val="20"/>
          <w:szCs w:val="20"/>
          <w:color w:val="auto"/>
        </w:rPr>
      </w:pPr>
      <w:r>
        <w:rPr>
          <w:rFonts w:ascii="Arial" w:cs="Arial" w:eastAsia="Arial" w:hAnsi="Arial"/>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120"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Our LDD, as is typical of many medical device capital equipment products, has a low gross margin, as the material cost of the LDD is significant, representing close to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right="40" w:firstLine="374"/>
        <w:spacing w:after="0" w:line="238" w:lineRule="auto"/>
        <w:rPr>
          <w:sz w:val="20"/>
          <w:szCs w:val="20"/>
          <w:color w:val="auto"/>
        </w:rPr>
      </w:pPr>
      <w:r>
        <w:rPr>
          <w:rFonts w:ascii="Arial" w:cs="Arial" w:eastAsia="Arial" w:hAnsi="Arial"/>
          <w:sz w:val="18"/>
          <w:szCs w:val="18"/>
          <w:color w:val="auto"/>
        </w:rPr>
        <w:t>Selling, general and administrative, or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6" w:name="page107"/>
    <w:bookmarkEnd w:id="106"/>
    <w:p>
      <w:pPr>
        <w:jc w:val="both"/>
        <w:ind w:right="140"/>
        <w:spacing w:after="0" w:line="243" w:lineRule="auto"/>
        <w:rPr>
          <w:sz w:val="20"/>
          <w:szCs w:val="20"/>
          <w:color w:val="auto"/>
        </w:rPr>
      </w:pPr>
      <w:r>
        <w:rPr>
          <w:rFonts w:ascii="Arial" w:cs="Arial" w:eastAsia="Arial" w:hAnsi="Arial"/>
          <w:sz w:val="18"/>
          <w:szCs w:val="18"/>
          <w:color w:val="auto"/>
        </w:rPr>
        <w:t>capitalizable value, fees paid to consultants and contract clinical organizations and direct FDA related costs and costs related to FDA premarket approval submission preparation. Research and development expenses are expensed as incurred. We expect R&amp;D expenses as a percentage of revenue to vary over time depending on the level and timing of our new product development efforts, as well as our clinical development, clinical trials and registries and other related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144" w:lineRule="exact"/>
        <w:rPr>
          <w:sz w:val="20"/>
          <w:szCs w:val="20"/>
          <w:color w:val="auto"/>
        </w:rPr>
      </w:pPr>
    </w:p>
    <w:p>
      <w:pPr>
        <w:ind w:right="140" w:firstLine="374"/>
        <w:spacing w:after="0" w:line="294" w:lineRule="auto"/>
        <w:rPr>
          <w:sz w:val="20"/>
          <w:szCs w:val="20"/>
          <w:color w:val="auto"/>
        </w:rPr>
      </w:pPr>
      <w:r>
        <w:rPr>
          <w:rFonts w:ascii="Arial" w:cs="Arial" w:eastAsia="Arial" w:hAnsi="Arial"/>
          <w:sz w:val="16"/>
          <w:szCs w:val="16"/>
          <w:color w:val="auto"/>
        </w:rPr>
        <w:t>Change in fair value of warrants consists of gains and losses resulting from the remeasurement of the fair value of our preferred stock warrant liabilities at each balance sheet date. We continued to record adjustments to the estimated fair value of the preferred stock warrants until the conversion of the underlying convertible preferred stock into common stock which occurred immediately prior to the completion of our IPO in July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520" w:firstLine="374"/>
        <w:spacing w:after="0" w:line="261"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other income, net consists primarily of interest income earned on our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preferred stock options</w:t>
      </w:r>
    </w:p>
    <w:p>
      <w:pPr>
        <w:spacing w:after="0" w:line="104" w:lineRule="exact"/>
        <w:rPr>
          <w:sz w:val="20"/>
          <w:szCs w:val="20"/>
          <w:color w:val="auto"/>
        </w:rPr>
      </w:pPr>
    </w:p>
    <w:p>
      <w:pPr>
        <w:ind w:right="20" w:firstLine="374"/>
        <w:spacing w:after="0"/>
        <w:rPr>
          <w:sz w:val="20"/>
          <w:szCs w:val="20"/>
          <w:color w:val="auto"/>
        </w:rPr>
      </w:pPr>
      <w:r>
        <w:rPr>
          <w:rFonts w:ascii="Arial" w:cs="Arial" w:eastAsia="Arial" w:hAnsi="Arial"/>
          <w:sz w:val="18"/>
          <w:szCs w:val="18"/>
          <w:color w:val="auto"/>
        </w:rPr>
        <w:t>Due to the Special Redemption provision in place in our Articles of Incorporation and until the unexercised Series W Warrant expiration on March 31, 2021, all equity instruments were redeemable and evaluated as probable of redemption through early December 2020. No accretion was calculated during the year ended December 31, 2021. For common and preferred stock, the value of the accretion was calculated as the estimated future redemption amount accreted to the estimated redemption date using the effective interest rate. For stock options the value of accretion was calculated at the estimated future redemption amount less the strike price, recognized over the same period as the corresponding service period for which stock-based compensation is recognized.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redeemable preferred stock</w:t>
      </w:r>
    </w:p>
    <w:p>
      <w:pPr>
        <w:spacing w:after="0" w:line="10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Prior to our IPO in July 2021, the Company had two classes of common stock and participating securities, which include convertible preferred stock. The Company’s participating securities did not have a contractual obligation to share in the Company’s losses. Basic and diluted net income (loss) per share attributable to common stockholders is presented in conformity with the two-class method required for participating securities. In periods of net income, after adjusting for accretion and dividends, net income is attributed to both common stockholders and participating security holders, as if all of the earnings for the period had been distributed. Diluted earnings per share under the two-class method is calculated using the more dilutive of the treasury stock or the two-class method.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 income</w:t>
      </w:r>
    </w:p>
    <w:p>
      <w:pPr>
        <w:spacing w:after="0" w:line="104" w:lineRule="exact"/>
        <w:rPr>
          <w:sz w:val="20"/>
          <w:szCs w:val="20"/>
          <w:color w:val="auto"/>
        </w:rPr>
      </w:pPr>
    </w:p>
    <w:p>
      <w:pPr>
        <w:ind w:right="100" w:firstLine="374"/>
        <w:spacing w:after="0" w:line="294" w:lineRule="auto"/>
        <w:rPr>
          <w:sz w:val="20"/>
          <w:szCs w:val="20"/>
          <w:color w:val="auto"/>
        </w:rPr>
      </w:pPr>
      <w:r>
        <w:rPr>
          <w:rFonts w:ascii="Arial" w:cs="Arial" w:eastAsia="Arial" w:hAnsi="Arial"/>
          <w:sz w:val="16"/>
          <w:szCs w:val="16"/>
          <w:color w:val="auto"/>
        </w:rPr>
        <w:t>All components of comprehensive income, including net income (loss), are reported in the consolidated financial statements in the period in which they are recognized. Comprehensive income (loss) is defined as the change in equity during a period from transactions and other events and circumstances from non-owner sources, including unrealized gains and losses on short-term investments and foreign currency translation adjustments.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04" w:lineRule="exact"/>
        <w:rPr>
          <w:sz w:val="20"/>
          <w:szCs w:val="20"/>
          <w:color w:val="auto"/>
        </w:rPr>
      </w:pPr>
    </w:p>
    <w:p>
      <w:pPr>
        <w:ind w:right="560" w:firstLine="374"/>
        <w:spacing w:after="0" w:line="261" w:lineRule="auto"/>
        <w:rPr>
          <w:sz w:val="20"/>
          <w:szCs w:val="20"/>
          <w:color w:val="auto"/>
        </w:rPr>
      </w:pPr>
      <w:r>
        <w:rPr>
          <w:rFonts w:ascii="Arial" w:cs="Arial" w:eastAsia="Arial" w:hAnsi="Arial"/>
          <w:sz w:val="18"/>
          <w:szCs w:val="18"/>
          <w:color w:val="auto"/>
        </w:rPr>
        <w:t>The following table summarizes our results of operations for the years ended December 31, 2021 and 2020, together with the dollar increase or decrease and percentage change in those items: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4"/>
              </w:rPr>
              <w:t>(in thousands, except share amounts, per-share data and</w:t>
            </w:r>
          </w:p>
        </w:tc>
        <w:tc>
          <w:tcPr>
            <w:tcW w:w="320" w:type="dxa"/>
            <w:vAlign w:val="bottom"/>
          </w:tcPr>
          <w:p>
            <w:pPr>
              <w:spacing w:after="0"/>
              <w:rPr>
                <w:sz w:val="19"/>
                <w:szCs w:val="19"/>
                <w:color w:val="auto"/>
              </w:rPr>
            </w:pPr>
          </w:p>
        </w:tc>
        <w:tc>
          <w:tcPr>
            <w:tcW w:w="308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19"/>
                <w:szCs w:val="19"/>
                <w:color w:val="auto"/>
              </w:rPr>
            </w:pPr>
          </w:p>
        </w:tc>
        <w:tc>
          <w:tcPr>
            <w:tcW w:w="156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percentages)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Sales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22,593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14,678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7,915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53.9</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18,076</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12,973</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4,517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2,812</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164.9</w:t>
            </w:r>
          </w:p>
        </w:tc>
        <w:tc>
          <w:tcPr>
            <w:tcW w:w="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32,805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15,176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17,629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116.2</w:t>
            </w: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24,499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21,934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2,565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sale of equipment</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(7 )</w:t>
            </w:r>
          </w:p>
        </w:tc>
        <w:tc>
          <w:tcPr>
            <w:tcW w:w="2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96"/>
        </w:trPr>
        <w:tc>
          <w:tcPr>
            <w:tcW w:w="4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57,304</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37,117</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20,187</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w:t>
            </w:r>
          </w:p>
        </w:tc>
        <w:tc>
          <w:tcPr>
            <w:tcW w:w="3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(52,787</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(35,412</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(17,375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warrants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63,011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(60,294 )</w:t>
            </w:r>
          </w:p>
        </w:tc>
        <w:tc>
          <w:tcPr>
            <w:tcW w:w="2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(95.7 )</w:t>
            </w: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Expiration of warrants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5,018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5,018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(3,682 )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(510 )</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(3,172 )</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621.9</w:t>
            </w: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(489 )</w:t>
            </w:r>
          </w:p>
        </w:tc>
        <w:tc>
          <w:tcPr>
            <w:tcW w:w="260" w:type="dxa"/>
            <w:vAlign w:val="bottom"/>
          </w:tcPr>
          <w:p>
            <w:pPr>
              <w:spacing w:after="0"/>
              <w:rPr>
                <w:sz w:val="17"/>
                <w:szCs w:val="17"/>
                <w:color w:val="auto"/>
              </w:rPr>
            </w:pP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(90.1 )</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4,107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63,044</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(58,937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(93.5</w:t>
            </w:r>
          </w:p>
        </w:tc>
        <w:tc>
          <w:tcPr>
            <w:tcW w:w="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320" w:type="dxa"/>
            <w:vAlign w:val="bottom"/>
          </w:tcPr>
          <w:p>
            <w:pPr>
              <w:spacing w:after="0"/>
              <w:rPr>
                <w:sz w:val="17"/>
                <w:szCs w:val="17"/>
                <w:color w:val="auto"/>
              </w:rPr>
            </w:pP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(48,680 )</w:t>
            </w: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27,632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(76,312 )</w:t>
            </w:r>
          </w:p>
        </w:tc>
        <w:tc>
          <w:tcPr>
            <w:tcW w:w="260" w:type="dxa"/>
            <w:vAlign w:val="bottom"/>
          </w:tcPr>
          <w:p>
            <w:pPr>
              <w:spacing w:after="0"/>
              <w:rPr>
                <w:sz w:val="17"/>
                <w:szCs w:val="17"/>
                <w:color w:val="auto"/>
              </w:rPr>
            </w:pPr>
          </w:p>
        </w:tc>
        <w:tc>
          <w:tcPr>
            <w:tcW w:w="12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(276.2 )</w:t>
            </w: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(86.8</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(48,688 )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27,575</w:t>
            </w:r>
          </w:p>
        </w:tc>
        <w:tc>
          <w:tcPr>
            <w:tcW w:w="2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(76,263 )</w:t>
            </w:r>
          </w:p>
        </w:tc>
        <w:tc>
          <w:tcPr>
            <w:tcW w:w="260" w:type="dxa"/>
            <w:vAlign w:val="bottom"/>
          </w:tcPr>
          <w:p>
            <w:pPr>
              <w:spacing w:after="0"/>
              <w:rPr>
                <w:sz w:val="17"/>
                <w:szCs w:val="17"/>
                <w:color w:val="auto"/>
              </w:rPr>
            </w:pP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(276.6 )%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Accretion to redemption value of redeemable</w:t>
            </w:r>
          </w:p>
        </w:tc>
        <w:tc>
          <w:tcPr>
            <w:tcW w:w="3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8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(24,209 )</w:t>
            </w:r>
          </w:p>
        </w:tc>
        <w:tc>
          <w:tcPr>
            <w:tcW w:w="3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24,209</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preferred stock and redeemable stock options</w:t>
            </w:r>
          </w:p>
        </w:tc>
        <w:tc>
          <w:tcPr>
            <w:tcW w:w="32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Net (loss) income attributable to common stockholders</w:t>
            </w:r>
          </w:p>
        </w:tc>
        <w:tc>
          <w:tcPr>
            <w:tcW w:w="320" w:type="dxa"/>
            <w:vAlign w:val="bottom"/>
          </w:tcPr>
          <w:p>
            <w:pPr>
              <w:spacing w:after="0"/>
              <w:rPr>
                <w:sz w:val="17"/>
                <w:szCs w:val="17"/>
                <w:color w:val="auto"/>
              </w:rPr>
            </w:pP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(48,688 )</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3,366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(52,054 )</w:t>
            </w:r>
          </w:p>
        </w:tc>
        <w:tc>
          <w:tcPr>
            <w:tcW w:w="260" w:type="dxa"/>
            <w:vAlign w:val="bottom"/>
          </w:tcPr>
          <w:p>
            <w:pPr>
              <w:spacing w:after="0"/>
              <w:rPr>
                <w:sz w:val="17"/>
                <w:szCs w:val="17"/>
                <w:color w:val="auto"/>
              </w:rPr>
            </w:pP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(1,546.3 )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(loss) income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short-term investments</w:t>
            </w:r>
          </w:p>
        </w:tc>
        <w:tc>
          <w:tcPr>
            <w:tcW w:w="320" w:type="dxa"/>
            <w:vAlign w:val="bottom"/>
          </w:tcPr>
          <w:p>
            <w:pPr>
              <w:spacing w:after="0"/>
              <w:rPr>
                <w:sz w:val="17"/>
                <w:szCs w:val="17"/>
                <w:color w:val="auto"/>
              </w:rPr>
            </w:pP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(7 )</w:t>
            </w:r>
          </w:p>
        </w:tc>
        <w:tc>
          <w:tcPr>
            <w:tcW w:w="320" w:type="dxa"/>
            <w:vAlign w:val="bottom"/>
          </w:tcPr>
          <w:p>
            <w:pPr>
              <w:spacing w:after="0"/>
              <w:rPr>
                <w:sz w:val="17"/>
                <w:szCs w:val="17"/>
                <w:color w:val="auto"/>
              </w:rPr>
            </w:pP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(49 )</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(85.6 )</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loss</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(10 )</w:t>
            </w:r>
          </w:p>
        </w:tc>
        <w:tc>
          <w:tcPr>
            <w:tcW w:w="2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(loss) income</w:t>
            </w:r>
          </w:p>
        </w:tc>
        <w:tc>
          <w:tcPr>
            <w:tcW w:w="320" w:type="dxa"/>
            <w:vAlign w:val="bottom"/>
          </w:tcPr>
          <w:p>
            <w:pPr>
              <w:spacing w:after="0"/>
              <w:rPr>
                <w:sz w:val="17"/>
                <w:szCs w:val="17"/>
                <w:color w:val="auto"/>
              </w:rPr>
            </w:pP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(17 )</w:t>
            </w:r>
          </w:p>
        </w:tc>
        <w:tc>
          <w:tcPr>
            <w:tcW w:w="320" w:type="dxa"/>
            <w:vAlign w:val="bottom"/>
          </w:tcPr>
          <w:p>
            <w:pPr>
              <w:spacing w:after="0"/>
              <w:rPr>
                <w:sz w:val="17"/>
                <w:szCs w:val="17"/>
                <w:color w:val="auto"/>
              </w:rPr>
            </w:pP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(49 )</w:t>
            </w:r>
          </w:p>
        </w:tc>
        <w:tc>
          <w:tcPr>
            <w:tcW w:w="3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(65.9 )</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 income</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(48,705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27,526</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(76,231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(276.9</w:t>
            </w:r>
          </w:p>
        </w:tc>
        <w:tc>
          <w:tcPr>
            <w:tcW w:w="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-3039745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-3039745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-3039745</wp:posOffset>
            </wp:positionV>
            <wp:extent cx="603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-3039745</wp:posOffset>
            </wp:positionV>
            <wp:extent cx="22288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-2516505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-2516505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-2516505</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-2516505</wp:posOffset>
            </wp:positionV>
            <wp:extent cx="22288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-1462405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-1462405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-1462405</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-1462405</wp:posOffset>
            </wp:positionV>
            <wp:extent cx="22288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-296545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-296545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-296545</wp:posOffset>
            </wp:positionV>
            <wp:extent cx="6032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-296545</wp:posOffset>
            </wp:positionV>
            <wp:extent cx="22288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2228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-8255</wp:posOffset>
            </wp:positionV>
            <wp:extent cx="2228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Sales increased by $7.9 million to $22.6 million for the year ended December 31, 2021 from $14.7 million for the year ended December 31, 2020. The increase in sales was due to sales of 41 more LDDs and 3,857 more LALs.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180" w:firstLine="374"/>
        <w:spacing w:after="0" w:line="262" w:lineRule="auto"/>
        <w:rPr>
          <w:sz w:val="20"/>
          <w:szCs w:val="20"/>
          <w:color w:val="auto"/>
        </w:rPr>
      </w:pPr>
      <w:r>
        <w:rPr>
          <w:rFonts w:ascii="Arial" w:cs="Arial" w:eastAsia="Arial" w:hAnsi="Arial"/>
          <w:sz w:val="17"/>
          <w:szCs w:val="17"/>
          <w:color w:val="auto"/>
        </w:rPr>
        <w:t>Cost of sales increased by $5.1 million, or 39.3%, to $18.1 million for the year ended December 31, 2021 from $13.0 million for the year ended December 31, 2020 due to the increase in the number of products sold and by the recording of a $2.4 million reserve for excess LAL inventory as a result of the recent introduction of an updated LAL including our ActivShield technology. Gross margin increased to 20.0% in the year ended December 31, 2021 from 11.6% due to improved operating leverage on a higher volume of units sold.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360" w:firstLine="374"/>
        <w:spacing w:after="0" w:line="261" w:lineRule="auto"/>
        <w:rPr>
          <w:sz w:val="20"/>
          <w:szCs w:val="20"/>
          <w:color w:val="auto"/>
        </w:rPr>
      </w:pPr>
      <w:r>
        <w:rPr>
          <w:rFonts w:ascii="Arial" w:cs="Arial" w:eastAsia="Arial" w:hAnsi="Arial"/>
          <w:sz w:val="18"/>
          <w:szCs w:val="18"/>
          <w:color w:val="auto"/>
        </w:rPr>
        <w:t>Selling, general and administrative expenses increased by $17.6 million, or 116.2%, to $32.8 million for the year ended December 31, 2021, from $15.2 million for the year ended December 31, 2020. This increase was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8" w:name="page109"/>
    <w:bookmarkEnd w:id="108"/>
    <w:p>
      <w:pPr>
        <w:ind w:right="100"/>
        <w:spacing w:after="0"/>
        <w:rPr>
          <w:sz w:val="20"/>
          <w:szCs w:val="20"/>
          <w:color w:val="auto"/>
        </w:rPr>
      </w:pPr>
      <w:r>
        <w:rPr>
          <w:rFonts w:ascii="Arial" w:cs="Arial" w:eastAsia="Arial" w:hAnsi="Arial"/>
          <w:sz w:val="18"/>
          <w:szCs w:val="18"/>
          <w:color w:val="auto"/>
        </w:rPr>
        <w:t>primarily attributable to an increase in selling and marketing personnel costs of $9.3 million due mainly to additional headcount as well as increased travel costs of $1.0 million and increased trade show costs of $0.7 million when compared to the year ended December 31, 2020, due to temporary reduction in travel costs caused by COVID-19 for the year ended December 31, 2020. General and administrative personnel expenses increased by $6.6 million due primarily to $2.4 million of increased costs related to operating as a public company, and $3.6 million related to increased headcount, reinstatement of incentive bonuses and increased stock-based compensation. Selling, general and administrative expenses reflected temporary reductions in salaries that were in place for the year ended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jc w:val="both"/>
        <w:ind w:right="60" w:firstLine="374"/>
        <w:spacing w:after="0" w:line="294" w:lineRule="auto"/>
        <w:rPr>
          <w:sz w:val="20"/>
          <w:szCs w:val="20"/>
          <w:color w:val="auto"/>
        </w:rPr>
      </w:pPr>
      <w:r>
        <w:rPr>
          <w:rFonts w:ascii="Arial" w:cs="Arial" w:eastAsia="Arial" w:hAnsi="Arial"/>
          <w:sz w:val="16"/>
          <w:szCs w:val="16"/>
          <w:color w:val="auto"/>
        </w:rPr>
        <w:t>Research and development expenses increased by $2.6 million to $24.5 million for the year ended December 31, 2021 from $21.9 million for the year ended December 31, 2020, an increase of 11.7%. This increase was primarily attributable to an increase of $2.4 million in personnel costs due primarily to increased personnel headcount and reinstatement of incentive bonuses and an increase in stock-based compensation expense of $0.7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equipment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sales of equipment was $0 for the year ended December 31, 2021 as compared to $7.0 thousand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Other income, net, decreased by $58.9 million to $4.1 million for the year ended December 31, 2021 from $63.0 million for the year ended December 31, 2020 primarily due to the revaluation of the fair value of warrant liabilities of $63.0 million for the year ended December 31, 2020, and for the year ended December 31, 2021, an increase of interest expense of $3.2 million from increased borrowings partially offset by a gain on expiration of preferred stock warrants classified as liabilities of $5.0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redeemable stock options</w:t>
      </w:r>
    </w:p>
    <w:p>
      <w:pPr>
        <w:spacing w:after="0" w:line="104"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No accretion to redemption value of redeemable preferred stock and redeemable stock options was recorded during the year ended December 31, 2021 due the determination that the redemption of these equity instruments was no longer probable in December 2020 when accretion ceased and the expiration of the Common W warrant on March 31, 2021. Accretion to redemption value of redeemable preferred stock and redeemable stock options was $24.2 million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04" w:lineRule="exact"/>
        <w:rPr>
          <w:sz w:val="20"/>
          <w:szCs w:val="20"/>
          <w:color w:val="auto"/>
        </w:rPr>
      </w:pPr>
    </w:p>
    <w:p>
      <w:pPr>
        <w:ind w:right="540" w:firstLine="374"/>
        <w:spacing w:after="0" w:line="324" w:lineRule="auto"/>
        <w:rPr>
          <w:sz w:val="20"/>
          <w:szCs w:val="20"/>
          <w:color w:val="auto"/>
        </w:rPr>
      </w:pPr>
      <w:r>
        <w:rPr>
          <w:rFonts w:ascii="Arial" w:cs="Arial" w:eastAsia="Arial" w:hAnsi="Arial"/>
          <w:sz w:val="16"/>
          <w:szCs w:val="16"/>
          <w:color w:val="auto"/>
        </w:rPr>
        <w:t>Other comprehensive loss decreased by $32.0 thousand to a loss of $17.0 thousand for the year ended December 31, 2021 from a loss of $49.0 thousand for the year ended December 31, 2020 due primarily to a decrease of $42.0 thousand in unrealized loss on short-term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60" w:firstLine="374"/>
        <w:spacing w:after="0" w:line="284" w:lineRule="auto"/>
        <w:rPr>
          <w:sz w:val="20"/>
          <w:szCs w:val="20"/>
          <w:color w:val="auto"/>
        </w:rPr>
      </w:pPr>
      <w:r>
        <w:rPr>
          <w:rFonts w:ascii="Arial" w:cs="Arial" w:eastAsia="Arial" w:hAnsi="Arial"/>
          <w:sz w:val="16"/>
          <w:szCs w:val="16"/>
          <w:color w:val="auto"/>
        </w:rPr>
        <w:t>We have incurred significant operating losses and negative cash flows from operations since our inception, and we anticipate that we will incur significant losses for at least the next several years. As of December 31, 2021, we had cash, cash equivalents and short-term investments of $159.3 million. For the years ended December 31, 2021 and 2020, our net losses from operations were $52.8 and $35.4 million, respectively, and our net cash used in operating activities was $44.7 million and $35.2, respectively. We had an accumulated deficit of $479.3 million as of December 31, 2021.</w:t>
      </w:r>
    </w:p>
    <w:p>
      <w:pPr>
        <w:spacing w:after="0" w:line="47"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Prior to our IPO, which we completed in July 2021, our primary sources of capital were private placements of preferred stock, a structured transaction with a strategic partner, debt financing and from sales of our products.</w:t>
      </w:r>
    </w:p>
    <w:p>
      <w:pPr>
        <w:spacing w:after="0" w:line="15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On July 29, 2021, the Company completed its IPO through an underwritten sale of 7,350,000 shares of its common stock at a price of $16.00 per share. The aggregate net proceeds from the offering, inclusive of an additional 898,549 common shares sold upon the partial exercise of the underwriters’ over-allotment option, after deducting</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9" w:name="page110"/>
    <w:bookmarkEnd w:id="109"/>
    <w:p>
      <w:pPr>
        <w:ind w:right="160"/>
        <w:spacing w:after="0" w:line="243" w:lineRule="auto"/>
        <w:rPr>
          <w:sz w:val="20"/>
          <w:szCs w:val="20"/>
          <w:color w:val="auto"/>
        </w:rPr>
      </w:pPr>
      <w:r>
        <w:rPr>
          <w:rFonts w:ascii="Arial" w:cs="Arial" w:eastAsia="Arial" w:hAnsi="Arial"/>
          <w:sz w:val="18"/>
          <w:szCs w:val="18"/>
          <w:color w:val="auto"/>
        </w:rPr>
        <w:t>underwriting discounts and commissions and other offering expenses, were approximately $120.0 million. On July 29, 2021, the Company restated its certificate of incorporation and bylaws which provide for, among other things, the Company’s authorized capital stock to consist of 900,000,000 shares of common stock, par value $0.001 per share, and 100,000,000 shares of convertible preferred stock, par value $0.001 per share. The restated certificate define the voting rights, dividends, liquidation, rights and preferences of each class of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131" w:lineRule="exact"/>
        <w:rPr>
          <w:sz w:val="20"/>
          <w:szCs w:val="20"/>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revenue growth;</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raise additional funds to finance our operations;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30"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114"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debt service requirements;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and finance lease payments for our facilities;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Based on our current planned operations, we expect that our current cash, cash equivalents and short-term investments will be sufficient to fund our operations for the next 12 months after the date our most recent financial statements were issued. Our ability to continue as a going concern is dependent upon our ability to successfully secure sources of financing from equity or debt securities, loans or collaborative agreements and ultimately achieve profitable operations. In the long-term it is likely we will require additional financing from debt or equity to satisfy our liquidity requirements, fund working capital and pay our obligations. There can be no assurance that we will be successful in acquiring additional funding at levels sufficient to fund our operations or on terms favorable to us, if at all. If adequate funds are not available on acceptable terms when needed, we may be required to significantly reduce operating activities, which may have a material adverse effect on our business and/or results of operations and financial condition. If we do raise additional capital through public or private equity or convertible debt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99" w:lineRule="exact"/>
        <w:rPr>
          <w:sz w:val="20"/>
          <w:szCs w:val="20"/>
          <w:color w:val="auto"/>
        </w:rPr>
      </w:pPr>
    </w:p>
    <w:p>
      <w:pPr>
        <w:ind w:right="260" w:firstLine="374"/>
        <w:spacing w:after="0" w:line="261" w:lineRule="auto"/>
        <w:rPr>
          <w:sz w:val="20"/>
          <w:szCs w:val="20"/>
          <w:color w:val="auto"/>
        </w:rPr>
      </w:pPr>
      <w:r>
        <w:rPr>
          <w:rFonts w:ascii="Arial" w:cs="Arial" w:eastAsia="Arial" w:hAnsi="Arial"/>
          <w:sz w:val="18"/>
          <w:szCs w:val="18"/>
          <w:color w:val="auto"/>
        </w:rPr>
        <w:t>See Part I, Item 1A (Risk Factors) of this Annual Report on Form 10-K for additional risks associated with our substantial capital requirements and .Note 15 - Leases and Note 18 - Subsequent Events in the “Notes to</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0" w:name="page111"/>
    <w:bookmarkEnd w:id="110"/>
    <w:p>
      <w:pPr>
        <w:ind w:right="260"/>
        <w:spacing w:after="0" w:line="261" w:lineRule="auto"/>
        <w:rPr>
          <w:sz w:val="20"/>
          <w:szCs w:val="20"/>
          <w:color w:val="auto"/>
        </w:rPr>
      </w:pPr>
      <w:r>
        <w:rPr>
          <w:rFonts w:ascii="Arial" w:cs="Arial" w:eastAsia="Arial" w:hAnsi="Arial"/>
          <w:sz w:val="18"/>
          <w:szCs w:val="18"/>
          <w:color w:val="auto"/>
        </w:rPr>
        <w:t>Consolidated Financial Statements” section titled “Leases” in Note 15 to our consolidated financial statements included in Part II - Item 8 in this Annual Report on Form 10-K for 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29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1"/>
              </w:rPr>
              <w:t>(44,708 )</w:t>
            </w: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1"/>
              </w:rPr>
              <w:t>(35,203 )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1"/>
              </w:rPr>
              <w:t>(81,907 )</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9"/>
              </w:rPr>
              <w:t>137,342</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Effect of foreign exchange rate on cash, cash equivalents</w:t>
            </w:r>
          </w:p>
        </w:tc>
        <w:tc>
          <w:tcPr>
            <w:tcW w:w="102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(10 )</w:t>
            </w:r>
          </w:p>
        </w:tc>
        <w:tc>
          <w:tcPr>
            <w:tcW w:w="100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and restricted cash</w:t>
            </w:r>
          </w:p>
        </w:tc>
        <w:tc>
          <w:tcPr>
            <w:tcW w:w="102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tcBorders>
              <w:top w:val="single" w:sz="8" w:color="auto"/>
              <w:bottom w:val="single" w:sz="8" w:color="auto"/>
            </w:tcBorders>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10,717</w:t>
            </w:r>
          </w:p>
        </w:tc>
        <w:tc>
          <w:tcPr>
            <w:tcW w:w="28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5,625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operating activities</w:t>
      </w:r>
    </w:p>
    <w:p>
      <w:pPr>
        <w:spacing w:after="0" w:line="108" w:lineRule="exact"/>
        <w:rPr>
          <w:sz w:val="20"/>
          <w:szCs w:val="20"/>
          <w:color w:val="auto"/>
        </w:rPr>
      </w:pPr>
    </w:p>
    <w:p>
      <w:pPr>
        <w:jc w:val="both"/>
        <w:ind w:right="280" w:firstLine="374"/>
        <w:spacing w:after="0" w:line="243" w:lineRule="auto"/>
        <w:rPr>
          <w:sz w:val="20"/>
          <w:szCs w:val="20"/>
          <w:color w:val="auto"/>
        </w:rPr>
      </w:pPr>
      <w:r>
        <w:rPr>
          <w:rFonts w:ascii="Arial" w:cs="Arial" w:eastAsia="Arial" w:hAnsi="Arial"/>
          <w:sz w:val="18"/>
          <w:szCs w:val="18"/>
          <w:color w:val="auto"/>
        </w:rPr>
        <w:t>Net cash used in operating activities for the year ended December 31, 2021 was $44.7 million, consisting primarily of a net loss of $48.7 million, a non-cash gain on expiration of an unexercised warrant of $5.0 million, an increase in operating assets and liabilities of $2.7 million, offset by non-cash stock-based compensation of $7.6 million and depreciation and amortization of $4.0 million and the provision for obsolete and excess inventory of $2.4 million.</w:t>
      </w:r>
    </w:p>
    <w:p>
      <w:pPr>
        <w:spacing w:after="0" w:line="120"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Net cash used in operating activities for the year ended December 31, 2020 was $35.2 million, consisting primarily loss from operations of $35.4 million, an increase in operating assets and liabilities of $7.8 million and offset by non-cash stock-based compensation of $4.2 million and depreciation and amortization of $3.9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35"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Net cash used in investing activities for the year ended December 31, 2021 was $81.9 million, consisting of net purchases of short-term investments of $80.0 million and purchases of property and equipment of $1.9 million.</w:t>
      </w:r>
    </w:p>
    <w:p>
      <w:pPr>
        <w:spacing w:after="0" w:line="103" w:lineRule="exact"/>
        <w:rPr>
          <w:sz w:val="20"/>
          <w:szCs w:val="20"/>
          <w:color w:val="auto"/>
        </w:rPr>
      </w:pPr>
    </w:p>
    <w:p>
      <w:pPr>
        <w:ind w:right="760" w:firstLine="374"/>
        <w:spacing w:after="0" w:line="261" w:lineRule="auto"/>
        <w:rPr>
          <w:sz w:val="20"/>
          <w:szCs w:val="20"/>
          <w:color w:val="auto"/>
        </w:rPr>
      </w:pPr>
      <w:r>
        <w:rPr>
          <w:rFonts w:ascii="Arial" w:cs="Arial" w:eastAsia="Arial" w:hAnsi="Arial"/>
          <w:sz w:val="18"/>
          <w:szCs w:val="18"/>
          <w:color w:val="auto"/>
        </w:rPr>
        <w:t>Net cash provided by investing activities for the year ended December 31, 2020 was $15.6 million, consisting of net maturities in short-term investments of $18.1 million, offset by net purchases of property and equipment of $2.5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from financing activities</w:t>
      </w:r>
    </w:p>
    <w:p>
      <w:pPr>
        <w:spacing w:after="0" w:line="135" w:lineRule="exact"/>
        <w:rPr>
          <w:sz w:val="20"/>
          <w:szCs w:val="20"/>
          <w:color w:val="auto"/>
        </w:rPr>
      </w:pPr>
    </w:p>
    <w:p>
      <w:pPr>
        <w:ind w:right="320" w:firstLine="374"/>
        <w:spacing w:after="0" w:line="291" w:lineRule="auto"/>
        <w:rPr>
          <w:sz w:val="20"/>
          <w:szCs w:val="20"/>
          <w:color w:val="auto"/>
        </w:rPr>
      </w:pPr>
      <w:r>
        <w:rPr>
          <w:rFonts w:ascii="Arial" w:cs="Arial" w:eastAsia="Arial" w:hAnsi="Arial"/>
          <w:sz w:val="17"/>
          <w:szCs w:val="17"/>
          <w:color w:val="auto"/>
        </w:rPr>
        <w:t>Net cash from financing activities for the year ended December 31, 2021 was $137.3 million, consisting primarily of net proceeds from the IPO of $119.6 million and a draw on the Company’s term loan of $15.0 million and proceeds from stock options exercised of $1.6 million.</w:t>
      </w:r>
    </w:p>
    <w:p>
      <w:pPr>
        <w:spacing w:after="0" w:line="79"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Net cash from financing activities for the year ended December 31, 2020 was $25.2 million, consisting of a draw on the Company’s term loan of $25.0 million, net, proceeds of stock options and warrants exercised of $1.1 million, offset in part by principal payments on finance lease liabilities of $0.1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108"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In October 2020, we entered into a loan and security agreement, or the (“Term Loan”), with Bank of America, as collateral agent, and Oxford Finance LLC, or Oxford Finance, as lender. The Term Loan provides for a tranche one loan advance in the amount of $25.0 million, which was fully funded on the closing date by the lender, a second tranche of $5.0 million in the first quarter of 2021, which was advanced on March 29, 2021, and a third tranche of $10.0 million in the second quarter of 2021, which was advanced on June 28, 2021. The Term Loan also provides for an additional two tranches in the amount of $5.0 million each in 2021, which were not advanced. A final tranche in an amount of $10.0 million is available in the first quarter of 2022, which we do not intend to borrow. We refer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to our tranche one loan advance, tranche two loan advance and tranche three loan advance collectively as our credit facility.</w:t>
      </w:r>
    </w:p>
    <w:p>
      <w:pPr>
        <w:spacing w:after="0" w:line="104" w:lineRule="exact"/>
        <w:rPr>
          <w:sz w:val="20"/>
          <w:szCs w:val="20"/>
          <w:color w:val="auto"/>
        </w:rPr>
      </w:pPr>
    </w:p>
    <w:p>
      <w:pPr>
        <w:ind w:firstLine="374"/>
        <w:spacing w:after="0" w:line="274" w:lineRule="auto"/>
        <w:rPr>
          <w:sz w:val="20"/>
          <w:szCs w:val="20"/>
          <w:color w:val="auto"/>
        </w:rPr>
      </w:pPr>
      <w:r>
        <w:rPr>
          <w:rFonts w:ascii="Arial" w:cs="Arial" w:eastAsia="Arial" w:hAnsi="Arial"/>
          <w:sz w:val="16"/>
          <w:szCs w:val="16"/>
          <w:color w:val="auto"/>
        </w:rPr>
        <w:t>The Term Loan is secured by substantially all of our personal property other than our intellectual property, but includes any accounts receivable, other amounts owed and any proceeds of intellectual property. We also entered into a negative pledge arrangement with the collateral agent and lenders where we agreed not to encumber any of our intellectual property. Outstanding borrowings under the credit facility bear interest at an annual rate equal to the greater of (i) the Wall Street Journal 30-day LIBOR plus 9.09% and 0.16% or (ii) 9.25%. At our election, we may also switch to an interest rate equal to 10.25% plus the greater of (i) The Wall Street Journal Prime rate or (ii) 7%. The interest rate resets monthly on the last day of the month prior to the month in which interest accrues, and an actual/360-day convention applies. If we are considered to be in default, additional interest of 5% applies. Through December 1, 2023, which is the interest-only period, we are required to make interest-only payments. The interest- only period may be extended to December 1, 2024.</w:t>
      </w:r>
    </w:p>
    <w:p>
      <w:pPr>
        <w:spacing w:after="0" w:line="96" w:lineRule="exact"/>
        <w:rPr>
          <w:sz w:val="20"/>
          <w:szCs w:val="20"/>
          <w:color w:val="auto"/>
        </w:rPr>
      </w:pPr>
    </w:p>
    <w:p>
      <w:pPr>
        <w:ind w:right="220" w:firstLine="374"/>
        <w:spacing w:after="0" w:line="294" w:lineRule="auto"/>
        <w:rPr>
          <w:sz w:val="20"/>
          <w:szCs w:val="20"/>
          <w:color w:val="auto"/>
        </w:rPr>
      </w:pPr>
      <w:r>
        <w:rPr>
          <w:rFonts w:ascii="Arial" w:cs="Arial" w:eastAsia="Arial" w:hAnsi="Arial"/>
          <w:sz w:val="16"/>
          <w:szCs w:val="16"/>
          <w:color w:val="auto"/>
        </w:rPr>
        <w:t>The Term Loan requires 36 months of interest-only payments, followed by 23-months of amortization. If the Company is in compliance with the Performance to Plan covenant through October 31, 2023, the interest-only period is extended by 12 months, and the amortization period is reduced by 11 months. Payments are due on the first day of each month in arrears. All unpaid amounts under the Term Loan mature on October 1, 2025.</w:t>
      </w:r>
    </w:p>
    <w:p>
      <w:pPr>
        <w:spacing w:after="0" w:line="66" w:lineRule="exact"/>
        <w:rPr>
          <w:sz w:val="20"/>
          <w:szCs w:val="20"/>
          <w:color w:val="auto"/>
        </w:rPr>
      </w:pPr>
    </w:p>
    <w:p>
      <w:pPr>
        <w:ind w:right="40" w:firstLine="374"/>
        <w:spacing w:after="0" w:line="255" w:lineRule="auto"/>
        <w:rPr>
          <w:sz w:val="20"/>
          <w:szCs w:val="20"/>
          <w:color w:val="auto"/>
        </w:rPr>
      </w:pPr>
      <w:r>
        <w:rPr>
          <w:rFonts w:ascii="Arial" w:cs="Arial" w:eastAsia="Arial" w:hAnsi="Arial"/>
          <w:sz w:val="17"/>
          <w:szCs w:val="17"/>
          <w:color w:val="auto"/>
        </w:rPr>
        <w:t>Borrowings under the credit facility are pre-payable at any time without penalty; however, the loan must be prepaid in full or in part one time in an amount not less than $5.0 million and amounts prepaid may not be subsequently reborrowed. The Company did not fully prepay the loan by December 31, 2021, and accordingly became subject to an additional fee (the “Exit Fee”). The fee is 3% of the original loan amount if prepaid between January 1, 2022, and October 31, 2022 ($750 thousand); 4% if prepaid between November 1, 2022 and October 31, 2023 ($1.0 million); and 5% ($1.25 million) if paid subsequently, including at maturity. The loan may be accelerated by Oxford in the event of a default. The Term Loan also includes certain customary affirmative and negative covenants, including certain financial covenants if the lenders make us the additional tranche advances. We were in compliance with all covenants under the Term Loan as of December 31, 2021.</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also have a standby letter of credit, expiring September 30, 2024, issued by a financial institution as a required security for one operating lease.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letter of credit was $0.3 million and $0.4 million as of December 31, 2021 and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35" w:lineRule="exact"/>
        <w:rPr>
          <w:sz w:val="20"/>
          <w:szCs w:val="20"/>
          <w:color w:val="auto"/>
        </w:rPr>
      </w:pPr>
    </w:p>
    <w:p>
      <w:pPr>
        <w:ind w:right="100" w:firstLine="374"/>
        <w:spacing w:after="0" w:line="253"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consolidated financial statements included elsewhere in this Annual Report on Form 10-K.</w:t>
      </w:r>
    </w:p>
    <w:p>
      <w:pPr>
        <w:spacing w:after="0" w:line="116"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There were no material changes to our critical accounting policies or in the methodology used for estimates from those described in “Management's Discussion and Analysis of Financial Condition and Results of Operations” included in our Prospectus filed with the SEC in accordance with Rule 424(b) of the Securities Act on July 29, 2021 in connection with our IPO. We believe that the assumptions and estimates associated with revenue recognition, stock-based compensation and determination of fair value of common stock have the most significant impact on our consolidated financial statements. We believe that the following accounting policies we use are the most critical to the process of making significant judgments and estimates in the preparation of our consolidated financial statements and understanding and evaluating our reported financial results.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color w:val="auto"/>
        </w:rPr>
        <w:t>Our revenues from sales are generated from the sale of light adjustable intraocular lenses, the LAL, used in cataract surgery along with a specifically designed machine for delivering light to the eye, the Light Delivery Device (“LDD”), to adjust the lens post-surgery, as needed. Revenue from sales is recognized from products sold in the U.S. and Europe. Customers are primarily comprised of ambulatory surgery centers, hospitals, and physician private practices.</w:t>
      </w:r>
    </w:p>
    <w:p>
      <w:pPr>
        <w:spacing w:after="0" w:line="107" w:lineRule="exact"/>
        <w:rPr>
          <w:sz w:val="20"/>
          <w:szCs w:val="20"/>
          <w:color w:val="auto"/>
        </w:rPr>
      </w:pPr>
    </w:p>
    <w:p>
      <w:pPr>
        <w:ind w:firstLine="374"/>
        <w:spacing w:after="0" w:line="252" w:lineRule="auto"/>
        <w:rPr>
          <w:sz w:val="20"/>
          <w:szCs w:val="20"/>
          <w:color w:val="auto"/>
        </w:rPr>
      </w:pPr>
      <w:r>
        <w:rPr>
          <w:rFonts w:ascii="Arial" w:cs="Arial" w:eastAsia="Arial" w:hAnsi="Arial"/>
          <w:sz w:val="17"/>
          <w:szCs w:val="17"/>
          <w:color w:val="auto"/>
        </w:rPr>
        <w:t>We recognize revenue from sales when promised goods or services are transferred to customers at a transaction price that reflects the consideration to which we expect to be entitled in exchange for those goods and services. Specifically, we apply the following five steps to recognize revenue from sales: (i) identify the contract(s) with a customer; (ii) identify the performance obligations in the contract; (iii) determine the transaction price; (iv) allocate the transaction price to the performance obligations in the contract; and (v) recognize revenue from sales when, or as, we satisfy a performance obligation. We apply the five-step model to contracts when it is probable that it will collect the consideration to which it is entitled in exchange for the goods or services it transfers to the customer. At contract inception, we assess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We recognize revenue from sales as the amount of the transaction price that is allocated to the respective performance obligation when, or as, the performance obligation is satisfied, considering whether or not this occurs at a point in time or over time. We elected to account for shipping costs as fulfillment costs rather than a promised service and exclude from revenue any taxes collected from customers that are remitted to government authorities.</w:t>
      </w:r>
    </w:p>
    <w:p>
      <w:pPr>
        <w:spacing w:after="0" w:line="116" w:lineRule="exact"/>
        <w:rPr>
          <w:sz w:val="20"/>
          <w:szCs w:val="20"/>
          <w:color w:val="auto"/>
        </w:rPr>
      </w:pPr>
    </w:p>
    <w:p>
      <w:pPr>
        <w:ind w:right="140" w:firstLine="374"/>
        <w:spacing w:after="0" w:line="267" w:lineRule="auto"/>
        <w:rPr>
          <w:sz w:val="20"/>
          <w:szCs w:val="20"/>
          <w:color w:val="auto"/>
        </w:rPr>
      </w:pPr>
      <w:r>
        <w:rPr>
          <w:rFonts w:ascii="Arial" w:cs="Arial" w:eastAsia="Arial" w:hAnsi="Arial"/>
          <w:sz w:val="16"/>
          <w:szCs w:val="16"/>
          <w:color w:val="auto"/>
        </w:rPr>
        <w:t>Our LDD contracts contain multiple performance obligations bundled for one transaction price, with all obligations generally satisfied within one year. For these bundled arrangements, we account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Our LDD contracts include a combination of the following performance obligations: (1) LDD capital asset and related components, (2) 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We recognize revenue as performance obligations are satisfied by transferring control of the product or service to a customer. Specifically, revenue for the LDD capital asset is recognized at a point in time at installation. Revenue for training is also recorded at a point in time, generally 30 days after installation. Revenue for the device service is recognized ratably over time after installation, generally 12 months. We have determined that the transaction price is the invoice price, net of adjustments, if any. The allocation to the separate performance obligations is based upon the relative standalone selling price. Standalone selling prices are based on observable prices at which we separately sell the products or services. We estimate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11" w:lineRule="exact"/>
        <w:rPr>
          <w:sz w:val="20"/>
          <w:szCs w:val="20"/>
          <w:color w:val="auto"/>
        </w:rPr>
      </w:pPr>
    </w:p>
    <w:p>
      <w:pPr>
        <w:ind w:right="100" w:firstLine="374"/>
        <w:spacing w:after="0" w:line="248"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from sales is recognized for LALs upon customer notification that the LALs have been implanted in a patient. For the year ended December 31, 2021 and 2020, credits related to returns and rebates on list prices were not significant.</w:t>
      </w:r>
    </w:p>
    <w:p>
      <w:pPr>
        <w:spacing w:after="0" w:line="101" w:lineRule="exact"/>
        <w:rPr>
          <w:sz w:val="20"/>
          <w:szCs w:val="20"/>
          <w:color w:val="auto"/>
        </w:rPr>
      </w:pPr>
    </w:p>
    <w:p>
      <w:pPr>
        <w:ind w:right="340" w:firstLine="374"/>
        <w:spacing w:after="0" w:line="261" w:lineRule="auto"/>
        <w:rPr>
          <w:sz w:val="20"/>
          <w:szCs w:val="20"/>
          <w:color w:val="auto"/>
        </w:rPr>
      </w:pPr>
      <w:r>
        <w:rPr>
          <w:rFonts w:ascii="Arial" w:cs="Arial" w:eastAsia="Arial" w:hAnsi="Arial"/>
          <w:sz w:val="18"/>
          <w:szCs w:val="18"/>
          <w:color w:val="auto"/>
        </w:rPr>
        <w:t>The Company adopted the practical expedient permitting the direct expensing of costs incurred to obtain contracts where the amortization of such costs would occur over one year or less, and it applied to substantially all the Company’s contracts.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80" w:firstLine="374"/>
        <w:spacing w:after="0" w:line="284" w:lineRule="auto"/>
        <w:rPr>
          <w:sz w:val="20"/>
          <w:szCs w:val="20"/>
          <w:color w:val="auto"/>
        </w:rPr>
      </w:pPr>
      <w:r>
        <w:rPr>
          <w:rFonts w:ascii="Arial" w:cs="Arial" w:eastAsia="Arial" w:hAnsi="Arial"/>
          <w:sz w:val="16"/>
          <w:szCs w:val="16"/>
          <w:color w:val="auto"/>
        </w:rPr>
        <w:t>We account for stock-based payments at fair value. For stock-based awards that vest subject to the satisfaction of a service requirement, the fair value measurement date for such awards is the date of grant and the expense is recognized on a straight-line basis, over the expected vesting period. For stock-based awards that vest subject to a performance condition, we recognize compensation cost for awards if and when we conclude that it is probable that the awards with a performance condition will be achieved on an accelerated attribution method. We account for forfeitures as they occur.</w:t>
      </w:r>
    </w:p>
    <w:p>
      <w:pPr>
        <w:spacing w:after="0" w:line="74" w:lineRule="exact"/>
        <w:rPr>
          <w:sz w:val="20"/>
          <w:szCs w:val="20"/>
          <w:color w:val="auto"/>
        </w:rPr>
      </w:pPr>
    </w:p>
    <w:p>
      <w:pPr>
        <w:ind w:right="300" w:firstLine="374"/>
        <w:spacing w:after="0" w:line="261" w:lineRule="auto"/>
        <w:rPr>
          <w:sz w:val="20"/>
          <w:szCs w:val="20"/>
          <w:color w:val="auto"/>
        </w:rPr>
      </w:pPr>
      <w:r>
        <w:rPr>
          <w:rFonts w:ascii="Arial" w:cs="Arial" w:eastAsia="Arial" w:hAnsi="Arial"/>
          <w:sz w:val="18"/>
          <w:szCs w:val="18"/>
          <w:color w:val="auto"/>
        </w:rPr>
        <w:t>We calculate the fair value measurement of stock options using the Black-Scholes option pricing model and assumptions discussed below. Each of these inputs is complex, subjective and generally requires significant judgment.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Fair value of common stock</w:t>
      </w:r>
      <w:r>
        <w:rPr>
          <w:rFonts w:ascii="Arial" w:cs="Arial" w:eastAsia="Arial" w:hAnsi="Arial"/>
          <w:sz w:val="18"/>
          <w:szCs w:val="18"/>
          <w:color w:val="auto"/>
        </w:rPr>
        <w:t>—see the subsection titled “</w:t>
      </w:r>
      <w:r>
        <w:rPr>
          <w:rFonts w:ascii="Arial" w:cs="Arial" w:eastAsia="Arial" w:hAnsi="Arial"/>
          <w:sz w:val="18"/>
          <w:szCs w:val="18"/>
          <w:i w:val="1"/>
          <w:iCs w:val="1"/>
          <w:color w:val="auto"/>
        </w:rPr>
        <w:t>Determination of fair value of common stock</w:t>
      </w:r>
      <w:r>
        <w:rPr>
          <w:rFonts w:ascii="Arial" w:cs="Arial" w:eastAsia="Arial" w:hAnsi="Arial"/>
          <w:sz w:val="18"/>
          <w:szCs w:val="18"/>
          <w:color w:val="auto"/>
        </w:rPr>
        <w:t>” below.</w:t>
      </w:r>
    </w:p>
    <w:p>
      <w:pPr>
        <w:spacing w:after="0" w:line="144"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represents the period that we expect our stock-based awards to be outstanding. We used the simplified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mid-point between the vesting date and the end of the contractual term) to determine the expected term.</w:t>
      </w:r>
    </w:p>
    <w:p>
      <w:pPr>
        <w:spacing w:after="0" w:line="90"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—Since we were privately held and did not have any trading history for our common stock, nor do we have a long trading history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IPO in July of 2021, the expected volatility was 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 We will continue to apply this process until a sufficient amount of historical information regarding the volatility of our stock price becomes available.</w:t>
      </w:r>
    </w:p>
    <w:p>
      <w:pPr>
        <w:spacing w:after="0" w:line="122" w:lineRule="exact"/>
        <w:rPr>
          <w:sz w:val="20"/>
          <w:szCs w:val="20"/>
          <w:color w:val="auto"/>
        </w:rPr>
      </w:pPr>
    </w:p>
    <w:p>
      <w:pPr>
        <w:ind w:right="660" w:firstLine="374"/>
        <w:spacing w:after="0" w:line="261"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with the expected term of option.</w:t>
      </w:r>
    </w:p>
    <w:p>
      <w:pPr>
        <w:spacing w:after="0" w:line="103" w:lineRule="exact"/>
        <w:rPr>
          <w:sz w:val="20"/>
          <w:szCs w:val="20"/>
          <w:color w:val="auto"/>
        </w:rPr>
      </w:pPr>
    </w:p>
    <w:p>
      <w:pPr>
        <w:ind w:right="220" w:firstLine="374"/>
        <w:spacing w:after="0" w:line="261" w:lineRule="auto"/>
        <w:rPr>
          <w:sz w:val="20"/>
          <w:szCs w:val="20"/>
          <w:color w:val="auto"/>
        </w:rPr>
      </w:pPr>
      <w:r>
        <w:rPr>
          <w:rFonts w:ascii="Arial" w:cs="Arial" w:eastAsia="Arial" w:hAnsi="Arial"/>
          <w:sz w:val="18"/>
          <w:szCs w:val="18"/>
          <w:b w:val="1"/>
          <w:bCs w:val="1"/>
          <w:i w:val="1"/>
          <w:iCs w:val="1"/>
          <w:color w:val="auto"/>
        </w:rPr>
        <w:t>Dividend Yield</w:t>
      </w:r>
      <w:r>
        <w:rPr>
          <w:rFonts w:ascii="Arial" w:cs="Arial" w:eastAsia="Arial" w:hAnsi="Arial"/>
          <w:sz w:val="18"/>
          <w:szCs w:val="18"/>
          <w:color w:val="auto"/>
        </w:rPr>
        <w:t>—We have never paid dividends on common stock and have no plans to pay dividends on our common stock. Therefore, we used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dividend yield of zero.</w:t>
      </w:r>
    </w:p>
    <w:p>
      <w:pPr>
        <w:spacing w:after="0" w:line="90"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See Note 12 - Stock Based Compensation Expense to our audited consolidated financial statements included in this Annual Report on Form 10-K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04"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We are required to estimate the fair value of the common stock underlying our stock-based awards. Prior to our IPO in July 2021, the fair value of our common stock underlying share-based awards was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Valuation of Privately-Held-Company Equity Securities Issued as Compensation. Prior to the IPO, we considered an input to the pricing models in determining the fair value of our common stock, a critical accounting estimate.</w:t>
      </w:r>
    </w:p>
    <w:p>
      <w:pPr>
        <w:spacing w:after="0" w:line="122"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For all grants subsequent to our IPO in July 2021, the fair value of common stock was determined by using the closing price per share of common stock as reported on the Nasdaq Global Market.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260" w:firstLine="374"/>
        <w:spacing w:after="0" w:line="261"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40" w:firstLine="374"/>
        <w:spacing w:after="0" w:line="257"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300" w:firstLine="374"/>
        <w:spacing w:after="0" w:line="261" w:lineRule="auto"/>
        <w:rPr>
          <w:sz w:val="20"/>
          <w:szCs w:val="20"/>
          <w:color w:val="auto"/>
        </w:rPr>
      </w:pPr>
      <w:r>
        <w:rPr>
          <w:rFonts w:ascii="Arial" w:cs="Arial" w:eastAsia="Arial" w:hAnsi="Arial"/>
          <w:sz w:val="18"/>
          <w:szCs w:val="18"/>
          <w:color w:val="auto"/>
        </w:rPr>
        <w:t>See the section titled “Summary of Accounting Policies—Recent Accounting Pronouncements” in Note 2 to our consolidated financial statements included in Part II - Item 8 in this Annual Report on Form 10-K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08"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presenting only two years of audited financial statements in addition to any required unaudited interim financial statements with correspondingly reduced “Management’s Discussion and Analysis of Financial Condition and Results of Operations” disclosure in this Annual Report,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Annual Report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16"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107"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22"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under this item.</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104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20" w:type="dxa"/>
            <w:vAlign w:val="bottom"/>
          </w:tcPr>
          <w:p>
            <w:pPr>
              <w:spacing w:after="0"/>
              <w:rPr>
                <w:sz w:val="20"/>
                <w:szCs w:val="20"/>
                <w:color w:val="auto"/>
              </w:rPr>
            </w:pPr>
          </w:p>
        </w:tc>
      </w:tr>
      <w:tr>
        <w:trPr>
          <w:trHeight w:val="837"/>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gridSpan w:val="5"/>
          </w:tcPr>
          <w:p>
            <w:pPr>
              <w:jc w:val="center"/>
              <w:ind w:right="234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0400" w:type="dxa"/>
            <w:vAlign w:val="bottom"/>
            <w:gridSpan w:val="9"/>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FF"/>
              </w:rPr>
              <w:t>(PCAOB ID: 42)</w:t>
            </w: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169"/>
        </w:trPr>
        <w:tc>
          <w:tcPr>
            <w:tcW w:w="20" w:type="dxa"/>
            <w:vAlign w:val="bottom"/>
            <w:tcBorders>
              <w:top w:val="single" w:sz="8" w:color="0000FF"/>
            </w:tcBorders>
          </w:tcPr>
          <w:p>
            <w:pPr>
              <w:spacing w:after="0"/>
              <w:rPr>
                <w:sz w:val="14"/>
                <w:szCs w:val="14"/>
                <w:color w:val="auto"/>
              </w:rPr>
            </w:pPr>
          </w:p>
        </w:tc>
        <w:tc>
          <w:tcPr>
            <w:tcW w:w="4260" w:type="dxa"/>
            <w:vAlign w:val="bottom"/>
            <w:tcBorders>
              <w:top w:val="single" w:sz="8" w:color="0000EE"/>
            </w:tcBorders>
            <w:gridSpan w:val="5"/>
          </w:tcPr>
          <w:p>
            <w:pPr>
              <w:spacing w:after="0" w:line="169" w:lineRule="exact"/>
              <w:rPr>
                <w:rFonts w:ascii="Arial" w:cs="Arial" w:eastAsia="Arial" w:hAnsi="Arial"/>
                <w:sz w:val="18"/>
                <w:szCs w:val="18"/>
                <w:color w:val="0000FF"/>
              </w:rPr>
            </w:pPr>
            <w:hyperlink w:anchor="page118">
              <w:r>
                <w:rPr>
                  <w:rFonts w:ascii="Arial" w:cs="Arial" w:eastAsia="Arial" w:hAnsi="Arial"/>
                  <w:sz w:val="18"/>
                  <w:szCs w:val="18"/>
                  <w:color w:val="0000FF"/>
                </w:rPr>
                <w:t>Consolidated Balance Sheets</w:t>
              </w:r>
            </w:hyperlink>
          </w:p>
        </w:tc>
        <w:tc>
          <w:tcPr>
            <w:tcW w:w="1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114</w:t>
            </w:r>
          </w:p>
        </w:tc>
      </w:tr>
      <w:tr>
        <w:trPr>
          <w:trHeight w:val="169"/>
        </w:trPr>
        <w:tc>
          <w:tcPr>
            <w:tcW w:w="20" w:type="dxa"/>
            <w:vAlign w:val="bottom"/>
            <w:tcBorders>
              <w:top w:val="single" w:sz="8" w:color="0000EE"/>
            </w:tcBorders>
          </w:tcPr>
          <w:p>
            <w:pPr>
              <w:spacing w:after="0"/>
              <w:rPr>
                <w:sz w:val="14"/>
                <w:szCs w:val="14"/>
                <w:color w:val="auto"/>
              </w:rPr>
            </w:pPr>
          </w:p>
        </w:tc>
        <w:tc>
          <w:tcPr>
            <w:tcW w:w="2080" w:type="dxa"/>
            <w:vAlign w:val="bottom"/>
            <w:tcBorders>
              <w:top w:val="single" w:sz="8" w:color="0000FF"/>
            </w:tcBorders>
          </w:tcPr>
          <w:p>
            <w:pPr>
              <w:spacing w:after="0" w:line="169" w:lineRule="exact"/>
              <w:rPr>
                <w:rFonts w:ascii="Arial" w:cs="Arial" w:eastAsia="Arial" w:hAnsi="Arial"/>
                <w:sz w:val="18"/>
                <w:szCs w:val="18"/>
                <w:color w:val="0000FF"/>
                <w:w w:val="93"/>
              </w:rPr>
            </w:pPr>
            <w:hyperlink w:anchor="page119">
              <w:r>
                <w:rPr>
                  <w:rFonts w:ascii="Arial" w:cs="Arial" w:eastAsia="Arial" w:hAnsi="Arial"/>
                  <w:sz w:val="18"/>
                  <w:szCs w:val="18"/>
                  <w:color w:val="0000FF"/>
                  <w:w w:val="93"/>
                </w:rPr>
                <w:t>Consolidated Statements of</w:t>
              </w:r>
            </w:hyperlink>
          </w:p>
        </w:tc>
        <w:tc>
          <w:tcPr>
            <w:tcW w:w="20" w:type="dxa"/>
            <w:vAlign w:val="bottom"/>
            <w:tcBorders>
              <w:top w:val="single" w:sz="8" w:color="0000EE"/>
            </w:tcBorders>
          </w:tcPr>
          <w:p>
            <w:pPr>
              <w:spacing w:after="0"/>
              <w:rPr>
                <w:sz w:val="14"/>
                <w:szCs w:val="14"/>
                <w:color w:val="auto"/>
              </w:rPr>
            </w:pPr>
          </w:p>
        </w:tc>
        <w:tc>
          <w:tcPr>
            <w:tcW w:w="8300" w:type="dxa"/>
            <w:vAlign w:val="bottom"/>
            <w:gridSpan w:val="7"/>
          </w:tcPr>
          <w:p>
            <w:pPr>
              <w:spacing w:after="0" w:line="169" w:lineRule="exact"/>
              <w:rPr>
                <w:rFonts w:ascii="Arial" w:cs="Arial" w:eastAsia="Arial" w:hAnsi="Arial"/>
                <w:sz w:val="18"/>
                <w:szCs w:val="18"/>
                <w:color w:val="0000FF"/>
              </w:rPr>
            </w:pPr>
            <w:hyperlink w:anchor="page119">
              <w:r>
                <w:rPr>
                  <w:rFonts w:ascii="Arial" w:cs="Arial" w:eastAsia="Arial" w:hAnsi="Arial"/>
                  <w:sz w:val="18"/>
                  <w:szCs w:val="18"/>
                  <w:color w:val="0000FF"/>
                </w:rPr>
                <w:t>Operations and Comprehensive (Loss) Income</w:t>
              </w:r>
            </w:hyperlink>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115</w:t>
            </w:r>
          </w:p>
        </w:tc>
      </w:tr>
      <w:tr>
        <w:trPr>
          <w:trHeight w:val="169"/>
        </w:trPr>
        <w:tc>
          <w:tcPr>
            <w:tcW w:w="20" w:type="dxa"/>
            <w:vAlign w:val="bottom"/>
            <w:tcBorders>
              <w:top w:val="single" w:sz="8" w:color="0000EE"/>
            </w:tcBorders>
          </w:tcPr>
          <w:p>
            <w:pPr>
              <w:spacing w:after="0"/>
              <w:rPr>
                <w:sz w:val="14"/>
                <w:szCs w:val="14"/>
                <w:color w:val="auto"/>
              </w:rPr>
            </w:pPr>
          </w:p>
        </w:tc>
        <w:tc>
          <w:tcPr>
            <w:tcW w:w="5380" w:type="dxa"/>
            <w:vAlign w:val="bottom"/>
            <w:tcBorders>
              <w:top w:val="single" w:sz="8" w:color="0000FF"/>
            </w:tcBorders>
            <w:gridSpan w:val="6"/>
          </w:tcPr>
          <w:p>
            <w:pPr>
              <w:spacing w:after="0" w:line="169" w:lineRule="exact"/>
              <w:rPr>
                <w:rFonts w:ascii="Arial" w:cs="Arial" w:eastAsia="Arial" w:hAnsi="Arial"/>
                <w:sz w:val="18"/>
                <w:szCs w:val="18"/>
                <w:color w:val="0000FF"/>
                <w:w w:val="91"/>
              </w:rPr>
            </w:pPr>
            <w:hyperlink w:anchor="page120">
              <w:r>
                <w:rPr>
                  <w:rFonts w:ascii="Arial" w:cs="Arial" w:eastAsia="Arial" w:hAnsi="Arial"/>
                  <w:sz w:val="18"/>
                  <w:szCs w:val="18"/>
                  <w:color w:val="0000FF"/>
                  <w:w w:val="91"/>
                </w:rPr>
                <w:t>Consolidated Statements of Redeemable Common Stock, Stock Options,</w:t>
              </w:r>
            </w:hyperlink>
          </w:p>
        </w:tc>
        <w:tc>
          <w:tcPr>
            <w:tcW w:w="5020" w:type="dxa"/>
            <w:vAlign w:val="bottom"/>
            <w:gridSpan w:val="3"/>
          </w:tcPr>
          <w:p>
            <w:pPr>
              <w:spacing w:after="0" w:line="169" w:lineRule="exact"/>
              <w:rPr>
                <w:rFonts w:ascii="Arial" w:cs="Arial" w:eastAsia="Arial" w:hAnsi="Arial"/>
                <w:sz w:val="18"/>
                <w:szCs w:val="18"/>
                <w:color w:val="0000FF"/>
              </w:rPr>
            </w:pPr>
            <w:hyperlink w:anchor="page120">
              <w:r>
                <w:rPr>
                  <w:rFonts w:ascii="Arial" w:cs="Arial" w:eastAsia="Arial" w:hAnsi="Arial"/>
                  <w:sz w:val="18"/>
                  <w:szCs w:val="18"/>
                  <w:color w:val="0000FF"/>
                </w:rPr>
                <w:t>Convertible Preferred Stock and Stockholders’ Equity (Deficit)</w:t>
              </w:r>
            </w:hyperlink>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28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w:anchor="page121">
              <w:r>
                <w:rPr>
                  <w:rFonts w:ascii="Arial" w:cs="Arial" w:eastAsia="Arial" w:hAnsi="Arial"/>
                  <w:sz w:val="18"/>
                  <w:szCs w:val="18"/>
                  <w:color w:val="0000FF"/>
                  <w:w w:val="89"/>
                </w:rPr>
                <w:t>Consolidated Statements of Cash Flows</w:t>
              </w:r>
            </w:hyperlink>
          </w:p>
        </w:tc>
        <w:tc>
          <w:tcPr>
            <w:tcW w:w="6960" w:type="dxa"/>
            <w:vAlign w:val="bottom"/>
            <w:tcBorders>
              <w:top w:val="single" w:sz="8" w:color="0000FF"/>
            </w:tcBorders>
            <w:gridSpan w:val="5"/>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117</w:t>
            </w:r>
          </w:p>
        </w:tc>
      </w:tr>
      <w:tr>
        <w:trPr>
          <w:trHeight w:val="169"/>
        </w:trPr>
        <w:tc>
          <w:tcPr>
            <w:tcW w:w="20" w:type="dxa"/>
            <w:vAlign w:val="bottom"/>
          </w:tcPr>
          <w:p>
            <w:pPr>
              <w:spacing w:after="0"/>
              <w:rPr>
                <w:sz w:val="14"/>
                <w:szCs w:val="14"/>
                <w:color w:val="auto"/>
              </w:rPr>
            </w:pPr>
          </w:p>
        </w:tc>
        <w:tc>
          <w:tcPr>
            <w:tcW w:w="10400" w:type="dxa"/>
            <w:vAlign w:val="bottom"/>
            <w:gridSpan w:val="9"/>
          </w:tcPr>
          <w:p>
            <w:pPr>
              <w:spacing w:after="0" w:line="169" w:lineRule="exact"/>
              <w:rPr>
                <w:rFonts w:ascii="Arial" w:cs="Arial" w:eastAsia="Arial" w:hAnsi="Arial"/>
                <w:sz w:val="18"/>
                <w:szCs w:val="18"/>
                <w:color w:val="0000FF"/>
              </w:rPr>
            </w:pPr>
            <w:hyperlink w:anchor="page122">
              <w:r>
                <w:rPr>
                  <w:rFonts w:ascii="Arial" w:cs="Arial" w:eastAsia="Arial" w:hAnsi="Arial"/>
                  <w:sz w:val="18"/>
                  <w:szCs w:val="18"/>
                  <w:color w:val="0000FF"/>
                </w:rPr>
                <w:t>Notes to Consolidated Financial Statements</w:t>
              </w:r>
            </w:hyperlink>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118</w:t>
            </w:r>
          </w:p>
        </w:tc>
      </w:tr>
      <w:tr>
        <w:trPr>
          <w:trHeight w:val="533"/>
        </w:trPr>
        <w:tc>
          <w:tcPr>
            <w:tcW w:w="20" w:type="dxa"/>
            <w:vAlign w:val="bottom"/>
          </w:tcPr>
          <w:p>
            <w:pPr>
              <w:spacing w:after="0"/>
              <w:rPr>
                <w:sz w:val="24"/>
                <w:szCs w:val="24"/>
                <w:color w:val="auto"/>
              </w:rPr>
            </w:pPr>
          </w:p>
        </w:tc>
        <w:tc>
          <w:tcPr>
            <w:tcW w:w="3140" w:type="dxa"/>
            <w:vAlign w:val="bottom"/>
            <w:tcBorders>
              <w:top w:val="single" w:sz="8" w:color="0000FF"/>
            </w:tcBorders>
            <w:gridSpan w:val="4"/>
          </w:tcPr>
          <w:p>
            <w:pPr>
              <w:spacing w:after="0"/>
              <w:rPr>
                <w:sz w:val="24"/>
                <w:szCs w:val="24"/>
                <w:color w:val="auto"/>
              </w:rPr>
            </w:pPr>
          </w:p>
        </w:tc>
        <w:tc>
          <w:tcPr>
            <w:tcW w:w="6700" w:type="dxa"/>
            <w:vAlign w:val="bottom"/>
            <w:gridSpan w:val="4"/>
          </w:tcPr>
          <w:p>
            <w:pPr>
              <w:jc w:val="right"/>
              <w:ind w:right="4100"/>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RxSight,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audited the accompanying consolidated balance sheets of RxSight, Inc. (the Company) as of December 31, 2021 and 2020, the related consolidated statements of operations and comprehensive income (loss), redeemable common stock, stock options, convertible preferred stock and stockholders’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7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7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8, 2022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RxSIGHT,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top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top w:val="single" w:sz="8" w:color="auto"/>
            </w:tcBorders>
            <w:vMerge w:val="restart"/>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4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4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24,361</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134,971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54,981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8,032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and other current assets</w:t>
            </w:r>
          </w:p>
        </w:tc>
        <w:tc>
          <w:tcPr>
            <w:tcW w:w="10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4,069</w:t>
            </w:r>
          </w:p>
        </w:tc>
        <w:tc>
          <w:tcPr>
            <w:tcW w:w="2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1,372</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176,295</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11,217</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Operating leases right-of-use assets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4,284</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100,677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764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Liabilities, redeemable common stock, stock options, convertible preferred stock and</w:t>
            </w: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120"/>
              <w:spacing w:after="0"/>
              <w:rPr>
                <w:sz w:val="20"/>
                <w:szCs w:val="20"/>
                <w:color w:val="auto"/>
              </w:rPr>
            </w:pPr>
            <w:r>
              <w:rPr>
                <w:rFonts w:ascii="Arial" w:cs="Arial" w:eastAsia="Arial" w:hAnsi="Arial"/>
                <w:sz w:val="14"/>
                <w:szCs w:val="14"/>
                <w:b w:val="1"/>
                <w:bCs w:val="1"/>
                <w:color w:val="auto"/>
              </w:rPr>
              <w:t>stockholders' equity (deficit)</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1,689</w:t>
            </w:r>
          </w:p>
        </w:tc>
        <w:tc>
          <w:tcPr>
            <w:tcW w:w="26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7,859</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Warrant liability</w:t>
            </w:r>
          </w:p>
        </w:tc>
        <w:tc>
          <w:tcPr>
            <w:tcW w:w="104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Lease liabilities</w:t>
            </w:r>
          </w:p>
        </w:tc>
        <w:tc>
          <w:tcPr>
            <w:tcW w:w="10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1,529</w:t>
            </w:r>
          </w:p>
        </w:tc>
        <w:tc>
          <w:tcPr>
            <w:tcW w:w="2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1,274</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11,077</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Long-term warrant liability</w:t>
            </w:r>
          </w:p>
        </w:tc>
        <w:tc>
          <w:tcPr>
            <w:tcW w:w="10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Long-term lease liabilities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3,642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Term loan, net</w:t>
            </w:r>
          </w:p>
        </w:tc>
        <w:tc>
          <w:tcPr>
            <w:tcW w:w="10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39,760</w:t>
            </w:r>
          </w:p>
        </w:tc>
        <w:tc>
          <w:tcPr>
            <w:tcW w:w="2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24,399</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54,479</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i w:val="1"/>
                <w:iCs w:val="1"/>
                <w:color w:val="auto"/>
              </w:rPr>
              <w:t>Note 16)</w:t>
            </w: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Redeemable common stock:</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$0.001 par value, no shares authorized, issued or outstanding as of December 31, 2021 and</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24,545,966 shares authorized, 3,813,450 shares issued and outstanding as of December 31, 2020</w:t>
            </w:r>
          </w:p>
        </w:tc>
        <w:tc>
          <w:tcPr>
            <w:tcW w:w="10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Notes receivable for common stock issued</w:t>
            </w:r>
          </w:p>
        </w:tc>
        <w:tc>
          <w:tcPr>
            <w:tcW w:w="104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(803 )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Redeemable stock options</w:t>
            </w:r>
          </w:p>
        </w:tc>
        <w:tc>
          <w:tcPr>
            <w:tcW w:w="10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53,085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Convertible preferred stock:</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Preferred stock, $0.001 par value, no shares authorized, issued or outstanding as of December 31, 2021 and</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16,572,792 shares authorized, 14,376,272 shares issued and outstanding as of December 31, 2020 (redeemable)</w:t>
            </w:r>
          </w:p>
        </w:tc>
        <w:tc>
          <w:tcPr>
            <w:tcW w:w="10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353,300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5"/>
              </w:rPr>
              <w:t>Common stock, $0.001 par value, 900,000,000 shares authorized, 27,366,746 shares issued and outstanding as of December</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31, 2021</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640" w:type="dxa"/>
            <w:vAlign w:val="bottom"/>
          </w:tcPr>
          <w:p>
            <w:pPr>
              <w:ind w:left="200"/>
              <w:spacing w:after="0" w:line="143" w:lineRule="exact"/>
              <w:rPr>
                <w:sz w:val="20"/>
                <w:szCs w:val="20"/>
                <w:color w:val="auto"/>
              </w:rPr>
            </w:pPr>
            <w:r>
              <w:rPr>
                <w:rFonts w:ascii="Arial" w:cs="Arial" w:eastAsia="Arial" w:hAnsi="Arial"/>
                <w:sz w:val="14"/>
                <w:szCs w:val="14"/>
                <w:color w:val="auto"/>
              </w:rPr>
              <w:t>Preferred stock, $0.001 par value, 100,000,000 shares authorized, no shares</w:t>
            </w: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200"/>
              <w:spacing w:after="0"/>
              <w:rPr>
                <w:sz w:val="20"/>
                <w:szCs w:val="20"/>
                <w:color w:val="auto"/>
              </w:rPr>
            </w:pPr>
            <w:r>
              <w:rPr>
                <w:rFonts w:ascii="Arial" w:cs="Arial" w:eastAsia="Arial" w:hAnsi="Arial"/>
                <w:sz w:val="14"/>
                <w:szCs w:val="14"/>
                <w:color w:val="auto"/>
              </w:rPr>
              <w:t>issued and outstanding</w:t>
            </w:r>
          </w:p>
        </w:tc>
        <w:tc>
          <w:tcPr>
            <w:tcW w:w="104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617,511</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640" w:type="dxa"/>
            <w:vAlign w:val="bottom"/>
          </w:tcPr>
          <w:p>
            <w:pPr>
              <w:ind w:left="200"/>
              <w:spacing w:after="0" w:line="143" w:lineRule="exact"/>
              <w:rPr>
                <w:sz w:val="20"/>
                <w:szCs w:val="20"/>
                <w:color w:val="auto"/>
              </w:rPr>
            </w:pPr>
            <w:r>
              <w:rPr>
                <w:rFonts w:ascii="Arial" w:cs="Arial" w:eastAsia="Arial" w:hAnsi="Arial"/>
                <w:sz w:val="14"/>
                <w:szCs w:val="14"/>
                <w:color w:val="auto"/>
              </w:rPr>
              <w:t>Series G common stock, $0.001 par value, no share authorized or outstanding as of December 31, 2021 and 1 share</w:t>
            </w: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200"/>
              <w:spacing w:after="0"/>
              <w:rPr>
                <w:sz w:val="20"/>
                <w:szCs w:val="20"/>
                <w:color w:val="auto"/>
              </w:rPr>
            </w:pPr>
            <w:r>
              <w:rPr>
                <w:rFonts w:ascii="Arial" w:cs="Arial" w:eastAsia="Arial" w:hAnsi="Arial"/>
                <w:sz w:val="14"/>
                <w:szCs w:val="14"/>
                <w:color w:val="auto"/>
              </w:rPr>
              <w:t>authorized, issued and outstanding as of December 31, 2020</w:t>
            </w:r>
          </w:p>
        </w:tc>
        <w:tc>
          <w:tcPr>
            <w:tcW w:w="104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5"/>
              </w:rPr>
              <w:t>Series W common stock, $0.001 par value, no share authorized, issued or outstanding as of December 31, 2021 and 1 share</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authorized and no share outstanding as of December 31, 2020</w:t>
            </w:r>
          </w:p>
        </w:tc>
        <w:tc>
          <w:tcPr>
            <w:tcW w:w="10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10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(20 )</w:t>
            </w:r>
          </w:p>
        </w:tc>
        <w:tc>
          <w:tcPr>
            <w:tcW w:w="4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0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(479,276 )</w:t>
            </w:r>
          </w:p>
        </w:tc>
        <w:tc>
          <w:tcPr>
            <w:tcW w:w="4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(430,588 )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tcPr>
          <w:p>
            <w:pPr>
              <w:ind w:left="380"/>
              <w:spacing w:after="0"/>
              <w:rPr>
                <w:sz w:val="20"/>
                <w:szCs w:val="20"/>
                <w:color w:val="auto"/>
              </w:rPr>
            </w:pPr>
            <w:r>
              <w:rPr>
                <w:rFonts w:ascii="Arial" w:cs="Arial" w:eastAsia="Arial" w:hAnsi="Arial"/>
                <w:sz w:val="14"/>
                <w:szCs w:val="14"/>
                <w:color w:val="auto"/>
              </w:rPr>
              <w:t>Total stockholders' equity (deficit)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138,242</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(430,591 )</w:t>
            </w:r>
          </w:p>
        </w:tc>
        <w:tc>
          <w:tcPr>
            <w:tcW w:w="0" w:type="dxa"/>
            <w:vAlign w:val="bottom"/>
          </w:tcPr>
          <w:p>
            <w:pPr>
              <w:spacing w:after="0"/>
              <w:rPr>
                <w:sz w:val="1"/>
                <w:szCs w:val="1"/>
                <w:color w:val="auto"/>
              </w:rPr>
            </w:pPr>
          </w:p>
        </w:tc>
      </w:tr>
      <w:tr>
        <w:trPr>
          <w:trHeight w:val="133"/>
        </w:trPr>
        <w:tc>
          <w:tcPr>
            <w:tcW w:w="7640" w:type="dxa"/>
            <w:vAlign w:val="bottom"/>
            <w:shd w:val="clear" w:color="auto" w:fill="CFF0FC"/>
          </w:tcPr>
          <w:p>
            <w:pPr>
              <w:ind w:left="380"/>
              <w:spacing w:after="0" w:line="133" w:lineRule="exact"/>
              <w:rPr>
                <w:sz w:val="20"/>
                <w:szCs w:val="20"/>
                <w:color w:val="auto"/>
              </w:rPr>
            </w:pPr>
            <w:r>
              <w:rPr>
                <w:rFonts w:ascii="Arial" w:cs="Arial" w:eastAsia="Arial" w:hAnsi="Arial"/>
                <w:sz w:val="14"/>
                <w:szCs w:val="14"/>
                <w:b w:val="1"/>
                <w:bCs w:val="1"/>
                <w:color w:val="auto"/>
              </w:rPr>
              <w:t>Total liabilities, redeemable common stock, stock options, convertible preferred</w:t>
            </w:r>
          </w:p>
        </w:tc>
        <w:tc>
          <w:tcPr>
            <w:tcW w:w="1040" w:type="dxa"/>
            <w:vAlign w:val="bottom"/>
            <w:tcBorders>
              <w:top w:val="single" w:sz="8" w:color="auto"/>
            </w:tcBorders>
            <w:vMerge w:val="restart"/>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260" w:type="dxa"/>
            <w:vAlign w:val="bottom"/>
            <w:shd w:val="clear" w:color="auto" w:fill="CFF0FC"/>
          </w:tcPr>
          <w:p>
            <w:pPr>
              <w:spacing w:after="0"/>
              <w:rPr>
                <w:sz w:val="11"/>
                <w:szCs w:val="11"/>
                <w:color w:val="auto"/>
              </w:rPr>
            </w:pPr>
          </w:p>
        </w:tc>
        <w:tc>
          <w:tcPr>
            <w:tcW w:w="480" w:type="dxa"/>
            <w:vAlign w:val="bottom"/>
            <w:tcBorders>
              <w:top w:val="single" w:sz="8" w:color="auto"/>
            </w:tcBorders>
            <w:vMerge w:val="restart"/>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100,677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640" w:type="dxa"/>
            <w:vAlign w:val="bottom"/>
            <w:tcBorders>
              <w:bottom w:val="single" w:sz="8" w:color="CFF0FC"/>
            </w:tcBorders>
            <w:shd w:val="clear" w:color="auto" w:fill="CFF0FC"/>
          </w:tcPr>
          <w:p>
            <w:pPr>
              <w:ind w:left="480"/>
              <w:spacing w:after="0" w:line="125" w:lineRule="exact"/>
              <w:rPr>
                <w:sz w:val="20"/>
                <w:szCs w:val="20"/>
                <w:color w:val="auto"/>
              </w:rPr>
            </w:pPr>
            <w:r>
              <w:rPr>
                <w:rFonts w:ascii="Arial" w:cs="Arial" w:eastAsia="Arial" w:hAnsi="Arial"/>
                <w:sz w:val="14"/>
                <w:szCs w:val="14"/>
                <w:b w:val="1"/>
                <w:bCs w:val="1"/>
                <w:color w:val="auto"/>
              </w:rPr>
              <w:t>stock and stockholders' equity (deficit)</w:t>
            </w: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vMerge w:val="continue"/>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-4625340</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-4625340</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-3942715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-3925570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-3942715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-3925570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-3150870</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-3150870</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-2696845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-2696845</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-330835</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-330835</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RxSIGHT,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6"/>
              </w:rPr>
              <w:t>Year Ended December 31,</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Sales</w:t>
            </w:r>
          </w:p>
        </w:tc>
        <w:tc>
          <w:tcPr>
            <w:tcW w:w="1200" w:type="dxa"/>
            <w:vAlign w:val="bottom"/>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22,593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1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4,517</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tcPr>
          <w:p>
            <w:pPr>
              <w:ind w:left="200"/>
              <w:spacing w:after="0"/>
              <w:rPr>
                <w:sz w:val="20"/>
                <w:szCs w:val="20"/>
                <w:color w:val="auto"/>
              </w:rPr>
            </w:pPr>
            <w:r>
              <w:rPr>
                <w:rFonts w:ascii="Arial" w:cs="Arial" w:eastAsia="Arial" w:hAnsi="Arial"/>
                <w:sz w:val="14"/>
                <w:szCs w:val="14"/>
                <w:color w:val="auto"/>
              </w:rPr>
              <w:t>Operating expenses:</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Selling, general and administrative</w:t>
            </w:r>
          </w:p>
        </w:tc>
        <w:tc>
          <w:tcPr>
            <w:tcW w:w="1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32,805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15,176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1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of equipment</w:t>
            </w:r>
          </w:p>
        </w:tc>
        <w:tc>
          <w:tcPr>
            <w:tcW w:w="120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20" w:type="dxa"/>
            <w:vAlign w:val="bottom"/>
            <w:tcBorders>
              <w:top w:val="single" w:sz="8" w:color="CFF0FC"/>
            </w:tcBorders>
          </w:tcPr>
          <w:p>
            <w:pPr>
              <w:ind w:left="560"/>
              <w:spacing w:after="0"/>
              <w:rPr>
                <w:sz w:val="20"/>
                <w:szCs w:val="20"/>
                <w:color w:val="auto"/>
              </w:rPr>
            </w:pPr>
            <w:r>
              <w:rPr>
                <w:rFonts w:ascii="Arial" w:cs="Arial" w:eastAsia="Arial" w:hAnsi="Arial"/>
                <w:sz w:val="14"/>
                <w:szCs w:val="14"/>
                <w:color w:val="auto"/>
              </w:rPr>
              <w:t>Total operating expenses</w:t>
            </w:r>
          </w:p>
        </w:tc>
        <w:tc>
          <w:tcPr>
            <w:tcW w:w="1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57,304</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37,117</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Loss from operations</w:t>
            </w:r>
          </w:p>
        </w:tc>
        <w:tc>
          <w:tcPr>
            <w:tcW w:w="1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(52,787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(35,412</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6"/>
        </w:trPr>
        <w:tc>
          <w:tcPr>
            <w:tcW w:w="7020" w:type="dxa"/>
            <w:vAlign w:val="bottom"/>
          </w:tcPr>
          <w:p>
            <w:pPr>
              <w:ind w:left="200"/>
              <w:spacing w:after="0"/>
              <w:rPr>
                <w:sz w:val="20"/>
                <w:szCs w:val="20"/>
                <w:color w:val="auto"/>
              </w:rPr>
            </w:pPr>
            <w:r>
              <w:rPr>
                <w:rFonts w:ascii="Arial" w:cs="Arial" w:eastAsia="Arial" w:hAnsi="Arial"/>
                <w:sz w:val="14"/>
                <w:szCs w:val="14"/>
                <w:color w:val="auto"/>
              </w:rPr>
              <w:t>Other income (expense):</w:t>
            </w: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fair value of warrants</w:t>
            </w:r>
          </w:p>
        </w:tc>
        <w:tc>
          <w:tcPr>
            <w:tcW w:w="1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63,011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tcPr>
          <w:p>
            <w:pPr>
              <w:ind w:left="380"/>
              <w:spacing w:after="0"/>
              <w:rPr>
                <w:sz w:val="20"/>
                <w:szCs w:val="20"/>
                <w:color w:val="auto"/>
              </w:rPr>
            </w:pPr>
            <w:r>
              <w:rPr>
                <w:rFonts w:ascii="Arial" w:cs="Arial" w:eastAsia="Arial" w:hAnsi="Arial"/>
                <w:sz w:val="14"/>
                <w:szCs w:val="14"/>
                <w:color w:val="auto"/>
              </w:rPr>
              <w:t>Expiration of warrant</w:t>
            </w:r>
          </w:p>
        </w:tc>
        <w:tc>
          <w:tcPr>
            <w:tcW w:w="1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expense</w:t>
            </w:r>
          </w:p>
        </w:tc>
        <w:tc>
          <w:tcPr>
            <w:tcW w:w="1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(3,682 )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(510 )</w:t>
            </w:r>
          </w:p>
        </w:tc>
        <w:tc>
          <w:tcPr>
            <w:tcW w:w="0" w:type="dxa"/>
            <w:vAlign w:val="bottom"/>
          </w:tcPr>
          <w:p>
            <w:pPr>
              <w:spacing w:after="0"/>
              <w:rPr>
                <w:sz w:val="1"/>
                <w:szCs w:val="1"/>
                <w:color w:val="auto"/>
              </w:rPr>
            </w:pPr>
          </w:p>
        </w:tc>
      </w:tr>
      <w:tr>
        <w:trPr>
          <w:trHeight w:val="176"/>
        </w:trPr>
        <w:tc>
          <w:tcPr>
            <w:tcW w:w="7020" w:type="dxa"/>
            <w:vAlign w:val="bottom"/>
          </w:tcPr>
          <w:p>
            <w:pPr>
              <w:ind w:left="380"/>
              <w:spacing w:after="0"/>
              <w:rPr>
                <w:sz w:val="20"/>
                <w:szCs w:val="20"/>
                <w:color w:val="auto"/>
              </w:rPr>
            </w:pPr>
            <w:r>
              <w:rPr>
                <w:rFonts w:ascii="Arial" w:cs="Arial" w:eastAsia="Arial" w:hAnsi="Arial"/>
                <w:sz w:val="14"/>
                <w:szCs w:val="14"/>
                <w:color w:val="auto"/>
              </w:rPr>
              <w:t>Interest and other income, net</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(Loss) income before income taxes</w:t>
            </w:r>
          </w:p>
        </w:tc>
        <w:tc>
          <w:tcPr>
            <w:tcW w:w="1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(48,680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tcPr>
          <w:p>
            <w:pPr>
              <w:ind w:left="200"/>
              <w:spacing w:after="0"/>
              <w:rPr>
                <w:sz w:val="20"/>
                <w:szCs w:val="20"/>
                <w:color w:val="auto"/>
              </w:rPr>
            </w:pPr>
            <w:r>
              <w:rPr>
                <w:rFonts w:ascii="Arial" w:cs="Arial" w:eastAsia="Arial" w:hAnsi="Arial"/>
                <w:sz w:val="14"/>
                <w:szCs w:val="14"/>
                <w:color w:val="auto"/>
              </w:rPr>
              <w:t>Income tax expense</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Net (loss) income</w:t>
            </w:r>
          </w:p>
        </w:tc>
        <w:tc>
          <w:tcPr>
            <w:tcW w:w="1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(48,688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27,575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020" w:type="dxa"/>
            <w:vAlign w:val="bottom"/>
          </w:tcPr>
          <w:p>
            <w:pPr>
              <w:ind w:left="200"/>
              <w:spacing w:after="0" w:line="143" w:lineRule="exact"/>
              <w:rPr>
                <w:sz w:val="20"/>
                <w:szCs w:val="20"/>
                <w:color w:val="auto"/>
              </w:rPr>
            </w:pPr>
            <w:r>
              <w:rPr>
                <w:rFonts w:ascii="Arial" w:cs="Arial" w:eastAsia="Arial" w:hAnsi="Arial"/>
                <w:sz w:val="14"/>
                <w:szCs w:val="14"/>
                <w:color w:val="auto"/>
              </w:rPr>
              <w:t>Accretion to redemption value of redeemable</w:t>
            </w:r>
          </w:p>
        </w:tc>
        <w:tc>
          <w:tcPr>
            <w:tcW w:w="120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(24,209 )</w:t>
            </w:r>
          </w:p>
        </w:tc>
        <w:tc>
          <w:tcPr>
            <w:tcW w:w="0" w:type="dxa"/>
            <w:vAlign w:val="bottom"/>
          </w:tcPr>
          <w:p>
            <w:pPr>
              <w:spacing w:after="0"/>
              <w:rPr>
                <w:sz w:val="1"/>
                <w:szCs w:val="1"/>
                <w:color w:val="auto"/>
              </w:rPr>
            </w:pPr>
          </w:p>
        </w:tc>
      </w:tr>
      <w:tr>
        <w:trPr>
          <w:trHeight w:val="167"/>
        </w:trPr>
        <w:tc>
          <w:tcPr>
            <w:tcW w:w="7020" w:type="dxa"/>
            <w:vAlign w:val="bottom"/>
          </w:tcPr>
          <w:p>
            <w:pPr>
              <w:ind w:left="300"/>
              <w:spacing w:after="0"/>
              <w:rPr>
                <w:sz w:val="20"/>
                <w:szCs w:val="20"/>
                <w:color w:val="auto"/>
              </w:rPr>
            </w:pPr>
            <w:r>
              <w:rPr>
                <w:rFonts w:ascii="Arial" w:cs="Arial" w:eastAsia="Arial" w:hAnsi="Arial"/>
                <w:sz w:val="14"/>
                <w:szCs w:val="14"/>
                <w:color w:val="auto"/>
              </w:rPr>
              <w:t>preferred stock and redeemable stock options</w:t>
            </w:r>
          </w:p>
        </w:tc>
        <w:tc>
          <w:tcPr>
            <w:tcW w:w="12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Net (loss) income attributable to common stockholders</w:t>
            </w:r>
          </w:p>
        </w:tc>
        <w:tc>
          <w:tcPr>
            <w:tcW w:w="12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(48,688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on short-term investments</w:t>
            </w:r>
          </w:p>
        </w:tc>
        <w:tc>
          <w:tcPr>
            <w:tcW w:w="1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75"/>
        </w:trPr>
        <w:tc>
          <w:tcPr>
            <w:tcW w:w="7020" w:type="dxa"/>
            <w:vAlign w:val="bottom"/>
          </w:tcPr>
          <w:p>
            <w:pPr>
              <w:ind w:left="380"/>
              <w:spacing w:after="0"/>
              <w:rPr>
                <w:sz w:val="20"/>
                <w:szCs w:val="20"/>
                <w:color w:val="auto"/>
              </w:rPr>
            </w:pPr>
            <w:r>
              <w:rPr>
                <w:rFonts w:ascii="Arial" w:cs="Arial" w:eastAsia="Arial" w:hAnsi="Arial"/>
                <w:sz w:val="14"/>
                <w:szCs w:val="14"/>
                <w:color w:val="auto"/>
              </w:rPr>
              <w:t>Foreign currency translation loss</w:t>
            </w:r>
          </w:p>
        </w:tc>
        <w:tc>
          <w:tcPr>
            <w:tcW w:w="1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other comprehensive loss</w:t>
            </w:r>
          </w:p>
        </w:tc>
        <w:tc>
          <w:tcPr>
            <w:tcW w:w="12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6"/>
        </w:trPr>
        <w:tc>
          <w:tcPr>
            <w:tcW w:w="702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 (income)</w:t>
            </w:r>
          </w:p>
        </w:tc>
        <w:tc>
          <w:tcPr>
            <w:tcW w:w="1200" w:type="dxa"/>
            <w:vAlign w:val="bottom"/>
          </w:tcPr>
          <w:p>
            <w:pPr>
              <w:jc w:val="right"/>
              <w:ind w:right="1028"/>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(48,705 )</w:t>
            </w:r>
          </w:p>
        </w:tc>
        <w:tc>
          <w:tcPr>
            <w:tcW w:w="140" w:type="dxa"/>
            <w:vAlign w:val="bottom"/>
          </w:tcPr>
          <w:p>
            <w:pPr>
              <w:spacing w:after="0"/>
              <w:rPr>
                <w:sz w:val="15"/>
                <w:szCs w:val="15"/>
                <w:color w:val="auto"/>
              </w:rPr>
            </w:pPr>
          </w:p>
        </w:tc>
        <w:tc>
          <w:tcPr>
            <w:tcW w:w="760" w:type="dxa"/>
            <w:vAlign w:val="bottom"/>
          </w:tcPr>
          <w:p>
            <w:pPr>
              <w:jc w:val="right"/>
              <w:ind w:right="588"/>
              <w:spacing w:after="0" w:line="155"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27,526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20" w:type="dxa"/>
            <w:vAlign w:val="bottom"/>
            <w:shd w:val="clear" w:color="auto" w:fill="CFF0FC"/>
          </w:tcPr>
          <w:p>
            <w:pPr>
              <w:ind w:left="200"/>
              <w:spacing w:after="0" w:line="156" w:lineRule="exact"/>
              <w:rPr>
                <w:sz w:val="20"/>
                <w:szCs w:val="20"/>
                <w:color w:val="auto"/>
              </w:rPr>
            </w:pPr>
            <w:r>
              <w:rPr>
                <w:rFonts w:ascii="Arial" w:cs="Arial" w:eastAsia="Arial" w:hAnsi="Arial"/>
                <w:sz w:val="14"/>
                <w:szCs w:val="14"/>
                <w:color w:val="auto"/>
              </w:rPr>
              <w:t>Net (loss) income per share:</w:t>
            </w:r>
          </w:p>
        </w:tc>
        <w:tc>
          <w:tcPr>
            <w:tcW w:w="1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020" w:type="dxa"/>
            <w:vAlign w:val="bottom"/>
          </w:tcPr>
          <w:p>
            <w:pPr>
              <w:ind w:left="380"/>
              <w:spacing w:after="0"/>
              <w:rPr>
                <w:sz w:val="20"/>
                <w:szCs w:val="20"/>
                <w:color w:val="auto"/>
              </w:rPr>
            </w:pPr>
            <w:r>
              <w:rPr>
                <w:rFonts w:ascii="Arial" w:cs="Arial" w:eastAsia="Arial" w:hAnsi="Arial"/>
                <w:sz w:val="14"/>
                <w:szCs w:val="14"/>
                <w:color w:val="auto"/>
              </w:rPr>
              <w:t>Attributable to common stock, basic</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(3.57 )</w:t>
            </w:r>
          </w:p>
        </w:tc>
        <w:tc>
          <w:tcPr>
            <w:tcW w:w="14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diluted</w:t>
            </w:r>
          </w:p>
        </w:tc>
        <w:tc>
          <w:tcPr>
            <w:tcW w:w="1200" w:type="dxa"/>
            <w:vAlign w:val="bottom"/>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(3.57 )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tcPr>
          <w:p>
            <w:pPr>
              <w:ind w:left="380"/>
              <w:spacing w:after="0"/>
              <w:rPr>
                <w:sz w:val="20"/>
                <w:szCs w:val="20"/>
                <w:color w:val="auto"/>
              </w:rPr>
            </w:pPr>
            <w:r>
              <w:rPr>
                <w:rFonts w:ascii="Arial" w:cs="Arial" w:eastAsia="Arial" w:hAnsi="Arial"/>
                <w:sz w:val="14"/>
                <w:szCs w:val="14"/>
                <w:color w:val="auto"/>
              </w:rPr>
              <w:t>Attributable to Series G common stock, basic</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(0.39 )</w:t>
            </w: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Series G common stock, diluted</w:t>
            </w:r>
          </w:p>
        </w:tc>
        <w:tc>
          <w:tcPr>
            <w:tcW w:w="1200" w:type="dxa"/>
            <w:vAlign w:val="bottom"/>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(0.62 )</w:t>
            </w:r>
          </w:p>
        </w:tc>
        <w:tc>
          <w:tcPr>
            <w:tcW w:w="0" w:type="dxa"/>
            <w:vAlign w:val="bottom"/>
          </w:tcPr>
          <w:p>
            <w:pPr>
              <w:spacing w:after="0"/>
              <w:rPr>
                <w:sz w:val="1"/>
                <w:szCs w:val="1"/>
                <w:color w:val="auto"/>
              </w:rPr>
            </w:pPr>
          </w:p>
        </w:tc>
      </w:tr>
      <w:tr>
        <w:trPr>
          <w:trHeight w:val="176"/>
        </w:trPr>
        <w:tc>
          <w:tcPr>
            <w:tcW w:w="7020" w:type="dxa"/>
            <w:vAlign w:val="bottom"/>
          </w:tcPr>
          <w:p>
            <w:pPr>
              <w:ind w:left="200"/>
              <w:spacing w:after="0"/>
              <w:rPr>
                <w:sz w:val="20"/>
                <w:szCs w:val="20"/>
                <w:color w:val="auto"/>
              </w:rPr>
            </w:pPr>
            <w:r>
              <w:rPr>
                <w:rFonts w:ascii="Arial" w:cs="Arial" w:eastAsia="Arial" w:hAnsi="Arial"/>
                <w:sz w:val="14"/>
                <w:szCs w:val="14"/>
                <w:color w:val="auto"/>
              </w:rPr>
              <w:t>Weighted-average shares used in computing net income (loss) per share:</w:t>
            </w: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basic</w:t>
            </w:r>
          </w:p>
        </w:tc>
        <w:tc>
          <w:tcPr>
            <w:tcW w:w="1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13,625,044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3,707,207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tcPr>
          <w:p>
            <w:pPr>
              <w:ind w:left="380"/>
              <w:spacing w:after="0"/>
              <w:rPr>
                <w:sz w:val="20"/>
                <w:szCs w:val="20"/>
                <w:color w:val="auto"/>
              </w:rPr>
            </w:pPr>
            <w:r>
              <w:rPr>
                <w:rFonts w:ascii="Arial" w:cs="Arial" w:eastAsia="Arial" w:hAnsi="Arial"/>
                <w:sz w:val="14"/>
                <w:szCs w:val="14"/>
                <w:color w:val="auto"/>
              </w:rPr>
              <w:t>Attributable to common stock, diluted</w:t>
            </w:r>
          </w:p>
        </w:tc>
        <w:tc>
          <w:tcPr>
            <w:tcW w:w="1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13,625,044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5,532,305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Series G common stock, basic and diluted</w:t>
            </w:r>
          </w:p>
        </w:tc>
        <w:tc>
          <w:tcPr>
            <w:tcW w:w="120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-3510915</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-3510915</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-3056890</wp:posOffset>
            </wp:positionV>
            <wp:extent cx="603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-3056890</wp:posOffset>
            </wp:positionV>
            <wp:extent cx="514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t>RxSIGHT, INC.</w:t>
      </w:r>
    </w:p>
    <w:p>
      <w:pPr>
        <w:spacing w:after="0" w:line="10" w:lineRule="exact"/>
        <w:rPr>
          <w:sz w:val="20"/>
          <w:szCs w:val="20"/>
          <w:color w:val="auto"/>
        </w:rPr>
      </w:pPr>
    </w:p>
    <w:p>
      <w:pPr>
        <w:jc w:val="center"/>
        <w:ind w:right="20"/>
        <w:spacing w:after="0" w:line="232" w:lineRule="auto"/>
        <w:rPr>
          <w:sz w:val="20"/>
          <w:szCs w:val="20"/>
          <w:color w:val="auto"/>
        </w:rPr>
      </w:pPr>
      <w:r>
        <w:rPr>
          <w:rFonts w:ascii="Arial" w:cs="Arial" w:eastAsia="Arial" w:hAnsi="Arial"/>
          <w:sz w:val="16"/>
          <w:szCs w:val="16"/>
          <w:b w:val="1"/>
          <w:bCs w:val="1"/>
          <w:color w:val="auto"/>
        </w:rPr>
        <w:t>CONSOLIDATED STATEMENTS OF REDEEMABLE COMMON STOCK, STOCK OPTIONS, CONVERTIBLE PREFERED STOCK AND STOCKHOLDERS’ EQUITY (DEFICIT) (In thousands, except number of shares)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3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center"/>
              <w:ind w:left="168"/>
              <w:spacing w:after="0" w:line="102" w:lineRule="exact"/>
              <w:rPr>
                <w:sz w:val="20"/>
                <w:szCs w:val="20"/>
                <w:color w:val="auto"/>
              </w:rPr>
            </w:pPr>
            <w:r>
              <w:rPr>
                <w:rFonts w:ascii="Arial" w:cs="Arial" w:eastAsia="Arial" w:hAnsi="Arial"/>
                <w:sz w:val="11"/>
                <w:szCs w:val="11"/>
                <w:b w:val="1"/>
                <w:bCs w:val="1"/>
                <w:color w:val="auto"/>
                <w:w w:val="84"/>
              </w:rPr>
              <w:t>Notes</w:t>
            </w: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right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4"/>
              </w:rPr>
              <w:t>Notes</w:t>
            </w:r>
          </w:p>
        </w:tc>
        <w:tc>
          <w:tcPr>
            <w:tcW w:w="1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center"/>
              <w:ind w:right="140"/>
              <w:spacing w:after="0" w:line="108" w:lineRule="exact"/>
              <w:rPr>
                <w:sz w:val="20"/>
                <w:szCs w:val="20"/>
                <w:color w:val="auto"/>
              </w:rPr>
            </w:pPr>
            <w:r>
              <w:rPr>
                <w:rFonts w:ascii="Arial" w:cs="Arial" w:eastAsia="Arial" w:hAnsi="Arial"/>
                <w:sz w:val="11"/>
                <w:szCs w:val="11"/>
                <w:b w:val="1"/>
                <w:bCs w:val="1"/>
                <w:color w:val="auto"/>
                <w:w w:val="85"/>
              </w:rPr>
              <w:t>receivable</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left="168"/>
              <w:spacing w:after="0" w:line="108" w:lineRule="exact"/>
              <w:rPr>
                <w:sz w:val="20"/>
                <w:szCs w:val="20"/>
                <w:color w:val="auto"/>
              </w:rPr>
            </w:pPr>
            <w:r>
              <w:rPr>
                <w:rFonts w:ascii="Arial" w:cs="Arial" w:eastAsia="Arial" w:hAnsi="Arial"/>
                <w:sz w:val="11"/>
                <w:szCs w:val="11"/>
                <w:b w:val="1"/>
                <w:bCs w:val="1"/>
                <w:color w:val="auto"/>
                <w:w w:val="95"/>
              </w:rPr>
              <w:t>for</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Borders>
              <w:right w:val="single" w:sz="8" w:color="auto"/>
            </w:tcBorders>
            <w:gridSpan w:val="5"/>
            <w:vMerge w:val="restart"/>
          </w:tcPr>
          <w:p>
            <w:pPr>
              <w:jc w:val="right"/>
              <w:ind w:right="460"/>
              <w:spacing w:after="0"/>
              <w:rPr>
                <w:sz w:val="20"/>
                <w:szCs w:val="20"/>
                <w:color w:val="auto"/>
              </w:rPr>
            </w:pPr>
            <w:r>
              <w:rPr>
                <w:rFonts w:ascii="Arial" w:cs="Arial" w:eastAsia="Arial" w:hAnsi="Arial"/>
                <w:sz w:val="11"/>
                <w:szCs w:val="11"/>
                <w:b w:val="1"/>
                <w:bCs w:val="1"/>
                <w:color w:val="auto"/>
              </w:rPr>
              <w:t>Convertible</w:t>
            </w: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5"/>
              </w:rPr>
              <w:t>receivable</w:t>
            </w: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8"/>
              </w:rPr>
              <w:t>redeemable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right w:val="single" w:sz="8" w:color="auto"/>
            </w:tcBorders>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for</w:t>
            </w:r>
          </w:p>
        </w:tc>
        <w:tc>
          <w:tcPr>
            <w:tcW w:w="140" w:type="dxa"/>
            <w:vAlign w:val="bottom"/>
          </w:tcPr>
          <w:p>
            <w:pPr>
              <w:spacing w:after="0"/>
              <w:rPr>
                <w:sz w:val="11"/>
                <w:szCs w:val="11"/>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other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360" w:type="dxa"/>
            <w:vAlign w:val="bottom"/>
            <w:gridSpan w:val="5"/>
            <w:vMerge w:val="restart"/>
          </w:tcPr>
          <w:p>
            <w:pPr>
              <w:jc w:val="right"/>
              <w:ind w:right="100"/>
              <w:spacing w:after="0"/>
              <w:rPr>
                <w:sz w:val="20"/>
                <w:szCs w:val="20"/>
                <w:color w:val="auto"/>
              </w:rPr>
            </w:pPr>
            <w:r>
              <w:rPr>
                <w:rFonts w:ascii="Arial" w:cs="Arial" w:eastAsia="Arial" w:hAnsi="Arial"/>
                <w:sz w:val="11"/>
                <w:szCs w:val="11"/>
                <w:b w:val="1"/>
                <w:bCs w:val="1"/>
                <w:color w:val="auto"/>
                <w:w w:val="85"/>
              </w:rPr>
              <w:t>Redeemable common stock</w:t>
            </w: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84"/>
              </w:rPr>
              <w:t>common stock</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86"/>
              </w:rPr>
              <w:t>Redeemable</w:t>
            </w:r>
          </w:p>
        </w:tc>
        <w:tc>
          <w:tcPr>
            <w:tcW w:w="1380" w:type="dxa"/>
            <w:vAlign w:val="bottom"/>
            <w:tcBorders>
              <w:right w:val="single" w:sz="8" w:color="auto"/>
            </w:tcBorders>
            <w:gridSpan w:val="5"/>
            <w:vMerge w:val="restart"/>
          </w:tcPr>
          <w:p>
            <w:pPr>
              <w:jc w:val="right"/>
              <w:ind w:right="380"/>
              <w:spacing w:after="0"/>
              <w:rPr>
                <w:sz w:val="20"/>
                <w:szCs w:val="20"/>
                <w:color w:val="auto"/>
              </w:rPr>
            </w:pPr>
            <w:r>
              <w:rPr>
                <w:rFonts w:ascii="Arial" w:cs="Arial" w:eastAsia="Arial" w:hAnsi="Arial"/>
                <w:sz w:val="11"/>
                <w:szCs w:val="11"/>
                <w:b w:val="1"/>
                <w:bCs w:val="1"/>
                <w:color w:val="auto"/>
              </w:rPr>
              <w:t>preferred stock</w:t>
            </w:r>
          </w:p>
        </w:tc>
        <w:tc>
          <w:tcPr>
            <w:tcW w:w="40" w:type="dxa"/>
            <w:vAlign w:val="bottom"/>
          </w:tcPr>
          <w:p>
            <w:pPr>
              <w:spacing w:after="0"/>
              <w:rPr>
                <w:sz w:val="9"/>
                <w:szCs w:val="9"/>
                <w:color w:val="auto"/>
              </w:rPr>
            </w:pPr>
          </w:p>
        </w:tc>
        <w:tc>
          <w:tcPr>
            <w:tcW w:w="1040" w:type="dxa"/>
            <w:vAlign w:val="bottom"/>
            <w:gridSpan w:val="3"/>
            <w:vMerge w:val="restart"/>
          </w:tcPr>
          <w:p>
            <w:pPr>
              <w:jc w:val="right"/>
              <w:ind w:right="26"/>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9"/>
                <w:szCs w:val="9"/>
                <w:color w:val="auto"/>
              </w:rPr>
            </w:pPr>
          </w:p>
        </w:tc>
        <w:tc>
          <w:tcPr>
            <w:tcW w:w="640" w:type="dxa"/>
            <w:vAlign w:val="bottom"/>
            <w:gridSpan w:val="2"/>
          </w:tcPr>
          <w:p>
            <w:pPr>
              <w:jc w:val="right"/>
              <w:ind w:right="200"/>
              <w:spacing w:after="0" w:line="109" w:lineRule="exact"/>
              <w:rPr>
                <w:sz w:val="20"/>
                <w:szCs w:val="20"/>
                <w:color w:val="auto"/>
              </w:rPr>
            </w:pPr>
            <w:r>
              <w:rPr>
                <w:rFonts w:ascii="Arial" w:cs="Arial" w:eastAsia="Arial" w:hAnsi="Arial"/>
                <w:sz w:val="11"/>
                <w:szCs w:val="11"/>
                <w:b w:val="1"/>
                <w:bCs w:val="1"/>
                <w:color w:val="auto"/>
                <w:w w:val="91"/>
              </w:rPr>
              <w:t>common</w:t>
            </w:r>
          </w:p>
        </w:tc>
        <w:tc>
          <w:tcPr>
            <w:tcW w:w="140" w:type="dxa"/>
            <w:vAlign w:val="bottom"/>
          </w:tcPr>
          <w:p>
            <w:pPr>
              <w:spacing w:after="0"/>
              <w:rPr>
                <w:sz w:val="9"/>
                <w:szCs w:val="9"/>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4"/>
              </w:rPr>
              <w:t>comprehensive</w:t>
            </w:r>
          </w:p>
        </w:tc>
        <w:tc>
          <w:tcPr>
            <w:tcW w:w="860" w:type="dxa"/>
            <w:vAlign w:val="bottom"/>
            <w:gridSpan w:val="4"/>
            <w:vMerge w:val="restart"/>
          </w:tcPr>
          <w:p>
            <w:pPr>
              <w:jc w:val="right"/>
              <w:ind w:right="200"/>
              <w:spacing w:after="0"/>
              <w:rPr>
                <w:sz w:val="20"/>
                <w:szCs w:val="20"/>
                <w:color w:val="auto"/>
              </w:rPr>
            </w:pPr>
            <w:r>
              <w:rPr>
                <w:rFonts w:ascii="Arial" w:cs="Arial" w:eastAsia="Arial" w:hAnsi="Arial"/>
                <w:sz w:val="11"/>
                <w:szCs w:val="11"/>
                <w:b w:val="1"/>
                <w:bCs w:val="1"/>
                <w:color w:val="auto"/>
                <w:w w:val="92"/>
              </w:rPr>
              <w:t>Accumulated</w:t>
            </w:r>
          </w:p>
        </w:tc>
        <w:tc>
          <w:tcPr>
            <w:tcW w:w="780" w:type="dxa"/>
            <w:vAlign w:val="bottom"/>
            <w:gridSpan w:val="2"/>
          </w:tcPr>
          <w:p>
            <w:pPr>
              <w:jc w:val="right"/>
              <w:ind w:right="340"/>
              <w:spacing w:after="0" w:line="109"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380" w:type="dxa"/>
            <w:vAlign w:val="bottom"/>
            <w:tcBorders>
              <w:right w:val="single" w:sz="8" w:color="auto"/>
            </w:tcBorders>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paid-in</w:t>
            </w:r>
          </w:p>
        </w:tc>
        <w:tc>
          <w:tcPr>
            <w:tcW w:w="10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stock</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480" w:type="dxa"/>
            <w:vAlign w:val="bottom"/>
            <w:tcBorders>
              <w:bottom w:val="single" w:sz="8" w:color="auto"/>
            </w:tcBorders>
          </w:tcPr>
          <w:p>
            <w:pPr>
              <w:jc w:val="center"/>
              <w:ind w:left="148"/>
              <w:spacing w:after="0" w:line="121" w:lineRule="exact"/>
              <w:rPr>
                <w:sz w:val="20"/>
                <w:szCs w:val="20"/>
                <w:color w:val="auto"/>
              </w:rPr>
            </w:pPr>
            <w:r>
              <w:rPr>
                <w:rFonts w:ascii="Arial" w:cs="Arial" w:eastAsia="Arial" w:hAnsi="Arial"/>
                <w:sz w:val="11"/>
                <w:szCs w:val="11"/>
                <w:b w:val="1"/>
                <w:bCs w:val="1"/>
                <w:color w:val="auto"/>
                <w:w w:val="80"/>
              </w:rPr>
              <w:t>issued</w:t>
            </w: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b w:val="1"/>
                <w:bCs w:val="1"/>
                <w:color w:val="auto"/>
                <w:w w:val="81"/>
              </w:rPr>
              <w:t>stock options</w:t>
            </w:r>
          </w:p>
        </w:tc>
        <w:tc>
          <w:tcPr>
            <w:tcW w:w="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6"/>
              <w:spacing w:after="0" w:line="121" w:lineRule="exact"/>
              <w:rPr>
                <w:sz w:val="20"/>
                <w:szCs w:val="20"/>
                <w:color w:val="auto"/>
              </w:rPr>
            </w:pPr>
            <w:r>
              <w:rPr>
                <w:rFonts w:ascii="Arial" w:cs="Arial" w:eastAsia="Arial" w:hAnsi="Arial"/>
                <w:sz w:val="11"/>
                <w:szCs w:val="11"/>
                <w:b w:val="1"/>
                <w:bCs w:val="1"/>
                <w:color w:val="auto"/>
                <w:w w:val="91"/>
              </w:rPr>
              <w:t>capital</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46"/>
              <w:spacing w:after="0" w:line="121" w:lineRule="exact"/>
              <w:rPr>
                <w:sz w:val="20"/>
                <w:szCs w:val="20"/>
                <w:color w:val="auto"/>
              </w:rPr>
            </w:pPr>
            <w:r>
              <w:rPr>
                <w:rFonts w:ascii="Arial" w:cs="Arial" w:eastAsia="Arial" w:hAnsi="Arial"/>
                <w:sz w:val="11"/>
                <w:szCs w:val="11"/>
                <w:b w:val="1"/>
                <w:bCs w:val="1"/>
                <w:color w:val="auto"/>
                <w:w w:val="80"/>
              </w:rPr>
              <w:t>issued</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86"/>
              <w:spacing w:after="0" w:line="121" w:lineRule="exact"/>
              <w:rPr>
                <w:sz w:val="20"/>
                <w:szCs w:val="20"/>
                <w:color w:val="auto"/>
              </w:rPr>
            </w:pPr>
            <w:r>
              <w:rPr>
                <w:rFonts w:ascii="Arial" w:cs="Arial" w:eastAsia="Arial" w:hAnsi="Arial"/>
                <w:sz w:val="11"/>
                <w:szCs w:val="11"/>
                <w:b w:val="1"/>
                <w:bCs w:val="1"/>
                <w:color w:val="auto"/>
                <w:w w:val="84"/>
              </w:rPr>
              <w:t>income (loss)</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6"/>
              <w:spacing w:after="0" w:line="121" w:lineRule="exact"/>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6"/>
              <w:spacing w:after="0" w:line="121" w:lineRule="exact"/>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340" w:type="dxa"/>
            <w:vAlign w:val="bottom"/>
          </w:tcPr>
          <w:p>
            <w:pPr>
              <w:ind w:left="20"/>
              <w:spacing w:after="0" w:line="92" w:lineRule="exact"/>
              <w:rPr>
                <w:sz w:val="20"/>
                <w:szCs w:val="20"/>
                <w:color w:val="auto"/>
              </w:rPr>
            </w:pPr>
            <w:r>
              <w:rPr>
                <w:rFonts w:ascii="Arial" w:cs="Arial" w:eastAsia="Arial" w:hAnsi="Arial"/>
                <w:sz w:val="10"/>
                <w:szCs w:val="10"/>
                <w:color w:val="auto"/>
              </w:rPr>
              <w:t>Balance at December 31,</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3,563,884</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56,422</w:t>
            </w:r>
          </w:p>
        </w:tc>
        <w:tc>
          <w:tcPr>
            <w:tcW w:w="80" w:type="dxa"/>
            <w:vAlign w:val="bottom"/>
          </w:tcPr>
          <w:p>
            <w:pPr>
              <w:spacing w:after="0"/>
              <w:rPr>
                <w:sz w:val="7"/>
                <w:szCs w:val="7"/>
                <w:color w:val="auto"/>
              </w:rPr>
            </w:pPr>
          </w:p>
        </w:tc>
        <w:tc>
          <w:tcPr>
            <w:tcW w:w="480" w:type="dxa"/>
            <w:vAlign w:val="bottom"/>
            <w:vMerge w:val="restart"/>
          </w:tcPr>
          <w:p>
            <w:pPr>
              <w:jc w:val="right"/>
              <w:ind w:right="368"/>
              <w:spacing w:after="0"/>
              <w:rPr>
                <w:sz w:val="20"/>
                <w:szCs w:val="20"/>
                <w:color w:val="auto"/>
              </w:rPr>
            </w:pPr>
            <w:r>
              <w:rPr>
                <w:rFonts w:ascii="Arial" w:cs="Arial" w:eastAsia="Arial" w:hAnsi="Arial"/>
                <w:sz w:val="10"/>
                <w:szCs w:val="10"/>
                <w:color w:val="auto"/>
                <w:w w:val="71"/>
              </w:rPr>
              <w:t>$</w:t>
            </w:r>
          </w:p>
        </w:tc>
        <w:tc>
          <w:tcPr>
            <w:tcW w:w="360" w:type="dxa"/>
            <w:vAlign w:val="bottom"/>
            <w:gridSpan w:val="2"/>
            <w:vMerge w:val="restart"/>
          </w:tcPr>
          <w:p>
            <w:pPr>
              <w:jc w:val="right"/>
              <w:spacing w:after="0"/>
              <w:rPr>
                <w:sz w:val="20"/>
                <w:szCs w:val="20"/>
                <w:color w:val="auto"/>
              </w:rPr>
            </w:pPr>
            <w:r>
              <w:rPr>
                <w:rFonts w:ascii="Arial" w:cs="Arial" w:eastAsia="Arial" w:hAnsi="Arial"/>
                <w:sz w:val="11"/>
                <w:szCs w:val="11"/>
                <w:color w:val="auto"/>
                <w:w w:val="89"/>
              </w:rPr>
              <w:t>(855 ) $</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59,631</w:t>
            </w: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14,374,455</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327,581</w:t>
            </w:r>
          </w:p>
        </w:tc>
        <w:tc>
          <w:tcPr>
            <w:tcW w:w="1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7"/>
                <w:szCs w:val="7"/>
                <w:color w:val="auto"/>
              </w:rPr>
            </w:pPr>
          </w:p>
        </w:tc>
        <w:tc>
          <w:tcPr>
            <w:tcW w:w="400" w:type="dxa"/>
            <w:vAlign w:val="bottom"/>
            <w:vMerge w:val="restart"/>
          </w:tcPr>
          <w:p>
            <w:pPr>
              <w:jc w:val="right"/>
              <w:ind w:right="266"/>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46</w:t>
            </w:r>
          </w:p>
        </w:tc>
        <w:tc>
          <w:tcPr>
            <w:tcW w:w="60" w:type="dxa"/>
            <w:vAlign w:val="bottom"/>
          </w:tcPr>
          <w:p>
            <w:pPr>
              <w:spacing w:after="0"/>
              <w:rPr>
                <w:sz w:val="7"/>
                <w:szCs w:val="7"/>
                <w:color w:val="auto"/>
              </w:rPr>
            </w:pP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(419,855 ) $</w:t>
            </w: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(419,809 )</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Arial" w:cs="Arial" w:eastAsia="Arial" w:hAnsi="Arial"/>
                <w:sz w:val="11"/>
                <w:szCs w:val="11"/>
                <w:color w:val="auto"/>
              </w:rPr>
              <w:t>2019</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580" w:type="dxa"/>
            <w:vAlign w:val="bottom"/>
          </w:tcPr>
          <w:p>
            <w:pPr>
              <w:jc w:val="right"/>
              <w:spacing w:after="0"/>
              <w:rPr>
                <w:sz w:val="20"/>
                <w:szCs w:val="20"/>
                <w:color w:val="auto"/>
              </w:rPr>
            </w:pPr>
            <w:r>
              <w:rPr>
                <w:rFonts w:ascii="Arial" w:cs="Arial" w:eastAsia="Arial" w:hAnsi="Arial"/>
                <w:sz w:val="11"/>
                <w:szCs w:val="11"/>
                <w:color w:val="auto"/>
              </w:rPr>
              <w:t>249,566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6,075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(5,083 )</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Exercise of warrants</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w:t>
            </w:r>
          </w:p>
        </w:tc>
        <w:tc>
          <w:tcPr>
            <w:tcW w:w="1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w w:val="97"/>
              </w:rPr>
              <w:t>Stock-based compensation</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4,185</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4,185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expense</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Accretion to redemption</w:t>
            </w:r>
          </w:p>
        </w:tc>
        <w:tc>
          <w:tcPr>
            <w:tcW w:w="5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value</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(1,463 )</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1,461</w:t>
            </w: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1,461</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4"/>
              </w:rPr>
              <w:t>of redeemable stock options</w:t>
            </w:r>
          </w:p>
        </w:tc>
        <w:tc>
          <w:tcPr>
            <w:tcW w:w="58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rPr>
              <w:t>Accretion to redemption</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value</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18,283</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25,672</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color w:val="auto"/>
              </w:rPr>
              <w:t>(4,185 )</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color w:val="auto"/>
              </w:rPr>
              <w:t>(39,769 )</w:t>
            </w:r>
          </w:p>
        </w:tc>
        <w:tc>
          <w:tcPr>
            <w:tcW w:w="8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(43,954 )</w:t>
            </w: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of redeemable stock</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w w:val="97"/>
              </w:rPr>
              <w:t>Change in notes receivable</w:t>
            </w:r>
          </w:p>
        </w:tc>
        <w:tc>
          <w:tcPr>
            <w:tcW w:w="5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for</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w:t>
            </w: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stock issued</w:t>
            </w: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rPr>
              <w:t>Unrealized loss on short-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term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investments and cash</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(49 )</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(49 )</w:t>
            </w: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equivalents, net of tax</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27,575</w:t>
            </w: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27,575</w:t>
            </w:r>
          </w:p>
        </w:tc>
        <w:tc>
          <w:tcPr>
            <w:tcW w:w="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340" w:type="dxa"/>
            <w:vAlign w:val="bottom"/>
          </w:tcPr>
          <w:p>
            <w:pPr>
              <w:ind w:left="20"/>
              <w:spacing w:after="0" w:line="92" w:lineRule="exact"/>
              <w:rPr>
                <w:sz w:val="20"/>
                <w:szCs w:val="20"/>
                <w:color w:val="auto"/>
              </w:rPr>
            </w:pPr>
            <w:r>
              <w:rPr>
                <w:rFonts w:ascii="Arial" w:cs="Arial" w:eastAsia="Arial" w:hAnsi="Arial"/>
                <w:sz w:val="10"/>
                <w:szCs w:val="10"/>
                <w:color w:val="auto"/>
              </w:rPr>
              <w:t>Balance at December 31,</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3,813,450</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80,780</w:t>
            </w:r>
          </w:p>
        </w:tc>
        <w:tc>
          <w:tcPr>
            <w:tcW w:w="80" w:type="dxa"/>
            <w:vAlign w:val="bottom"/>
          </w:tcPr>
          <w:p>
            <w:pPr>
              <w:spacing w:after="0"/>
              <w:rPr>
                <w:sz w:val="7"/>
                <w:szCs w:val="7"/>
                <w:color w:val="auto"/>
              </w:rPr>
            </w:pPr>
          </w:p>
        </w:tc>
        <w:tc>
          <w:tcPr>
            <w:tcW w:w="480" w:type="dxa"/>
            <w:vAlign w:val="bottom"/>
            <w:vMerge w:val="restart"/>
          </w:tcPr>
          <w:p>
            <w:pPr>
              <w:jc w:val="right"/>
              <w:ind w:right="368"/>
              <w:spacing w:after="0"/>
              <w:rPr>
                <w:sz w:val="20"/>
                <w:szCs w:val="20"/>
                <w:color w:val="auto"/>
              </w:rPr>
            </w:pPr>
            <w:r>
              <w:rPr>
                <w:rFonts w:ascii="Arial" w:cs="Arial" w:eastAsia="Arial" w:hAnsi="Arial"/>
                <w:sz w:val="10"/>
                <w:szCs w:val="10"/>
                <w:color w:val="auto"/>
                <w:w w:val="71"/>
              </w:rPr>
              <w:t>$</w:t>
            </w:r>
          </w:p>
        </w:tc>
        <w:tc>
          <w:tcPr>
            <w:tcW w:w="360" w:type="dxa"/>
            <w:vAlign w:val="bottom"/>
            <w:gridSpan w:val="2"/>
            <w:vMerge w:val="restart"/>
          </w:tcPr>
          <w:p>
            <w:pPr>
              <w:jc w:val="right"/>
              <w:spacing w:after="0"/>
              <w:rPr>
                <w:sz w:val="20"/>
                <w:szCs w:val="20"/>
                <w:color w:val="auto"/>
              </w:rPr>
            </w:pPr>
            <w:r>
              <w:rPr>
                <w:rFonts w:ascii="Arial" w:cs="Arial" w:eastAsia="Arial" w:hAnsi="Arial"/>
                <w:sz w:val="11"/>
                <w:szCs w:val="11"/>
                <w:color w:val="auto"/>
                <w:w w:val="89"/>
              </w:rPr>
              <w:t>(803 ) $</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53,085</w:t>
            </w: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14,376,272</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353,300</w:t>
            </w:r>
          </w:p>
        </w:tc>
        <w:tc>
          <w:tcPr>
            <w:tcW w:w="1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7"/>
                <w:szCs w:val="7"/>
                <w:color w:val="auto"/>
              </w:rPr>
            </w:pPr>
          </w:p>
        </w:tc>
        <w:tc>
          <w:tcPr>
            <w:tcW w:w="400" w:type="dxa"/>
            <w:vAlign w:val="bottom"/>
            <w:vMerge w:val="restart"/>
          </w:tcPr>
          <w:p>
            <w:pPr>
              <w:jc w:val="right"/>
              <w:ind w:right="266"/>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1180" w:type="dxa"/>
            <w:vAlign w:val="bottom"/>
            <w:gridSpan w:val="3"/>
            <w:vMerge w:val="restart"/>
          </w:tcPr>
          <w:p>
            <w:pPr>
              <w:jc w:val="right"/>
              <w:ind w:right="29"/>
              <w:spacing w:after="0"/>
              <w:rPr>
                <w:sz w:val="20"/>
                <w:szCs w:val="20"/>
                <w:color w:val="auto"/>
              </w:rPr>
            </w:pPr>
            <w:r>
              <w:rPr>
                <w:rFonts w:ascii="Arial" w:cs="Arial" w:eastAsia="Arial" w:hAnsi="Arial"/>
                <w:sz w:val="11"/>
                <w:szCs w:val="11"/>
                <w:color w:val="auto"/>
              </w:rPr>
              <w:t>(3 ) $</w:t>
            </w: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(430,588 ) $</w:t>
            </w: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(430,591 )</w:t>
            </w: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2020</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Exercise of stock options</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280,545</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6,922</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(5,715 )</w:t>
            </w: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83,958</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347</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347</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w w:val="97"/>
              </w:rPr>
              <w:t>Stock-based compensation</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7,575</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7,575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expense</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Proceeds from notes</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136</w:t>
            </w: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136</w:t>
            </w: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receivable</w:t>
            </w:r>
          </w:p>
        </w:tc>
        <w:tc>
          <w:tcPr>
            <w:tcW w:w="58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w w:val="96"/>
              </w:rPr>
              <w:t>Surrender of common stock</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w w:val="94"/>
              </w:rPr>
              <w:t>exchange for cancellation of</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color w:val="auto"/>
              </w:rPr>
              <w:t>(11,011 )</w:t>
            </w:r>
          </w:p>
        </w:tc>
        <w:tc>
          <w:tcPr>
            <w:tcW w:w="4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color w:val="auto"/>
              </w:rPr>
              <w:t>(229 )</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229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note receivable</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w w:val="92"/>
              </w:rPr>
              <w:t>Reclassification of 4,093,995</w:t>
            </w:r>
          </w:p>
        </w:tc>
        <w:tc>
          <w:tcPr>
            <w:tcW w:w="5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shares of redeemable</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common</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w w:val="94"/>
              </w:rPr>
              <w:t>stock to 4,093,995 shares of</w:t>
            </w: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(4,093,995 )</w:t>
            </w: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(87,702 )</w:t>
            </w:r>
          </w:p>
        </w:tc>
        <w:tc>
          <w:tcPr>
            <w:tcW w:w="4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817</w:t>
            </w: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4,093,995</w:t>
            </w: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87,698</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(817 )</w:t>
            </w:r>
          </w:p>
        </w:tc>
        <w:tc>
          <w:tcPr>
            <w:tcW w:w="14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86,885</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stock</w:t>
            </w: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rPr>
              <w:t>Reclassification of</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redeemable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common stock options to</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(47,370 )</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47,370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47,370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common stock options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w w:val="97"/>
              </w:rPr>
              <w:t>Change in notes receivable</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6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(14 )</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 common stock issued</w:t>
            </w:r>
          </w:p>
        </w:tc>
        <w:tc>
          <w:tcPr>
            <w:tcW w:w="58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60" w:type="dxa"/>
            <w:vAlign w:val="bottom"/>
            <w:tcBorders>
              <w:right w:val="single" w:sz="8" w:color="CFF0FC"/>
            </w:tcBorders>
            <w:gridSpan w:val="2"/>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w w:val="99"/>
              </w:rPr>
              <w:t>Exercise of preferred stock</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warrants, net of shares</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100,261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3,912</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color w:val="auto"/>
              </w:rPr>
              <w:t>(2,011 )</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(2,011 )</w:t>
            </w: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color w:val="auto"/>
              </w:rPr>
              <w:t>withheld for exercise price</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Conversion of preferred</w:t>
            </w:r>
          </w:p>
        </w:tc>
        <w:tc>
          <w:tcPr>
            <w:tcW w:w="5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tcBorders>
              <w:right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stock</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w w:val="93"/>
              </w:rPr>
              <w:t>to common stock upon initial</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public offering, net of</w:t>
            </w: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fractional</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w w:val="94"/>
              </w:rPr>
              <w:t>(14,476,533 )</w:t>
            </w:r>
          </w:p>
        </w:tc>
        <w:tc>
          <w:tcPr>
            <w:tcW w:w="80" w:type="dxa"/>
            <w:vAlign w:val="bottom"/>
            <w:shd w:val="clear" w:color="auto" w:fill="CFF0FC"/>
          </w:tcPr>
          <w:p>
            <w:pPr>
              <w:spacing w:after="0"/>
              <w:rPr>
                <w:sz w:val="9"/>
                <w:szCs w:val="9"/>
                <w:color w:val="auto"/>
              </w:rPr>
            </w:pPr>
          </w:p>
        </w:tc>
        <w:tc>
          <w:tcPr>
            <w:tcW w:w="620" w:type="dxa"/>
            <w:vAlign w:val="bottom"/>
            <w:tcBorders>
              <w:right w:val="single" w:sz="8" w:color="auto"/>
            </w:tcBorders>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(357,212 )</w:t>
            </w:r>
          </w:p>
        </w:tc>
        <w:tc>
          <w:tcPr>
            <w:tcW w:w="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14,951,254</w:t>
            </w: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357,187</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357,202</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FF0FC"/>
          </w:tcPr>
          <w:p>
            <w:pPr>
              <w:ind w:left="20"/>
              <w:spacing w:after="0"/>
              <w:rPr>
                <w:sz w:val="20"/>
                <w:szCs w:val="20"/>
                <w:color w:val="auto"/>
              </w:rPr>
            </w:pPr>
            <w:r>
              <w:rPr>
                <w:rFonts w:ascii="Arial" w:cs="Arial" w:eastAsia="Arial" w:hAnsi="Arial"/>
                <w:sz w:val="11"/>
                <w:szCs w:val="11"/>
                <w:color w:val="auto"/>
              </w:rPr>
              <w:t>shares settled for $11</w:t>
            </w:r>
          </w:p>
        </w:tc>
        <w:tc>
          <w:tcPr>
            <w:tcW w:w="58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340" w:type="dxa"/>
            <w:vAlign w:val="bottom"/>
          </w:tcPr>
          <w:p>
            <w:pPr>
              <w:ind w:left="20"/>
              <w:spacing w:after="0" w:line="99" w:lineRule="exact"/>
              <w:rPr>
                <w:sz w:val="20"/>
                <w:szCs w:val="20"/>
                <w:color w:val="auto"/>
              </w:rPr>
            </w:pPr>
            <w:r>
              <w:rPr>
                <w:rFonts w:ascii="Arial" w:cs="Arial" w:eastAsia="Arial" w:hAnsi="Arial"/>
                <w:sz w:val="11"/>
                <w:szCs w:val="11"/>
                <w:color w:val="auto"/>
                <w:w w:val="91"/>
              </w:rPr>
              <w:t>Issuance of common stock in</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w w:val="95"/>
              </w:rPr>
              <w:t>connection with initial public</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offering, net of issuance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costs</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8,248,549</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119,574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119,582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Arial" w:cs="Arial" w:eastAsia="Arial" w:hAnsi="Arial"/>
                <w:sz w:val="11"/>
                <w:szCs w:val="11"/>
                <w:color w:val="auto"/>
              </w:rPr>
              <w:t>of $12.4 million</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Unrealized loss on short-</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term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investments and cash</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(7 )</w:t>
            </w: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Arial" w:cs="Arial" w:eastAsia="Arial" w:hAnsi="Arial"/>
                <w:sz w:val="11"/>
                <w:szCs w:val="11"/>
                <w:color w:val="auto"/>
              </w:rPr>
              <w:t>equivalents, net of tax</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w w:val="95"/>
              </w:rPr>
              <w:t>Foreign currency translation</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(10 )</w:t>
            </w: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40" w:type="dxa"/>
            <w:vAlign w:val="bottom"/>
          </w:tcPr>
          <w:p>
            <w:pPr>
              <w:ind w:left="20"/>
              <w:spacing w:after="0"/>
              <w:rPr>
                <w:sz w:val="20"/>
                <w:szCs w:val="20"/>
                <w:color w:val="auto"/>
              </w:rPr>
            </w:pPr>
            <w:r>
              <w:rPr>
                <w:rFonts w:ascii="Arial" w:cs="Arial" w:eastAsia="Arial" w:hAnsi="Arial"/>
                <w:sz w:val="11"/>
                <w:szCs w:val="11"/>
                <w:color w:val="auto"/>
              </w:rPr>
              <w:t>Net loss</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(48,688 )</w:t>
            </w:r>
          </w:p>
        </w:tc>
        <w:tc>
          <w:tcPr>
            <w:tcW w:w="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(48,688 )</w:t>
            </w:r>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line="112" w:lineRule="exact"/>
              <w:rPr>
                <w:sz w:val="20"/>
                <w:szCs w:val="20"/>
                <w:color w:val="auto"/>
              </w:rPr>
            </w:pPr>
            <w:r>
              <w:rPr>
                <w:rFonts w:ascii="Arial" w:cs="Arial" w:eastAsia="Arial" w:hAnsi="Arial"/>
                <w:sz w:val="11"/>
                <w:szCs w:val="11"/>
                <w:color w:val="auto"/>
              </w:rPr>
              <w:t>Balance at December 31,</w:t>
            </w: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340" w:type="dxa"/>
            <w:vAlign w:val="bottom"/>
            <w:vMerge w:val="continue"/>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480" w:type="dxa"/>
            <w:vAlign w:val="bottom"/>
            <w:vMerge w:val="restart"/>
          </w:tcPr>
          <w:p>
            <w:pPr>
              <w:jc w:val="right"/>
              <w:ind w:right="368"/>
              <w:spacing w:after="0"/>
              <w:rPr>
                <w:sz w:val="20"/>
                <w:szCs w:val="20"/>
                <w:color w:val="auto"/>
              </w:rPr>
            </w:pPr>
            <w:r>
              <w:rPr>
                <w:rFonts w:ascii="Arial" w:cs="Arial" w:eastAsia="Arial" w:hAnsi="Arial"/>
                <w:sz w:val="10"/>
                <w:szCs w:val="10"/>
                <w:color w:val="auto"/>
                <w:w w:val="71"/>
              </w:rPr>
              <w:t>$</w:t>
            </w:r>
          </w:p>
        </w:tc>
        <w:tc>
          <w:tcPr>
            <w:tcW w:w="360" w:type="dxa"/>
            <w:vAlign w:val="bottom"/>
            <w:gridSpan w:val="2"/>
            <w:vMerge w:val="restart"/>
          </w:tcPr>
          <w:p>
            <w:pPr>
              <w:jc w:val="right"/>
              <w:spacing w:after="0"/>
              <w:rPr>
                <w:sz w:val="20"/>
                <w:szCs w:val="20"/>
                <w:color w:val="auto"/>
              </w:rPr>
            </w:pPr>
            <w:r>
              <w:rPr>
                <w:rFonts w:ascii="Arial" w:cs="Arial" w:eastAsia="Arial" w:hAnsi="Arial"/>
                <w:sz w:val="11"/>
                <w:szCs w:val="11"/>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27,366,746</w:t>
            </w:r>
          </w:p>
        </w:tc>
        <w:tc>
          <w:tcPr>
            <w:tcW w:w="40" w:type="dxa"/>
            <w:vAlign w:val="bottom"/>
          </w:tcPr>
          <w:p>
            <w:pPr>
              <w:spacing w:after="0"/>
              <w:rPr>
                <w:sz w:val="7"/>
                <w:szCs w:val="7"/>
                <w:color w:val="auto"/>
              </w:rPr>
            </w:pPr>
          </w:p>
        </w:tc>
        <w:tc>
          <w:tcPr>
            <w:tcW w:w="400" w:type="dxa"/>
            <w:vAlign w:val="bottom"/>
            <w:vMerge w:val="restart"/>
          </w:tcPr>
          <w:p>
            <w:pPr>
              <w:jc w:val="right"/>
              <w:ind w:right="266"/>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27</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617,511</w:t>
            </w:r>
          </w:p>
        </w:tc>
        <w:tc>
          <w:tcPr>
            <w:tcW w:w="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1180" w:type="dxa"/>
            <w:vAlign w:val="bottom"/>
            <w:gridSpan w:val="3"/>
            <w:vMerge w:val="restart"/>
          </w:tcPr>
          <w:p>
            <w:pPr>
              <w:jc w:val="right"/>
              <w:ind w:right="29"/>
              <w:spacing w:after="0"/>
              <w:rPr>
                <w:sz w:val="20"/>
                <w:szCs w:val="20"/>
                <w:color w:val="auto"/>
              </w:rPr>
            </w:pPr>
            <w:r>
              <w:rPr>
                <w:rFonts w:ascii="Arial" w:cs="Arial" w:eastAsia="Arial" w:hAnsi="Arial"/>
                <w:sz w:val="11"/>
                <w:szCs w:val="11"/>
                <w:color w:val="auto"/>
              </w:rPr>
              <w:t>(20 ) $</w:t>
            </w: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(479,276 ) $</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138,242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340" w:type="dxa"/>
            <w:vAlign w:val="bottom"/>
          </w:tcPr>
          <w:p>
            <w:pPr>
              <w:ind w:left="20"/>
              <w:spacing w:after="0" w:line="85" w:lineRule="exact"/>
              <w:rPr>
                <w:sz w:val="20"/>
                <w:szCs w:val="20"/>
                <w:color w:val="auto"/>
              </w:rPr>
            </w:pPr>
            <w:r>
              <w:rPr>
                <w:rFonts w:ascii="Arial" w:cs="Arial" w:eastAsia="Arial" w:hAnsi="Arial"/>
                <w:sz w:val="9"/>
                <w:szCs w:val="9"/>
                <w:color w:val="auto"/>
              </w:rPr>
              <w:t>2021</w:t>
            </w: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-4876800</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-3348355</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-3348355</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-3348355</wp:posOffset>
            </wp:positionV>
            <wp:extent cx="3429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-3348355</wp:posOffset>
            </wp:positionV>
            <wp:extent cx="3429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-3348355</wp:posOffset>
            </wp:positionV>
            <wp:extent cx="342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-3348355</wp:posOffset>
            </wp:positionV>
            <wp:extent cx="342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-3348355</wp:posOffset>
            </wp:positionV>
            <wp:extent cx="254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-3348355</wp:posOffset>
            </wp:positionV>
            <wp:extent cx="1714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-3348355</wp:posOffset>
            </wp:positionV>
            <wp:extent cx="254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-3348355</wp:posOffset>
            </wp:positionV>
            <wp:extent cx="254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-3348355</wp:posOffset>
            </wp:positionV>
            <wp:extent cx="254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-3348355</wp:posOffset>
            </wp:positionV>
            <wp:extent cx="260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-3348355</wp:posOffset>
            </wp:positionV>
            <wp:extent cx="260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0</wp:posOffset>
            </wp:positionV>
            <wp:extent cx="9258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0</wp:posOffset>
            </wp:positionV>
            <wp:extent cx="17399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highlight w:val="white"/>
        </w:rPr>
        <w:t>The accompanying notes are an integral part of these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RxSIGHT,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2"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3"/>
              </w:rPr>
              <w:t>Year Ended December 31,</w:t>
            </w:r>
          </w:p>
        </w:tc>
        <w:tc>
          <w:tcPr>
            <w:tcW w:w="980" w:type="dxa"/>
            <w:vAlign w:val="bottom"/>
            <w:tcBorders>
              <w:top w:val="single" w:sz="8" w:color="auto"/>
            </w:tcBorders>
            <w:vMerge w:val="restart"/>
          </w:tcPr>
          <w:p>
            <w:pPr>
              <w:jc w:val="right"/>
              <w:ind w:right="613"/>
              <w:spacing w:after="0"/>
              <w:rPr>
                <w:sz w:val="20"/>
                <w:szCs w:val="20"/>
                <w:color w:val="auto"/>
              </w:rPr>
            </w:pPr>
            <w:r>
              <w:rPr>
                <w:rFonts w:ascii="Arial" w:cs="Arial" w:eastAsia="Arial" w:hAnsi="Arial"/>
                <w:sz w:val="13"/>
                <w:szCs w:val="13"/>
                <w:b w:val="1"/>
                <w:bCs w:val="1"/>
                <w:color w:val="auto"/>
                <w:w w:val="96"/>
              </w:rPr>
              <w:t>2020</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(48,688 )</w:t>
            </w: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27,575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income to net cash used in operating activities:</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3,975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right-of-use lease assets</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Amortization of debt issuance costs and premium</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493</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fair value of warrants</w:t>
            </w:r>
          </w:p>
        </w:tc>
        <w:tc>
          <w:tcPr>
            <w:tcW w:w="9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(2,717 )</w:t>
            </w:r>
          </w:p>
        </w:tc>
        <w:tc>
          <w:tcPr>
            <w:tcW w:w="6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(63,011 )</w:t>
            </w: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Gain on expiration of warrant</w:t>
            </w:r>
          </w:p>
        </w:tc>
        <w:tc>
          <w:tcPr>
            <w:tcW w:w="980" w:type="dxa"/>
            <w:vAlign w:val="bottom"/>
          </w:tcPr>
          <w:p>
            <w:pPr>
              <w:spacing w:after="0"/>
              <w:rPr>
                <w:sz w:val="14"/>
                <w:szCs w:val="1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(5,018 )</w:t>
            </w:r>
          </w:p>
        </w:tc>
        <w:tc>
          <w:tcPr>
            <w:tcW w:w="640" w:type="dxa"/>
            <w:vAlign w:val="bottom"/>
          </w:tcPr>
          <w:p>
            <w:pPr>
              <w:spacing w:after="0"/>
              <w:rPr>
                <w:sz w:val="14"/>
                <w:szCs w:val="14"/>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discount on short-term investments</w:t>
            </w:r>
          </w:p>
        </w:tc>
        <w:tc>
          <w:tcPr>
            <w:tcW w:w="9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(30 )</w:t>
            </w:r>
          </w:p>
        </w:tc>
        <w:tc>
          <w:tcPr>
            <w:tcW w:w="6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(446 )</w:t>
            </w: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7,575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on sale of equipment</w:t>
            </w:r>
          </w:p>
        </w:tc>
        <w:tc>
          <w:tcPr>
            <w:tcW w:w="9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Provision for excess and obsolete inventory</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2,367</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operating assets and liabilities:</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980" w:type="dxa"/>
            <w:vAlign w:val="bottom"/>
          </w:tcPr>
          <w:p>
            <w:pPr>
              <w:spacing w:after="0"/>
              <w:rPr>
                <w:sz w:val="14"/>
                <w:szCs w:val="1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(1,996 )</w:t>
            </w:r>
          </w:p>
        </w:tc>
        <w:tc>
          <w:tcPr>
            <w:tcW w:w="6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(2,076 )</w:t>
            </w: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Inventories</w:t>
            </w:r>
          </w:p>
        </w:tc>
        <w:tc>
          <w:tcPr>
            <w:tcW w:w="9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(2,111 )</w:t>
            </w:r>
          </w:p>
        </w:tc>
        <w:tc>
          <w:tcPr>
            <w:tcW w:w="6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(1,307 )</w:t>
            </w:r>
          </w:p>
        </w:tc>
        <w:tc>
          <w:tcPr>
            <w:tcW w:w="0" w:type="dxa"/>
            <w:vAlign w:val="bottom"/>
          </w:tcPr>
          <w:p>
            <w:pPr>
              <w:spacing w:after="0"/>
              <w:rPr>
                <w:sz w:val="1"/>
                <w:szCs w:val="1"/>
                <w:color w:val="auto"/>
              </w:rPr>
            </w:pPr>
          </w:p>
        </w:tc>
      </w:tr>
      <w:tr>
        <w:trPr>
          <w:trHeight w:val="162"/>
        </w:trPr>
        <w:tc>
          <w:tcPr>
            <w:tcW w:w="7660" w:type="dxa"/>
            <w:vAlign w:val="bottom"/>
          </w:tcPr>
          <w:p>
            <w:pPr>
              <w:ind w:left="380"/>
              <w:spacing w:after="0"/>
              <w:rPr>
                <w:sz w:val="20"/>
                <w:szCs w:val="20"/>
                <w:color w:val="auto"/>
              </w:rPr>
            </w:pPr>
            <w:r>
              <w:rPr>
                <w:rFonts w:ascii="Arial" w:cs="Arial" w:eastAsia="Arial" w:hAnsi="Arial"/>
                <w:sz w:val="13"/>
                <w:szCs w:val="13"/>
                <w:color w:val="auto"/>
              </w:rPr>
              <w:t>Prepaid and other assets</w:t>
            </w:r>
          </w:p>
        </w:tc>
        <w:tc>
          <w:tcPr>
            <w:tcW w:w="980" w:type="dxa"/>
            <w:vAlign w:val="bottom"/>
          </w:tcPr>
          <w:p>
            <w:pPr>
              <w:spacing w:after="0"/>
              <w:rPr>
                <w:sz w:val="14"/>
                <w:szCs w:val="1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(2,809 )</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(954 )</w:t>
            </w:r>
          </w:p>
        </w:tc>
        <w:tc>
          <w:tcPr>
            <w:tcW w:w="0" w:type="dxa"/>
            <w:vAlign w:val="bottom"/>
          </w:tcPr>
          <w:p>
            <w:pPr>
              <w:spacing w:after="0"/>
              <w:rPr>
                <w:sz w:val="1"/>
                <w:szCs w:val="1"/>
                <w:color w:val="auto"/>
              </w:rPr>
            </w:pPr>
          </w:p>
        </w:tc>
      </w:tr>
      <w:tr>
        <w:trPr>
          <w:trHeight w:val="162"/>
        </w:trPr>
        <w:tc>
          <w:tcPr>
            <w:tcW w:w="7660" w:type="dxa"/>
            <w:vAlign w:val="bottom"/>
          </w:tcPr>
          <w:p>
            <w:pPr>
              <w:ind w:left="38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3,683</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(3,691 )</w:t>
            </w:r>
          </w:p>
        </w:tc>
        <w:tc>
          <w:tcPr>
            <w:tcW w:w="0" w:type="dxa"/>
            <w:vAlign w:val="bottom"/>
          </w:tcPr>
          <w:p>
            <w:pPr>
              <w:spacing w:after="0"/>
              <w:rPr>
                <w:sz w:val="1"/>
                <w:szCs w:val="1"/>
                <w:color w:val="auto"/>
              </w:rPr>
            </w:pPr>
          </w:p>
        </w:tc>
      </w:tr>
      <w:tr>
        <w:trPr>
          <w:trHeight w:val="156"/>
        </w:trPr>
        <w:tc>
          <w:tcPr>
            <w:tcW w:w="766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used in operating activities</w:t>
            </w:r>
          </w:p>
        </w:tc>
        <w:tc>
          <w:tcPr>
            <w:tcW w:w="9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(44,708</w:t>
            </w:r>
          </w:p>
        </w:tc>
        <w:tc>
          <w:tcPr>
            <w:tcW w:w="260" w:type="dxa"/>
            <w:vAlign w:val="bottom"/>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(35,203</w:t>
            </w:r>
          </w:p>
        </w:tc>
        <w:tc>
          <w:tcPr>
            <w:tcW w:w="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(1,940 )</w:t>
            </w:r>
          </w:p>
        </w:tc>
        <w:tc>
          <w:tcPr>
            <w:tcW w:w="6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(2,539 )</w:t>
            </w: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color w:val="auto"/>
              </w:rPr>
              <w:t>Proceeds from sale of equipment</w:t>
            </w:r>
          </w:p>
        </w:tc>
        <w:tc>
          <w:tcPr>
            <w:tcW w:w="980" w:type="dxa"/>
            <w:vAlign w:val="bottom"/>
          </w:tcPr>
          <w:p>
            <w:pPr>
              <w:spacing w:after="0"/>
              <w:rPr>
                <w:sz w:val="14"/>
                <w:szCs w:val="14"/>
                <w:color w:val="auto"/>
              </w:rPr>
            </w:pPr>
          </w:p>
        </w:tc>
        <w:tc>
          <w:tcPr>
            <w:tcW w:w="9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Maturity of short-term investments</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80,000</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color w:val="auto"/>
              </w:rPr>
              <w:t>Purchase of short-term investments</w:t>
            </w:r>
          </w:p>
        </w:tc>
        <w:tc>
          <w:tcPr>
            <w:tcW w:w="980" w:type="dxa"/>
            <w:vAlign w:val="bottom"/>
          </w:tcPr>
          <w:p>
            <w:pPr>
              <w:spacing w:after="0"/>
              <w:rPr>
                <w:sz w:val="14"/>
                <w:szCs w:val="1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(159,967 )</w:t>
            </w:r>
          </w:p>
        </w:tc>
        <w:tc>
          <w:tcPr>
            <w:tcW w:w="6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(97,873 )</w:t>
            </w:r>
          </w:p>
        </w:tc>
        <w:tc>
          <w:tcPr>
            <w:tcW w:w="0" w:type="dxa"/>
            <w:vAlign w:val="bottom"/>
          </w:tcPr>
          <w:p>
            <w:pPr>
              <w:spacing w:after="0"/>
              <w:rPr>
                <w:sz w:val="1"/>
                <w:szCs w:val="1"/>
                <w:color w:val="auto"/>
              </w:rPr>
            </w:pPr>
          </w:p>
        </w:tc>
      </w:tr>
      <w:tr>
        <w:trPr>
          <w:trHeight w:val="155"/>
        </w:trPr>
        <w:tc>
          <w:tcPr>
            <w:tcW w:w="766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(used in) provided by investing activities</w:t>
            </w:r>
          </w:p>
        </w:tc>
        <w:tc>
          <w:tcPr>
            <w:tcW w:w="9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(81,907</w:t>
            </w:r>
          </w:p>
        </w:tc>
        <w:tc>
          <w:tcPr>
            <w:tcW w:w="260" w:type="dxa"/>
            <w:vAlign w:val="bottom"/>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15,591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term loan</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color w:val="auto"/>
              </w:rPr>
              <w:t>Payments of debt issuance costs</w:t>
            </w:r>
          </w:p>
        </w:tc>
        <w:tc>
          <w:tcPr>
            <w:tcW w:w="980" w:type="dxa"/>
            <w:vAlign w:val="bottom"/>
          </w:tcPr>
          <w:p>
            <w:pPr>
              <w:spacing w:after="0"/>
              <w:rPr>
                <w:sz w:val="14"/>
                <w:szCs w:val="1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3"/>
                <w:szCs w:val="13"/>
                <w:color w:val="auto"/>
              </w:rPr>
              <w:t>(132 )</w:t>
            </w:r>
          </w:p>
        </w:tc>
        <w:tc>
          <w:tcPr>
            <w:tcW w:w="6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(687 )</w:t>
            </w: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preferred stock warrants</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color w:val="auto"/>
              </w:rPr>
              <w:t>Proceeds from initial public offering, net of underwriting discounts and commissions and offering costs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119,582</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Principal payments on finance lease liabilities</w:t>
            </w:r>
          </w:p>
        </w:tc>
        <w:tc>
          <w:tcPr>
            <w:tcW w:w="9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(27 )</w:t>
            </w:r>
          </w:p>
        </w:tc>
        <w:tc>
          <w:tcPr>
            <w:tcW w:w="6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(142 )</w:t>
            </w: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rPr>
                <w:sz w:val="20"/>
                <w:szCs w:val="20"/>
                <w:color w:val="auto"/>
              </w:rPr>
            </w:pPr>
            <w:r>
              <w:rPr>
                <w:rFonts w:ascii="Arial" w:cs="Arial" w:eastAsia="Arial" w:hAnsi="Arial"/>
                <w:sz w:val="13"/>
                <w:szCs w:val="13"/>
                <w:color w:val="auto"/>
              </w:rPr>
              <w:t>Change in notes receivables for redeemable common stock issued</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9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1,554</w:t>
            </w:r>
          </w:p>
        </w:tc>
        <w:tc>
          <w:tcPr>
            <w:tcW w:w="2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60" w:type="dxa"/>
            <w:vAlign w:val="bottom"/>
          </w:tcPr>
          <w:p>
            <w:pPr>
              <w:ind w:left="560"/>
              <w:spacing w:after="0"/>
              <w:rPr>
                <w:sz w:val="20"/>
                <w:szCs w:val="20"/>
                <w:color w:val="auto"/>
              </w:rPr>
            </w:pPr>
            <w:r>
              <w:rPr>
                <w:rFonts w:ascii="Arial" w:cs="Arial" w:eastAsia="Arial" w:hAnsi="Arial"/>
                <w:sz w:val="13"/>
                <w:szCs w:val="13"/>
                <w:color w:val="auto"/>
              </w:rPr>
              <w:t>Net cash provided by financing activities</w:t>
            </w: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137,342</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25,237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Effect of foreign exchange rate on cash, cash equivalents and restricted cash</w:t>
            </w:r>
          </w:p>
        </w:tc>
        <w:tc>
          <w:tcPr>
            <w:tcW w:w="9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(10 )</w:t>
            </w:r>
          </w:p>
        </w:tc>
        <w:tc>
          <w:tcPr>
            <w:tcW w:w="6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7660" w:type="dxa"/>
            <w:vAlign w:val="bottom"/>
            <w:tcBorders>
              <w:top w:val="single" w:sz="8" w:color="CFF0FC"/>
            </w:tcBorders>
          </w:tcPr>
          <w:p>
            <w:pPr>
              <w:ind w:left="560"/>
              <w:spacing w:after="0"/>
              <w:rPr>
                <w:sz w:val="20"/>
                <w:szCs w:val="20"/>
                <w:color w:val="auto"/>
              </w:rPr>
            </w:pPr>
            <w:r>
              <w:rPr>
                <w:rFonts w:ascii="Arial" w:cs="Arial" w:eastAsia="Arial" w:hAnsi="Arial"/>
                <w:sz w:val="13"/>
                <w:szCs w:val="13"/>
                <w:color w:val="auto"/>
              </w:rPr>
              <w:t>Net increase in cash, cash equivalents and restricted cash</w:t>
            </w:r>
          </w:p>
        </w:tc>
        <w:tc>
          <w:tcPr>
            <w:tcW w:w="9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10,717</w:t>
            </w:r>
          </w:p>
        </w:tc>
        <w:tc>
          <w:tcPr>
            <w:tcW w:w="26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5,625</w:t>
            </w:r>
          </w:p>
        </w:tc>
        <w:tc>
          <w:tcPr>
            <w:tcW w:w="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Cash, cash equivalents and restricted cash - beginning of period</w:t>
            </w:r>
          </w:p>
        </w:tc>
        <w:tc>
          <w:tcPr>
            <w:tcW w:w="9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14,455</w:t>
            </w:r>
          </w:p>
        </w:tc>
        <w:tc>
          <w:tcPr>
            <w:tcW w:w="2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8,830</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cash equivalents and restricted cash - end of period</w:t>
            </w:r>
          </w:p>
        </w:tc>
        <w:tc>
          <w:tcPr>
            <w:tcW w:w="980" w:type="dxa"/>
            <w:vAlign w:val="bottom"/>
            <w:tcBorders>
              <w:bottom w:val="single" w:sz="8" w:color="auto"/>
            </w:tcBorders>
          </w:tcPr>
          <w:p>
            <w:pPr>
              <w:jc w:val="right"/>
              <w:ind w:right="833"/>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25,172</w:t>
            </w:r>
          </w:p>
        </w:tc>
        <w:tc>
          <w:tcPr>
            <w:tcW w:w="260" w:type="dxa"/>
            <w:vAlign w:val="bottom"/>
          </w:tcPr>
          <w:p>
            <w:pPr>
              <w:spacing w:after="0"/>
              <w:rPr>
                <w:sz w:val="13"/>
                <w:szCs w:val="13"/>
                <w:color w:val="auto"/>
              </w:rPr>
            </w:pPr>
          </w:p>
        </w:tc>
        <w:tc>
          <w:tcPr>
            <w:tcW w:w="64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14,455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6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9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Operating cash flows from operating leases</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1,269</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Cash paid for income taxes</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w:t>
            </w:r>
          </w:p>
        </w:tc>
        <w:tc>
          <w:tcPr>
            <w:tcW w:w="260" w:type="dxa"/>
            <w:vAlign w:val="bottom"/>
          </w:tcPr>
          <w:p>
            <w:pPr>
              <w:spacing w:after="0"/>
              <w:rPr>
                <w:sz w:val="14"/>
                <w:szCs w:val="14"/>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interest on financing leases</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Cash paid for interest on term loan</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3,182</w:t>
            </w:r>
          </w:p>
        </w:tc>
        <w:tc>
          <w:tcPr>
            <w:tcW w:w="260" w:type="dxa"/>
            <w:vAlign w:val="bottom"/>
          </w:tcPr>
          <w:p>
            <w:pPr>
              <w:spacing w:after="0"/>
              <w:rPr>
                <w:sz w:val="14"/>
                <w:szCs w:val="14"/>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Right-of-use assets obtained in exchange for lease obligations: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Operating lease</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80"/>
              <w:spacing w:after="0"/>
              <w:rPr>
                <w:sz w:val="20"/>
                <w:szCs w:val="20"/>
                <w:color w:val="auto"/>
              </w:rPr>
            </w:pPr>
            <w:r>
              <w:rPr>
                <w:rFonts w:ascii="Arial" w:cs="Arial" w:eastAsia="Arial" w:hAnsi="Arial"/>
                <w:sz w:val="13"/>
                <w:szCs w:val="13"/>
                <w:color w:val="auto"/>
              </w:rPr>
              <w:t>Finance lease</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Lease obligations recorded for right-of-use assets:</w:t>
            </w: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80"/>
              <w:spacing w:after="0"/>
              <w:rPr>
                <w:sz w:val="20"/>
                <w:szCs w:val="20"/>
                <w:color w:val="auto"/>
              </w:rPr>
            </w:pPr>
            <w:r>
              <w:rPr>
                <w:rFonts w:ascii="Arial" w:cs="Arial" w:eastAsia="Arial" w:hAnsi="Arial"/>
                <w:sz w:val="13"/>
                <w:szCs w:val="13"/>
                <w:color w:val="auto"/>
              </w:rPr>
              <w:t>Operating lease</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260" w:type="dxa"/>
            <w:vAlign w:val="bottom"/>
          </w:tcPr>
          <w:p>
            <w:pPr>
              <w:spacing w:after="0"/>
              <w:rPr>
                <w:sz w:val="14"/>
                <w:szCs w:val="14"/>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Finance lease</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7660" w:type="dxa"/>
            <w:vAlign w:val="bottom"/>
          </w:tcPr>
          <w:p>
            <w:pPr>
              <w:ind w:left="200"/>
              <w:spacing w:after="0" w:line="124" w:lineRule="exact"/>
              <w:rPr>
                <w:sz w:val="20"/>
                <w:szCs w:val="20"/>
                <w:color w:val="auto"/>
              </w:rPr>
            </w:pPr>
            <w:r>
              <w:rPr>
                <w:rFonts w:ascii="Arial" w:cs="Arial" w:eastAsia="Arial" w:hAnsi="Arial"/>
                <w:sz w:val="13"/>
                <w:szCs w:val="13"/>
                <w:color w:val="auto"/>
              </w:rPr>
              <w:t>Acquisition of property and equipment included in accounts payable and accrued expenses</w:t>
            </w:r>
          </w:p>
        </w:tc>
        <w:tc>
          <w:tcPr>
            <w:tcW w:w="980" w:type="dxa"/>
            <w:vAlign w:val="bottom"/>
            <w:vMerge w:val="restart"/>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0"/>
                <w:szCs w:val="10"/>
                <w:color w:val="auto"/>
              </w:rPr>
            </w:pPr>
          </w:p>
        </w:tc>
        <w:tc>
          <w:tcPr>
            <w:tcW w:w="640" w:type="dxa"/>
            <w:vAlign w:val="bottom"/>
            <w:vMerge w:val="restart"/>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60" w:type="dxa"/>
            <w:vAlign w:val="bottom"/>
          </w:tcPr>
          <w:p>
            <w:pPr>
              <w:ind w:left="300"/>
              <w:spacing w:after="0"/>
              <w:rPr>
                <w:sz w:val="20"/>
                <w:szCs w:val="20"/>
                <w:color w:val="auto"/>
              </w:rPr>
            </w:pPr>
            <w:r>
              <w:rPr>
                <w:rFonts w:ascii="Arial" w:cs="Arial" w:eastAsia="Arial" w:hAnsi="Arial"/>
                <w:sz w:val="13"/>
                <w:szCs w:val="13"/>
                <w:color w:val="auto"/>
              </w:rPr>
              <w:t>and other current liabilities</w:t>
            </w:r>
          </w:p>
        </w:tc>
        <w:tc>
          <w:tcPr>
            <w:tcW w:w="9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Accretion to redemption value of redeemable stock and stock options</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38,308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Payment-in-kind interest income added to principal of notes receivable</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w:t>
            </w:r>
          </w:p>
        </w:tc>
        <w:tc>
          <w:tcPr>
            <w:tcW w:w="260" w:type="dxa"/>
            <w:vAlign w:val="bottom"/>
          </w:tcPr>
          <w:p>
            <w:pPr>
              <w:spacing w:after="0"/>
              <w:rPr>
                <w:sz w:val="14"/>
                <w:szCs w:val="14"/>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Reclassification from warrant liability to additional paid-in capital for warrants exercised</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1,111</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Reclassification of 4,093,995 shares of redeemable common stock to 4,093,995 shares of common stock</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87,702</w:t>
            </w:r>
          </w:p>
        </w:tc>
        <w:tc>
          <w:tcPr>
            <w:tcW w:w="260" w:type="dxa"/>
            <w:vAlign w:val="bottom"/>
          </w:tcPr>
          <w:p>
            <w:pPr>
              <w:spacing w:after="0"/>
              <w:rPr>
                <w:sz w:val="14"/>
                <w:szCs w:val="14"/>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Reclassification of redeemable common stock options to common stock options</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47,370</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rPr>
                <w:sz w:val="20"/>
                <w:szCs w:val="20"/>
                <w:color w:val="auto"/>
              </w:rPr>
            </w:pPr>
            <w:r>
              <w:rPr>
                <w:rFonts w:ascii="Arial" w:cs="Arial" w:eastAsia="Arial" w:hAnsi="Arial"/>
                <w:sz w:val="13"/>
                <w:szCs w:val="13"/>
                <w:color w:val="auto"/>
              </w:rPr>
              <w:t>Conversion of preferred stock to common stock upon initial public offering</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357,202</w:t>
            </w:r>
          </w:p>
        </w:tc>
        <w:tc>
          <w:tcPr>
            <w:tcW w:w="260" w:type="dxa"/>
            <w:vAlign w:val="bottom"/>
          </w:tcPr>
          <w:p>
            <w:pPr>
              <w:spacing w:after="0"/>
              <w:rPr>
                <w:sz w:val="14"/>
                <w:szCs w:val="14"/>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initial public offering costs recorded to additional paid in capital</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3,156</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3"/>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-2807970</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-2807970</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-2593975</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-2593975</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-2379345</wp:posOffset>
            </wp:positionV>
            <wp:extent cx="431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-2379345</wp:posOffset>
            </wp:positionV>
            <wp:extent cx="431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RxSIGHT,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04"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RxSight®, Inc. (the “Company”) is a Delaware corporation headquartered in Aliso Viejo, California with two wholly owned subsidiaries. One subsidiary is located in Amsterdam, Netherlands, with registered branches in the United Kingdom and Ireland. The Ireland registered branch was closed in 2020. The Netherlands entity also has a wholly owned subsidiary in Germany. A second subsidiary located in Tijuana, Mexico was also closed in 2020. The Company is engaged in the research and development, manufacture and sale of light adjustable intraocular lenses used in cataract surgery along with capital equipment used with the lenses.</w:t>
      </w:r>
    </w:p>
    <w:p>
      <w:pPr>
        <w:spacing w:after="0" w:line="122"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The Company’s products, which include the light adjustable lens (“LAL”®)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LAL is a premium intraocular lens (“IOL”) which is partially reimbursable under Medicare. The Company competes with other IOLs in the premium market in the U.S. and Europe.</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04" w:lineRule="exact"/>
        <w:rPr>
          <w:sz w:val="20"/>
          <w:szCs w:val="20"/>
          <w:color w:val="auto"/>
        </w:rPr>
      </w:pPr>
    </w:p>
    <w:p>
      <w:pPr>
        <w:ind w:right="200" w:firstLine="374"/>
        <w:spacing w:after="0" w:line="241"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RxSight, Inc. and its wholly-owned subsidiaries, RxSight, B.V., located in the Netherlands, and RxSight GmbH, located in Germany. The Company translates the financial statements of its foreign subsidiaries using end-of-period exchange rates for assets and liabilities and average exchange rates during each reporting period for results of operations. All significant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w:t>
      </w: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w:t>
      </w:r>
      <w:r>
        <w:rPr>
          <w:rFonts w:ascii="Arial" w:cs="Arial" w:eastAsia="Arial" w:hAnsi="Arial"/>
          <w:sz w:val="18"/>
          <w:szCs w:val="18"/>
          <w:i w:val="1"/>
          <w:iCs w:val="1"/>
          <w:color w:val="auto"/>
        </w:rPr>
        <w:t>) and Reverse Stock Split</w:t>
      </w:r>
    </w:p>
    <w:p>
      <w:pPr>
        <w:spacing w:after="0" w:line="104"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On July 22, 2021, the Company’s Board of Directors approved an amendment to the Company’s certificate of incorporation to effect a reverse split of shares of the Company’s common stock, excluding Series G and Series W common stock, and convertible preferred stock on a 1-for-10.33 basis (the “Reverse Stock Split”). The par values of the common stock and convertible preferred stock were not adjusted as a result of the Reverse Stock Split. The Reverse Stock Split was effected on July 23, 2021. Accordingly, all common stock, excluding Series G and Series W common stock, options to purchase common stock, convertible preferred stock, share data, per share data and related information contained in the accompanying condensed consolidated financial statements and notes have been retrospectively adjusted to reflect the effect of the Reverse Stock Split for all periods presented. Outstanding stock options were proportionately reduced and the respective exercise prices, if applicable, were proportionately increased. The Reverse Stock Split resulted in an adjustment to the convertible preferred stock conversion prices to reflect a proportional decrease in the number of shares of common stock to be issued upon conversion.</w:t>
      </w:r>
    </w:p>
    <w:p>
      <w:pPr>
        <w:spacing w:after="0" w:line="124"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On July 29, 2021, the Company completed the IPO through an underwritten sale of 7,350,000 shares of its common stock at a price of $16.00 per share. The aggregate net proceeds from the offering, inclusive of an additional 898,549 common shares sold upon the partial exercise of the underwriters’ over-allotment option, after deducting underwriting discounts and commissions of $9.2 million and other offering costs of $3.2 million, were approximately $120.0 million. On July 29, 2021, the Company restated its certificate of incorporation and bylaws which provide for, among other things, the Company’s authorized capital stock to consist of 900,000,000 shares of common stock, par value $0.001 per share, and 100,000,000 shares of convertible preferred stock, par value $0.001 per share. The restated certificate defines the voting rights, dividends, liquidation, rights and preferences of each class of stock.</w:t>
      </w:r>
    </w:p>
    <w:p>
      <w:pPr>
        <w:spacing w:after="0" w:line="80"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Immediately prior to the completion of the IPO, 14,376,272 outstanding shares of the Company's convertible preferred stock were converted into an aggregate of 14,725,309 shares of common stock and 225,945 warrants to purchase Series H convertible preferred stock were exercised and converted into 100,261 shares of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i w:val="1"/>
          <w:iCs w:val="1"/>
          <w:color w:val="auto"/>
        </w:rPr>
        <w:t>Liquidity and Financial Position</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the Company has cash, cash equivalents and short-term investments of $159.3 million.</w:t>
      </w:r>
    </w:p>
    <w:p>
      <w:pPr>
        <w:spacing w:after="0" w:line="131"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color w:val="auto"/>
        </w:rPr>
        <w:t>The Company began generating revenue from its principal operations in June 2019. The Company has a limited operating history, and the revenue and income potential of the Company’s business and market are unproven. The Company has experienced recurring net losses and negative cash flows from operating activities since its inception. For the years ended December 31, 2021 and 2020, the Company incurred losses from operations of $52.8 million and $35.4 million, respectively. Due to the Company’s continuing research and development activities and investment in sales and marketing activities to increase product market acceptance,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123" w:lineRule="exact"/>
        <w:rPr>
          <w:sz w:val="20"/>
          <w:szCs w:val="20"/>
          <w:color w:val="auto"/>
        </w:rPr>
      </w:pPr>
    </w:p>
    <w:p>
      <w:pPr>
        <w:ind w:right="20" w:firstLine="374"/>
        <w:spacing w:after="0" w:line="268"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The Company believes that existing capital resources, including the net proceeds from the IPO in July 2021, will be sufficient to meet projected operating requirements for at least 12 months from the date of issuance of the accompanying consolidated financial statements, though the Company expects to continue to incur operating losses and negative cash flows. The Company plans to continue to fund its losses from operations using its cash, cash equivalents and short-term investments as of December 31, 2021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ind w:right="20" w:firstLine="374"/>
        <w:spacing w:after="0" w:line="255" w:lineRule="auto"/>
        <w:rPr>
          <w:sz w:val="20"/>
          <w:szCs w:val="20"/>
          <w:color w:val="auto"/>
        </w:rPr>
      </w:pPr>
      <w:r>
        <w:rPr>
          <w:rFonts w:ascii="Arial" w:cs="Arial" w:eastAsia="Arial" w:hAnsi="Arial"/>
          <w:sz w:val="17"/>
          <w:szCs w:val="17"/>
          <w:color w:val="auto"/>
        </w:rPr>
        <w:t>The Company has been actively monitoring the novel coronavirus, or COVID-19, situation and its impact. In response to the pandemic, numerous state and local jurisdictions imposed “shelter-in-place” orders, quarantines and other restrictions. Starting in March 2020 in the United States, governmental authorities recommended, and in certain cases required, that elective, specialty and other procedures and appointments be suspended or canceled. Similarly, in March 2020, the governor of California, where the Company’s headquarters is located, issued “stay at home” orders limiting non-essential activities, travel and business operations. Such orders and restrictions resulted in reduced operations at the Company’s headquarters, slowdowns and delays, travel restrictions and cancellation of events. These orders and restrictions significantly decreased the number of procedures performed using the Company’s products starting in March of 2020 and continuing through 2021.</w:t>
      </w:r>
    </w:p>
    <w:p>
      <w:pPr>
        <w:spacing w:after="0" w:line="99"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In response to the impact of COVID-19, the Company implemented a variety of measures to help manage through the impact and position it to resume operations quickly and efficiently once these restrictions were lifted. These measures included: remote work as needed, suspension of non-essential travel, restrictions on in-person work-related meetings, the wearing of personal protective equipment, social distancing, increased facility cleaning and air purification in all of the Company’s buildings and daily health monitoring of all Company employees to prevent or contain COVID-19 exposure. In addition, the Company took steps to preserve liquidity, reduce expenses and monitor operations to mitigate the impact on its current and future financial condition. The impact of COVID-19 continues to evolve and its impact on the Company’s business will depend on several factors that are highly uncertain and unpredictable, including, the efficacy and adoption of vaccines, future resurgences of the virus and its variants, the speed at which government restrictions are lifted, patient capacity at hospitals and healthcare systems,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3" w:name="page124"/>
    <w:bookmarkEnd w:id="123"/>
    <w:p>
      <w:pPr>
        <w:ind w:right="340"/>
        <w:spacing w:after="0" w:line="261" w:lineRule="auto"/>
        <w:rPr>
          <w:sz w:val="20"/>
          <w:szCs w:val="20"/>
          <w:color w:val="auto"/>
        </w:rPr>
      </w:pPr>
      <w:r>
        <w:rPr>
          <w:rFonts w:ascii="Arial" w:cs="Arial" w:eastAsia="Arial" w:hAnsi="Arial"/>
          <w:sz w:val="18"/>
          <w:szCs w:val="18"/>
          <w:color w:val="auto"/>
        </w:rPr>
        <w:t>the duration and severity of healthcare worker shortages, and the willingness and ability of patients to seek care and treatment due to safety concerns or financial hardship.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31" w:lineRule="exact"/>
        <w:rPr>
          <w:sz w:val="20"/>
          <w:szCs w:val="20"/>
          <w:color w:val="auto"/>
        </w:rPr>
      </w:pPr>
    </w:p>
    <w:p>
      <w:pPr>
        <w:ind w:right="380" w:firstLine="374"/>
        <w:spacing w:after="0" w:line="24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informed estimates, judgments and assumptions that affect the reported amounts in the consolidated financial</w:t>
      </w:r>
    </w:p>
    <w:p>
      <w:pPr>
        <w:ind w:firstLine="45"/>
        <w:spacing w:after="0" w:line="238" w:lineRule="auto"/>
        <w:rPr>
          <w:sz w:val="20"/>
          <w:szCs w:val="20"/>
          <w:color w:val="auto"/>
        </w:rPr>
      </w:pPr>
      <w:r>
        <w:rPr>
          <w:rFonts w:ascii="Arial" w:cs="Arial" w:eastAsia="Arial" w:hAnsi="Arial"/>
          <w:sz w:val="18"/>
          <w:szCs w:val="18"/>
          <w:color w:val="auto"/>
        </w:rPr>
        <w:t>statements and disclosures in the accompanying notes as of the date of the accompanying consolidated financial statements. On an on-going basis, management evaluates the most critical estimates and assumptions for continued reasonableness. These estimates and assumptions involve judgments with respect to numerous factors that are difficult to predict. Actual results may differ materially from the estimates used in the preparation of the accompanying consolidated financial statements under different assumptions or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44"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There have been no significant changes to the accounting policies during the year ended December 31, 2021 as compared to the significant accounting policies described in Note 2 of the “Notes to Consolidated Financial Statements” in the Company’s audited consolidated financial statements included in the Company's prospectus filed with the Securities and Exchange Commission in accordance with Rule 424(b) of the Securities Act on July 29, 2021 in connection with our IPO.</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44"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31" w:lineRule="exact"/>
        <w:rPr>
          <w:sz w:val="20"/>
          <w:szCs w:val="20"/>
          <w:color w:val="auto"/>
        </w:rPr>
      </w:pPr>
    </w:p>
    <w:p>
      <w:pPr>
        <w:ind w:right="60" w:firstLine="374"/>
        <w:spacing w:after="0" w:line="253" w:lineRule="auto"/>
        <w:rPr>
          <w:sz w:val="20"/>
          <w:szCs w:val="20"/>
          <w:color w:val="auto"/>
        </w:rPr>
      </w:pPr>
      <w:r>
        <w:rPr>
          <w:rFonts w:ascii="Arial" w:cs="Arial" w:eastAsia="Arial" w:hAnsi="Arial"/>
          <w:sz w:val="17"/>
          <w:szCs w:val="17"/>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1 and Level 2 financial instruments in the fair value hierarchy. Unrealized gains and losses are recorded as a component of other comprehensive loss within stockholders’ equity (deficit) on the consolidated balance sheets. Realized gains and losses are included as other income (expense) in the accompanying Consolidated Statements of Operations and Comprehensive (Loss) Income.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13" w:lineRule="exact"/>
        <w:rPr>
          <w:sz w:val="20"/>
          <w:szCs w:val="20"/>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investment has been in a continuous realized loss position for over 12 months;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duration to maturity of investments;</w:t>
      </w:r>
    </w:p>
    <w:p>
      <w:pPr>
        <w:spacing w:after="0" w:line="130"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intention and ability to hold the investment to maturity and if it is not more likely than not that the investment will be required to sell the investment before recovery of the amortized cost bases;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credit rating, financial condition and near-term prospects of the issuer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type of investments made.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4" w:name="page125"/>
    <w:bookmarkEnd w:id="124"/>
    <w:p>
      <w:pPr>
        <w:ind w:right="340" w:firstLine="374"/>
        <w:spacing w:after="0" w:line="261" w:lineRule="auto"/>
        <w:rPr>
          <w:sz w:val="20"/>
          <w:szCs w:val="20"/>
          <w:color w:val="auto"/>
        </w:rPr>
      </w:pPr>
      <w:r>
        <w:rPr>
          <w:rFonts w:ascii="Arial" w:cs="Arial" w:eastAsia="Arial" w:hAnsi="Arial"/>
          <w:sz w:val="18"/>
          <w:szCs w:val="18"/>
          <w:color w:val="auto"/>
        </w:rPr>
        <w:t>The Company had $9,000 and $2,000 of unrealized losses related to short-term investments as of December 31, 2021 and 2020, respectively. The Company’s short-term investments consist of Level 2 financial instruments in the fair value hierarchy.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44" w:lineRule="exact"/>
        <w:rPr>
          <w:sz w:val="20"/>
          <w:szCs w:val="20"/>
          <w:color w:val="auto"/>
        </w:rPr>
      </w:pPr>
    </w:p>
    <w:p>
      <w:pPr>
        <w:ind w:right="300" w:firstLine="374"/>
        <w:spacing w:after="0" w:line="324" w:lineRule="auto"/>
        <w:rPr>
          <w:sz w:val="20"/>
          <w:szCs w:val="20"/>
          <w:color w:val="auto"/>
        </w:rPr>
      </w:pPr>
      <w:r>
        <w:rPr>
          <w:rFonts w:ascii="Arial" w:cs="Arial" w:eastAsia="Arial" w:hAnsi="Arial"/>
          <w:sz w:val="16"/>
          <w:szCs w:val="16"/>
          <w:color w:val="auto"/>
        </w:rPr>
        <w:t>Restricted cash consists of cash held as collateral for a letter of credit as security for future facility lease payments and corporate credit cards at the Company’s bank. Restricted cash increased $350,000 during the year ended December 31, 2021 to $811,000 as required for these operating activities.</w:t>
      </w:r>
    </w:p>
    <w:p>
      <w:pPr>
        <w:spacing w:after="0" w:line="57" w:lineRule="exact"/>
        <w:rPr>
          <w:sz w:val="20"/>
          <w:szCs w:val="20"/>
          <w:color w:val="auto"/>
        </w:rPr>
      </w:pPr>
    </w:p>
    <w:p>
      <w:pPr>
        <w:ind w:right="240" w:firstLine="374"/>
        <w:spacing w:after="0" w:line="291" w:lineRule="auto"/>
        <w:rPr>
          <w:sz w:val="20"/>
          <w:szCs w:val="20"/>
          <w:color w:val="auto"/>
        </w:rPr>
      </w:pPr>
      <w:r>
        <w:rPr>
          <w:rFonts w:ascii="Arial" w:cs="Arial" w:eastAsia="Arial" w:hAnsi="Arial"/>
          <w:sz w:val="17"/>
          <w:szCs w:val="17"/>
          <w:color w:val="auto"/>
        </w:rPr>
        <w:t>The following table provides a reconciliation of cash and cash equivalents and restricted cash reported within the consolidated balance sheets to the amount reported in the Consolidated Statement of Cash Flows for the years ended December 31, 2021 and 2020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5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2000" w:type="dxa"/>
            <w:vAlign w:val="bottom"/>
            <w:vMerge w:val="restart"/>
          </w:tcPr>
          <w:p>
            <w:pPr>
              <w:jc w:val="right"/>
              <w:ind w:right="12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60" w:type="dxa"/>
            <w:vAlign w:val="bottom"/>
            <w:vMerge w:val="restart"/>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vMerge w:val="continue"/>
          </w:tcPr>
          <w:p>
            <w:pPr>
              <w:spacing w:after="0"/>
              <w:rPr>
                <w:sz w:val="17"/>
                <w:szCs w:val="17"/>
                <w:color w:val="auto"/>
              </w:rPr>
            </w:pPr>
          </w:p>
        </w:tc>
        <w:tc>
          <w:tcPr>
            <w:tcW w:w="1980" w:type="dxa"/>
            <w:vAlign w:val="bottom"/>
            <w:shd w:val="clear" w:color="auto" w:fill="CFF0FC"/>
          </w:tcPr>
          <w:p>
            <w:pPr>
              <w:jc w:val="right"/>
              <w:ind w:right="17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24,361</w:t>
            </w:r>
          </w:p>
        </w:tc>
        <w:tc>
          <w:tcPr>
            <w:tcW w:w="1400" w:type="dxa"/>
            <w:vAlign w:val="bottom"/>
            <w:gridSpan w:val="2"/>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w:t>
            </w:r>
          </w:p>
        </w:tc>
        <w:tc>
          <w:tcPr>
            <w:tcW w:w="3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Cash, cash equivalents and restricted cash in the</w:t>
            </w:r>
          </w:p>
        </w:tc>
        <w:tc>
          <w:tcPr>
            <w:tcW w:w="260" w:type="dxa"/>
            <w:vAlign w:val="bottom"/>
          </w:tcPr>
          <w:p>
            <w:pPr>
              <w:spacing w:after="0"/>
              <w:rPr>
                <w:sz w:val="13"/>
                <w:szCs w:val="13"/>
                <w:color w:val="auto"/>
              </w:rPr>
            </w:pPr>
          </w:p>
        </w:tc>
        <w:tc>
          <w:tcPr>
            <w:tcW w:w="1980" w:type="dxa"/>
            <w:vAlign w:val="bottom"/>
            <w:vMerge w:val="restart"/>
            <w:shd w:val="clear" w:color="auto" w:fill="CFF0FC"/>
          </w:tcPr>
          <w:p>
            <w:pPr>
              <w:jc w:val="right"/>
              <w:ind w:right="17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25,172</w:t>
            </w:r>
          </w:p>
        </w:tc>
        <w:tc>
          <w:tcPr>
            <w:tcW w:w="320" w:type="dxa"/>
            <w:vAlign w:val="bottom"/>
            <w:vMerge w:val="restart"/>
            <w:shd w:val="clear" w:color="auto" w:fill="CFF0FC"/>
          </w:tcPr>
          <w:p>
            <w:pPr>
              <w:spacing w:after="0"/>
              <w:rPr>
                <w:sz w:val="13"/>
                <w:szCs w:val="13"/>
                <w:color w:val="auto"/>
              </w:rPr>
            </w:pPr>
          </w:p>
        </w:tc>
        <w:tc>
          <w:tcPr>
            <w:tcW w:w="1080" w:type="dxa"/>
            <w:vAlign w:val="bottom"/>
            <w:vMerge w:val="restart"/>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2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14,455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consolidated statements of cash flows</w:t>
            </w:r>
          </w:p>
        </w:tc>
        <w:tc>
          <w:tcPr>
            <w:tcW w:w="260" w:type="dxa"/>
            <w:vAlign w:val="bottom"/>
          </w:tcPr>
          <w:p>
            <w:pPr>
              <w:spacing w:after="0"/>
              <w:rPr>
                <w:sz w:val="18"/>
                <w:szCs w:val="18"/>
                <w:color w:val="auto"/>
              </w:rPr>
            </w:pPr>
          </w:p>
        </w:tc>
        <w:tc>
          <w:tcPr>
            <w:tcW w:w="1980" w:type="dxa"/>
            <w:vAlign w:val="bottom"/>
            <w:tcBorders>
              <w:bottom w:val="single" w:sz="8" w:color="auto"/>
            </w:tcBorders>
            <w:vMerge w:val="continue"/>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vMerge w:val="continue"/>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2000" w:type="dxa"/>
            <w:vAlign w:val="bottom"/>
            <w:tcBorders>
              <w:bottom w:val="single" w:sz="8" w:color="auto"/>
            </w:tcBorders>
            <w:vMerge w:val="continue"/>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44"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122" w:lineRule="exact"/>
        <w:rPr>
          <w:sz w:val="20"/>
          <w:szCs w:val="20"/>
          <w:color w:val="auto"/>
        </w:rPr>
      </w:pPr>
    </w:p>
    <w:p>
      <w:pPr>
        <w:ind w:right="220" w:firstLine="374"/>
        <w:spacing w:after="0" w:line="243" w:lineRule="auto"/>
        <w:rPr>
          <w:sz w:val="20"/>
          <w:szCs w:val="20"/>
          <w:color w:val="auto"/>
        </w:rPr>
      </w:pPr>
      <w:r>
        <w:rPr>
          <w:rFonts w:ascii="Arial" w:cs="Arial" w:eastAsia="Arial" w:hAnsi="Arial"/>
          <w:sz w:val="18"/>
          <w:szCs w:val="18"/>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107" w:lineRule="exact"/>
        <w:rPr>
          <w:sz w:val="20"/>
          <w:szCs w:val="20"/>
          <w:color w:val="auto"/>
        </w:rPr>
      </w:pPr>
    </w:p>
    <w:p>
      <w:pPr>
        <w:jc w:val="both"/>
        <w:ind w:right="240" w:firstLine="374"/>
        <w:spacing w:after="0" w:line="294" w:lineRule="auto"/>
        <w:rPr>
          <w:sz w:val="20"/>
          <w:szCs w:val="20"/>
          <w:color w:val="auto"/>
        </w:rPr>
      </w:pPr>
      <w:r>
        <w:rPr>
          <w:rFonts w:ascii="Arial" w:cs="Arial" w:eastAsia="Arial" w:hAnsi="Arial"/>
          <w:sz w:val="16"/>
          <w:szCs w:val="16"/>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our products, product liability and the need to obtain additional financing.</w:t>
      </w:r>
    </w:p>
    <w:p>
      <w:pPr>
        <w:spacing w:after="0" w:line="80" w:lineRule="exact"/>
        <w:rPr>
          <w:sz w:val="20"/>
          <w:szCs w:val="20"/>
          <w:color w:val="auto"/>
        </w:rPr>
      </w:pPr>
    </w:p>
    <w:p>
      <w:pPr>
        <w:ind w:right="280" w:firstLine="374"/>
        <w:spacing w:after="0"/>
        <w:rPr>
          <w:sz w:val="20"/>
          <w:szCs w:val="20"/>
          <w:color w:val="auto"/>
        </w:rPr>
      </w:pPr>
      <w:r>
        <w:rPr>
          <w:rFonts w:ascii="Arial" w:cs="Arial" w:eastAsia="Arial" w:hAnsi="Arial"/>
          <w:sz w:val="18"/>
          <w:szCs w:val="18"/>
          <w:color w:val="auto"/>
        </w:rPr>
        <w:t>The Company is subject to the risks related to the global pandemic associated with COVID-19, including local, state, federal and other world-wide mandates imposed to reduce the spread of the virus which could interrupt or reduce the number of cataract surgeries, limit access to ambulatory surgery centers, doctors’ offices and manufacturing facilities, and the expansion of global lead times, particularly in Europe and Asia, leading to a supply interruption from our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31"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Accounts receivable pertain to contracts with customers who are granted credit by the Company in the ordinary course of business and are presented net of allowances for credit losses. Accounts receivable are generally due 30 days after invoicing. The Company maintains an allowance for credit losses resulting from the inability of its customers, including ambulatory surgery centers, to make required payments. The allowance for credit losses is calculated quarterly and is developed using an aging of receivables where receivables are segregated into various categories based upon due date, and a historical loss percentage is applied to each category that is adjusted for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5" w:name="page126"/>
    <w:bookmarkEnd w:id="125"/>
    <w:p>
      <w:pPr>
        <w:ind w:right="60"/>
        <w:spacing w:after="0" w:line="255" w:lineRule="auto"/>
        <w:rPr>
          <w:sz w:val="20"/>
          <w:szCs w:val="20"/>
          <w:color w:val="auto"/>
        </w:rPr>
      </w:pPr>
      <w:r>
        <w:rPr>
          <w:rFonts w:ascii="Arial" w:cs="Arial" w:eastAsia="Arial" w:hAnsi="Arial"/>
          <w:sz w:val="17"/>
          <w:szCs w:val="17"/>
          <w:color w:val="auto"/>
        </w:rPr>
        <w:t>current receivable composition, counterparty and specific risk and prevailing economic condition and supportable forecasted economic conditions. Once a receivable is deemed uncollectible after collection efforts have been exhausted, it is written off against the allowance for credit losses. The Company closely monitors the credit quality of its customers and has yet to experience a write-off of a receivable or uncollected receivable. The Company does not generally require collateral or other security on receivables. The Company has a diverse customer base and as of December 31, 2021, the Company did not have any customer who individually accounted for greater than 10% of accounts receivable. As of December 31, 2020, the Company had one customer who individually accounted for 35% of accounts receivable. After evaluation of the collectability of accounts receivable, the Company did not record any significant allowance for credit losses as of December 31, 2021 and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4" w:lineRule="exact"/>
        <w:rPr>
          <w:sz w:val="20"/>
          <w:szCs w:val="20"/>
          <w:color w:val="auto"/>
        </w:rPr>
      </w:pPr>
    </w:p>
    <w:p>
      <w:pPr>
        <w:ind w:right="120" w:firstLine="374"/>
        <w:spacing w:after="0" w:line="257"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warrant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67" w:lineRule="exact"/>
        <w:rPr>
          <w:sz w:val="20"/>
          <w:szCs w:val="20"/>
          <w:color w:val="auto"/>
        </w:rPr>
      </w:pPr>
    </w:p>
    <w:p>
      <w:pPr>
        <w:ind w:left="760" w:right="700"/>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that are accessible at the measurement date for identical unrestricted assets or liabilities.</w:t>
      </w:r>
    </w:p>
    <w:p>
      <w:pPr>
        <w:spacing w:after="0" w:line="103" w:lineRule="exact"/>
        <w:rPr>
          <w:sz w:val="20"/>
          <w:szCs w:val="20"/>
          <w:color w:val="auto"/>
        </w:rPr>
      </w:pPr>
    </w:p>
    <w:p>
      <w:pPr>
        <w:ind w:left="760" w:right="40"/>
        <w:spacing w:after="0" w:line="241" w:lineRule="auto"/>
        <w:rPr>
          <w:sz w:val="20"/>
          <w:szCs w:val="20"/>
          <w:color w:val="auto"/>
        </w:rPr>
      </w:pPr>
      <w:r>
        <w:rPr>
          <w:rFonts w:ascii="Arial" w:cs="Arial" w:eastAsia="Arial" w:hAnsi="Arial"/>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08" w:lineRule="exact"/>
        <w:rPr>
          <w:sz w:val="20"/>
          <w:szCs w:val="20"/>
          <w:color w:val="auto"/>
        </w:rPr>
      </w:pPr>
    </w:p>
    <w:p>
      <w:pPr>
        <w:ind w:left="760" w:right="40"/>
        <w:spacing w:after="0" w:line="241" w:lineRule="auto"/>
        <w:rPr>
          <w:sz w:val="20"/>
          <w:szCs w:val="20"/>
          <w:color w:val="auto"/>
        </w:rPr>
      </w:pPr>
      <w:r>
        <w:rPr>
          <w:rFonts w:ascii="Arial" w:cs="Arial" w:eastAsia="Arial" w:hAnsi="Arial"/>
          <w:sz w:val="18"/>
          <w:szCs w:val="18"/>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122"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20"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and term loan at December 31, 2021 and 2020 approximated their carrying values, based on the borrowing rates that were available for loans with similar terms as of that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44"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Property and equipment and leasehold improvements are recorded at cost, net of accumulated depreciation and amortization. Property and equipment are depreciated over the estimated useful lives of the related assets, generally three to five years, using a straight-line method. Leasehold improvements are amortized on the straight-line method over the shorter of the lease term or their estimated economic lives. Repairs and maintenance costs are charged directly to operations as incurred, while renewals and betterments are capitalized.</w:t>
      </w:r>
    </w:p>
    <w:p>
      <w:pPr>
        <w:spacing w:after="0" w:line="120" w:lineRule="exact"/>
        <w:rPr>
          <w:sz w:val="20"/>
          <w:szCs w:val="20"/>
          <w:color w:val="auto"/>
        </w:rPr>
      </w:pPr>
    </w:p>
    <w:p>
      <w:pPr>
        <w:ind w:right="80" w:firstLine="374"/>
        <w:spacing w:after="0" w:line="271" w:lineRule="auto"/>
        <w:rPr>
          <w:sz w:val="20"/>
          <w:szCs w:val="20"/>
          <w:color w:val="auto"/>
        </w:rPr>
      </w:pPr>
      <w:r>
        <w:rPr>
          <w:rFonts w:ascii="Arial" w:cs="Arial" w:eastAsia="Arial" w:hAnsi="Arial"/>
          <w:sz w:val="16"/>
          <w:szCs w:val="16"/>
          <w:color w:val="auto"/>
        </w:rPr>
        <w:t>All long-lived assets are reviewed for impairment whenever circumstances such as events or changes in the business indicate that an asset or asset group’s carrying value may not be recoverable based on undiscounted future operating cash flows to be derived from their use. Factors that are considered important that could trigger an impairment review include a current period operating or cash flow loss or a history of operating or cash flow losses and a projection or forecast that demonstrates continuing losses or insufficient income associated with the use of a long-lived asset or asset group. Other factors include a significant change in the manner of the use of the asset or a significant negative industry or economic trend. This evaluation is performed based on estimated undiscounted future cash flows from operating activities compared with the carrying value of the related assets. If the undiscounted future cash flows are less than the carrying value, an impairment loss is recognized, measured by the difference between the carrying value and the estimated fair value of the assets. Fair value is determined primarily using the discounted cash flows expected to be generated from the use of assets. Significant management judgment is required in the forecast of future operating results that are used in the preparation of expected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ind w:right="20" w:firstLine="374"/>
        <w:spacing w:after="0" w:line="269"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(the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Stock</w:t>
      </w:r>
    </w:p>
    <w:p>
      <w:pPr>
        <w:spacing w:after="0" w:line="131" w:lineRule="exact"/>
        <w:rPr>
          <w:sz w:val="20"/>
          <w:szCs w:val="20"/>
          <w:color w:val="auto"/>
        </w:rPr>
      </w:pPr>
    </w:p>
    <w:p>
      <w:pPr>
        <w:ind w:right="200" w:firstLine="374"/>
        <w:spacing w:after="0" w:line="276" w:lineRule="auto"/>
        <w:rPr>
          <w:sz w:val="20"/>
          <w:szCs w:val="20"/>
          <w:color w:val="auto"/>
        </w:rPr>
      </w:pPr>
      <w:r>
        <w:rPr>
          <w:rFonts w:ascii="Arial" w:cs="Arial" w:eastAsia="Arial" w:hAnsi="Arial"/>
          <w:sz w:val="16"/>
          <w:szCs w:val="16"/>
          <w:color w:val="auto"/>
        </w:rPr>
        <w:t>The Company recognizes the freestanding warrants to purchase shares of convertible preferred stock as liabilities at fair value as these warrant instruments are embedded in contracts that may be cash settled. The convertible preferred stock warrants were issued for no cash consideration as detachable freestanding instruments but can be converted to convertible preferred stock at the holder’s option based on the exercise price of the warrant. However, the deemed liquidation provisions of the convertible preferred stock are considered contingent redemption provisions that are not solely within the control of the Company. Therefore, the convertible preferred stock is classified in temporary equity on the accompanying condensed consolidated balance sheets, and the warrants to purchase the convertible preferred stock are classified as liabilities. The Company recognized a freestanding warrant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7" w:name="page128"/>
    <w:bookmarkEnd w:id="127"/>
    <w:p>
      <w:pPr>
        <w:ind w:right="140"/>
        <w:spacing w:after="0" w:line="262" w:lineRule="auto"/>
        <w:rPr>
          <w:sz w:val="20"/>
          <w:szCs w:val="20"/>
          <w:color w:val="auto"/>
        </w:rPr>
      </w:pPr>
      <w:r>
        <w:rPr>
          <w:rFonts w:ascii="Arial" w:cs="Arial" w:eastAsia="Arial" w:hAnsi="Arial"/>
          <w:sz w:val="17"/>
          <w:szCs w:val="17"/>
          <w:color w:val="auto"/>
        </w:rPr>
        <w:t>to purchase a share of Series W common stock as a liability at fair value because this instrument was not indexed to the Company’s own stock as the settlement calculation incorporated variables other than those used to determine the fair value of a fixed-for-fixed forward or option on equity shares. The common stock warrant was issued for cash consideration as a freestanding instrument and could be converted to one share of common stock, Series W, at the holder’s option based on the exercise price of the warrant and prior to the expiration date of March 31, 2021.</w:t>
      </w:r>
    </w:p>
    <w:p>
      <w:pPr>
        <w:spacing w:after="0" w:line="91" w:lineRule="exact"/>
        <w:rPr>
          <w:sz w:val="20"/>
          <w:szCs w:val="20"/>
          <w:color w:val="auto"/>
        </w:rPr>
      </w:pPr>
    </w:p>
    <w:p>
      <w:pPr>
        <w:ind w:right="100" w:firstLine="374"/>
        <w:spacing w:after="0" w:line="269" w:lineRule="auto"/>
        <w:rPr>
          <w:sz w:val="20"/>
          <w:szCs w:val="20"/>
          <w:color w:val="auto"/>
        </w:rPr>
      </w:pPr>
      <w:r>
        <w:rPr>
          <w:rFonts w:ascii="Arial" w:cs="Arial" w:eastAsia="Arial" w:hAnsi="Arial"/>
          <w:sz w:val="16"/>
          <w:szCs w:val="16"/>
          <w:color w:val="auto"/>
        </w:rPr>
        <w:t>The warrants were recorded on the accompanying consolidated balance sheets at their fair value on the date of issuance and were subject to re-measurement to fair value at each balance sheet date. Changes in fair value were recognized as a component of other income (expense) in the accompanying Consolidated Statements of Operations and Comprehensive (Loss) Income. Upon issuance of the Series W common stock warrant, the Company engaged valuation specialists to assist with determining its fair value using a Monte Carlo simulation approach. In addition, the Company engaged the valuation specialists to derive an estimated fair value of the preferred stock warrants using a probability weighted expected return model/option pricing model (“PWERM/OPM”) hybrid valuation model. Pursuant to the terms of the preferred stock warrants, upon the conversion of the class of preferred stock underlying the warrant, the warrants automatically become exercisable for shares of the Company’s common stock based upon the conversion ratio of the underlying class of preferred stock. The exercise of either the common stock warrant or consummation of a qualified initial public offering would result in the automatic conversion of all classes of the Company’s preferred stock into common stock. Upon such conversion of the underlying classes of preferred stock, the warrants would be classified as a component of equity and would no longer be subject to remeasurement. Accordingly, the Company continued to adjust the warrant liabilities for changes in fair value through the date of the conversion of the underlying convertible preferred stock into common stock which occurred upon the completion of the IPO in July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Offering Costs</w:t>
      </w:r>
    </w:p>
    <w:p>
      <w:pPr>
        <w:spacing w:after="0" w:line="144" w:lineRule="exact"/>
        <w:rPr>
          <w:sz w:val="20"/>
          <w:szCs w:val="20"/>
          <w:color w:val="auto"/>
        </w:rPr>
      </w:pPr>
    </w:p>
    <w:p>
      <w:pPr>
        <w:ind w:right="360" w:firstLine="374"/>
        <w:spacing w:after="0" w:line="248" w:lineRule="auto"/>
        <w:rPr>
          <w:sz w:val="20"/>
          <w:szCs w:val="20"/>
          <w:color w:val="auto"/>
        </w:rPr>
      </w:pPr>
      <w:r>
        <w:rPr>
          <w:rFonts w:ascii="Arial" w:cs="Arial" w:eastAsia="Arial" w:hAnsi="Arial"/>
          <w:sz w:val="18"/>
          <w:szCs w:val="18"/>
          <w:color w:val="auto"/>
        </w:rPr>
        <w:t>The Company capitalized deferred offering costs consisting of all direct and incremental legal, professional, accounting and other third-party fees incurred in connection with the IPO. As of December 31, 2021, total deferred offering costs of $3.2 million were offset against IPO proceeds and reclassified to additional paid-in capital in the accompanying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per Share</w:t>
      </w:r>
    </w:p>
    <w:p>
      <w:pPr>
        <w:spacing w:after="0" w:line="131" w:lineRule="exact"/>
        <w:rPr>
          <w:sz w:val="20"/>
          <w:szCs w:val="20"/>
          <w:color w:val="auto"/>
        </w:rPr>
      </w:pPr>
    </w:p>
    <w:p>
      <w:pPr>
        <w:ind w:firstLine="374"/>
        <w:spacing w:after="0" w:line="270" w:lineRule="auto"/>
        <w:rPr>
          <w:sz w:val="20"/>
          <w:szCs w:val="20"/>
          <w:color w:val="auto"/>
        </w:rPr>
      </w:pPr>
      <w:r>
        <w:rPr>
          <w:rFonts w:ascii="Arial" w:cs="Arial" w:eastAsia="Arial" w:hAnsi="Arial"/>
          <w:sz w:val="16"/>
          <w:szCs w:val="16"/>
          <w:color w:val="auto"/>
        </w:rPr>
        <w:t>The Company computes basic net (loss) income per share for common stock using the two-class method required for companies with participating securities based upon the weighted-average number of common shares outstanding during the period. Diluted net (loss) income per share assumes the conversion, exercise or issuance of all potential common stock equivalents, unless the effect of inclusion would be anti-dilutive. For purposes of this calculation, common stock equivalents include the Company’s stock options, warrants and the shares issuable upon the conversion of preferred stock. Prior to the lapse of redemption features, for redeemable stock options and redeemable preferred stock, the calculation of diluted (loss) income per share includes an adjustment for the additional share of undistributed earnings and accretion to redemption value for the period that the common stockholders are entitled to if exercise is assumed. For warrants that are recorded as a liability in the accompanying consolidated balance sheets, the calculation of diluted (loss) income per share requires that, to the extent the average market price of the underlying shares for the reporting period exceeded the exercise price of the warrants and the presumed exercise of the warrants was dilutive to (loss) income per share for the period, an adjustment was made to net (loss) income used in the calculation to remove the change in fair value of the warrants from the numerator for the period. Likewise, an adjustment to the denominator was required to reflect the related dilutive shares, if any, under the treasury stock method.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8" w:name="page129"/>
    <w:bookmarkEnd w:id="128"/>
    <w:p>
      <w:pPr>
        <w:ind w:right="560" w:firstLine="374"/>
        <w:spacing w:after="0" w:line="261" w:lineRule="auto"/>
        <w:rPr>
          <w:sz w:val="20"/>
          <w:szCs w:val="20"/>
          <w:color w:val="auto"/>
        </w:rPr>
      </w:pPr>
      <w:r>
        <w:rPr>
          <w:rFonts w:ascii="Arial" w:cs="Arial" w:eastAsia="Arial" w:hAnsi="Arial"/>
          <w:sz w:val="18"/>
          <w:szCs w:val="18"/>
          <w:color w:val="auto"/>
        </w:rPr>
        <w:t>The following tables show the computation of basic and diluted net (loss) income per share for 2021 and 2020 (in thousands, except number of shares):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Common Stock</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Numerator:</w:t>
            </w: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8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Net (loss) income available to stockholders,</w:t>
            </w:r>
          </w:p>
        </w:tc>
        <w:tc>
          <w:tcPr>
            <w:tcW w:w="1420" w:type="dxa"/>
            <w:vAlign w:val="bottom"/>
            <w:vMerge w:val="restart"/>
            <w:shd w:val="clear" w:color="auto" w:fill="CFF0FC"/>
          </w:tcPr>
          <w:p>
            <w:pPr>
              <w:jc w:val="right"/>
              <w:ind w:right="123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(48,688 )</w:t>
            </w:r>
          </w:p>
        </w:tc>
        <w:tc>
          <w:tcPr>
            <w:tcW w:w="780" w:type="dxa"/>
            <w:vAlign w:val="bottom"/>
            <w:vMerge w:val="restart"/>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Effect of dilutive securities:</w:t>
            </w: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Redeemable stock options</w:t>
            </w:r>
          </w:p>
        </w:tc>
        <w:tc>
          <w:tcPr>
            <w:tcW w:w="1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(2,511 )</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80" w:type="dxa"/>
            <w:vAlign w:val="bottom"/>
            <w:gridSpan w:val="2"/>
          </w:tcPr>
          <w:p>
            <w:pPr>
              <w:ind w:left="200"/>
              <w:spacing w:after="0" w:line="156" w:lineRule="exact"/>
              <w:rPr>
                <w:sz w:val="20"/>
                <w:szCs w:val="20"/>
                <w:color w:val="auto"/>
              </w:rPr>
            </w:pPr>
            <w:r>
              <w:rPr>
                <w:rFonts w:ascii="Arial" w:cs="Arial" w:eastAsia="Arial" w:hAnsi="Arial"/>
                <w:sz w:val="18"/>
                <w:szCs w:val="18"/>
                <w:color w:val="auto"/>
              </w:rPr>
              <w:t>Net (loss) income available to stockholders,</w:t>
            </w:r>
          </w:p>
        </w:tc>
        <w:tc>
          <w:tcPr>
            <w:tcW w:w="1420" w:type="dxa"/>
            <w:vAlign w:val="bottom"/>
            <w:vMerge w:val="restart"/>
          </w:tcPr>
          <w:p>
            <w:pPr>
              <w:jc w:val="right"/>
              <w:ind w:right="123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(48,688 )</w:t>
            </w: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14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8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Weighted-average shares outstanding,</w:t>
            </w:r>
          </w:p>
        </w:tc>
        <w:tc>
          <w:tcPr>
            <w:tcW w:w="14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13,625,044</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3,707,207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 of dilutive securities:</w:t>
            </w:r>
          </w:p>
        </w:tc>
        <w:tc>
          <w:tcPr>
            <w:tcW w:w="1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Redeemable stock options</w:t>
            </w:r>
          </w:p>
        </w:tc>
        <w:tc>
          <w:tcPr>
            <w:tcW w:w="1420" w:type="dxa"/>
            <w:vAlign w:val="bottom"/>
          </w:tcPr>
          <w:p>
            <w:pPr>
              <w:spacing w:after="0"/>
              <w:rPr>
                <w:sz w:val="17"/>
                <w:szCs w:val="17"/>
                <w:color w:val="auto"/>
              </w:rPr>
            </w:pP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1,825,098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Weighted-average shares, diluted</w:t>
            </w:r>
          </w:p>
        </w:tc>
        <w:tc>
          <w:tcPr>
            <w:tcW w:w="14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13,625,044</w:t>
            </w:r>
          </w:p>
        </w:tc>
        <w:tc>
          <w:tcPr>
            <w:tcW w:w="3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5,532,305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Net (loss) income per share:</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Attributable to common stock, basic</w:t>
            </w:r>
          </w:p>
        </w:tc>
        <w:tc>
          <w:tcPr>
            <w:tcW w:w="1420" w:type="dxa"/>
            <w:vAlign w:val="bottom"/>
            <w:shd w:val="clear" w:color="auto" w:fill="CFF0FC"/>
          </w:tcPr>
          <w:p>
            <w:pPr>
              <w:jc w:val="right"/>
              <w:ind w:right="12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(3.57 )</w:t>
            </w:r>
          </w:p>
        </w:tc>
        <w:tc>
          <w:tcPr>
            <w:tcW w:w="78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0"/>
              <w:spacing w:after="0"/>
              <w:rPr>
                <w:sz w:val="20"/>
                <w:szCs w:val="20"/>
                <w:color w:val="auto"/>
              </w:rPr>
            </w:pPr>
            <w:r>
              <w:rPr>
                <w:rFonts w:ascii="Arial" w:cs="Arial" w:eastAsia="Arial" w:hAnsi="Arial"/>
                <w:sz w:val="18"/>
                <w:szCs w:val="18"/>
                <w:color w:val="auto"/>
              </w:rPr>
              <w:t>Attributable to common stock, diluted</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(3.57 )</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28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Series G Common Stock</w:t>
            </w:r>
          </w:p>
        </w:tc>
        <w:tc>
          <w:tcPr>
            <w:tcW w:w="1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Numerator:</w:t>
            </w: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8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Net loss available to stockholder,</w:t>
            </w:r>
          </w:p>
        </w:tc>
        <w:tc>
          <w:tcPr>
            <w:tcW w:w="1420" w:type="dxa"/>
            <w:vAlign w:val="bottom"/>
            <w:vMerge w:val="restart"/>
            <w:shd w:val="clear" w:color="auto" w:fill="CFF0FC"/>
          </w:tcPr>
          <w:p>
            <w:pPr>
              <w:jc w:val="right"/>
              <w:ind w:right="123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Effect of dilutive securities:</w:t>
            </w: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Redeemable preferred stock and warrants</w:t>
            </w:r>
          </w:p>
        </w:tc>
        <w:tc>
          <w:tcPr>
            <w:tcW w:w="1420" w:type="dxa"/>
            <w:vAlign w:val="bottom"/>
            <w:shd w:val="clear" w:color="auto" w:fill="CFF0FC"/>
          </w:tcPr>
          <w:p>
            <w:pPr>
              <w:jc w:val="right"/>
              <w:ind w:right="12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(0.23 )</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200"/>
              <w:spacing w:after="0" w:line="162" w:lineRule="exact"/>
              <w:rPr>
                <w:sz w:val="20"/>
                <w:szCs w:val="20"/>
                <w:color w:val="auto"/>
              </w:rPr>
            </w:pPr>
            <w:r>
              <w:rPr>
                <w:rFonts w:ascii="Arial" w:cs="Arial" w:eastAsia="Arial" w:hAnsi="Arial"/>
                <w:sz w:val="18"/>
                <w:szCs w:val="18"/>
                <w:color w:val="auto"/>
              </w:rPr>
              <w:t>Net loss available to stockholder,</w:t>
            </w:r>
          </w:p>
        </w:tc>
        <w:tc>
          <w:tcPr>
            <w:tcW w:w="1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1420" w:type="dxa"/>
            <w:vAlign w:val="bottom"/>
            <w:vMerge w:val="restart"/>
          </w:tcPr>
          <w:p>
            <w:pPr>
              <w:jc w:val="right"/>
              <w:ind w:right="123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spacing w:after="0"/>
              <w:rPr>
                <w:sz w:val="12"/>
                <w:szCs w:val="12"/>
                <w:color w:val="auto"/>
              </w:rPr>
            </w:pP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r>
        <w:trPr>
          <w:trHeight w:val="203"/>
        </w:trPr>
        <w:tc>
          <w:tcPr>
            <w:tcW w:w="6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14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8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Weighted-average shares outstanding,</w:t>
            </w:r>
          </w:p>
        </w:tc>
        <w:tc>
          <w:tcPr>
            <w:tcW w:w="1420" w:type="dxa"/>
            <w:vAlign w:val="bottom"/>
          </w:tcPr>
          <w:p>
            <w:pPr>
              <w:spacing w:after="0"/>
              <w:rPr>
                <w:sz w:val="14"/>
                <w:szCs w:val="14"/>
                <w:color w:val="auto"/>
              </w:rPr>
            </w:pPr>
          </w:p>
        </w:tc>
        <w:tc>
          <w:tcPr>
            <w:tcW w:w="13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14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loss per share</w:t>
            </w:r>
          </w:p>
        </w:tc>
        <w:tc>
          <w:tcPr>
            <w:tcW w:w="1420" w:type="dxa"/>
            <w:vAlign w:val="bottom"/>
            <w:shd w:val="clear" w:color="auto" w:fill="CFF0FC"/>
          </w:tcPr>
          <w:p>
            <w:pPr>
              <w:jc w:val="right"/>
              <w:ind w:right="12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Diluted net loss per share</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-3297555</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-3297555</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-2286000</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-2286000</wp:posOffset>
            </wp:positionV>
            <wp:extent cx="5969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-895350</wp:posOffset>
            </wp:positionV>
            <wp:extent cx="93980" cy="265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-895350</wp:posOffset>
            </wp:positionV>
            <wp:extent cx="85090" cy="265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090" cy="265430"/>
                    </a:xfrm>
                    <a:prstGeom prst="rect">
                      <a:avLst/>
                    </a:prstGeom>
                    <a:noFill/>
                  </pic:spPr>
                </pic:pic>
              </a:graphicData>
            </a:graphic>
          </wp:anchor>
        </w:drawing>
      </w:r>
    </w:p>
    <w:p>
      <w:pPr>
        <w:spacing w:after="0" w:line="73" w:lineRule="exact"/>
        <w:rPr>
          <w:sz w:val="20"/>
          <w:szCs w:val="20"/>
          <w:color w:val="auto"/>
        </w:rPr>
      </w:pPr>
    </w:p>
    <w:p>
      <w:pPr>
        <w:jc w:val="both"/>
        <w:ind w:right="200" w:firstLine="374"/>
        <w:spacing w:after="0" w:line="248" w:lineRule="auto"/>
        <w:rPr>
          <w:sz w:val="20"/>
          <w:szCs w:val="20"/>
          <w:color w:val="auto"/>
        </w:rPr>
      </w:pPr>
      <w:r>
        <w:rPr>
          <w:rFonts w:ascii="Arial" w:cs="Arial" w:eastAsia="Arial" w:hAnsi="Arial"/>
          <w:sz w:val="18"/>
          <w:szCs w:val="18"/>
          <w:color w:val="auto"/>
        </w:rPr>
        <w:t>The following weighted average outstanding potentially dilutive securities were excluded from the calculation of diluted net income (loss) per share attributable to common stockholders because their impact under the “treasury stock method” and “if-converted method” was anti-dilutive for the periods presented: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3"/>
            <w:vMerge w:val="restart"/>
          </w:tcPr>
          <w:p>
            <w:pPr>
              <w:ind w:left="734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Year Ended December 31,</w:t>
            </w:r>
          </w:p>
        </w:tc>
        <w:tc>
          <w:tcPr>
            <w:tcW w:w="134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720" w:type="dxa"/>
            <w:vAlign w:val="bottom"/>
            <w:gridSpan w:val="3"/>
            <w:vMerge w:val="continue"/>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Redeemable preferred stock and warrants</w:t>
            </w:r>
          </w:p>
        </w:tc>
        <w:tc>
          <w:tcPr>
            <w:tcW w:w="24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14,883,489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ind w:left="200"/>
              <w:spacing w:after="0" w:line="162" w:lineRule="exact"/>
              <w:rPr>
                <w:sz w:val="20"/>
                <w:szCs w:val="20"/>
                <w:color w:val="auto"/>
              </w:rPr>
            </w:pPr>
            <w:r>
              <w:rPr>
                <w:rFonts w:ascii="Arial" w:cs="Arial" w:eastAsia="Arial" w:hAnsi="Arial"/>
                <w:sz w:val="18"/>
                <w:szCs w:val="18"/>
                <w:color w:val="auto"/>
              </w:rPr>
              <w:t>Stock options issued and outstanding under the 2006 Stock Plan, 2015 Equity</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2,144,860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1,444,611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ind w:left="200"/>
              <w:spacing w:after="0"/>
              <w:rPr>
                <w:sz w:val="20"/>
                <w:szCs w:val="20"/>
                <w:color w:val="auto"/>
              </w:rPr>
            </w:pPr>
            <w:r>
              <w:rPr>
                <w:rFonts w:ascii="Arial" w:cs="Arial" w:eastAsia="Arial" w:hAnsi="Arial"/>
                <w:sz w:val="18"/>
                <w:szCs w:val="18"/>
                <w:color w:val="auto"/>
              </w:rPr>
              <w:t>Incentive Plan and 2021 Equity Incentive Plan</w:t>
            </w:r>
          </w:p>
        </w:tc>
        <w:tc>
          <w:tcPr>
            <w:tcW w:w="1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stock units</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223,716</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ind w:left="200"/>
              <w:spacing w:after="0"/>
              <w:rPr>
                <w:sz w:val="20"/>
                <w:szCs w:val="20"/>
                <w:color w:val="auto"/>
              </w:rPr>
            </w:pPr>
            <w:r>
              <w:rPr>
                <w:rFonts w:ascii="Arial" w:cs="Arial" w:eastAsia="Arial" w:hAnsi="Arial"/>
                <w:sz w:val="18"/>
                <w:szCs w:val="18"/>
                <w:color w:val="auto"/>
              </w:rPr>
              <w:t>Stock issuable in offering period under the Employee Stock Purchase Plan</w:t>
            </w:r>
          </w:p>
        </w:tc>
        <w:tc>
          <w:tcPr>
            <w:tcW w:w="1000" w:type="dxa"/>
            <w:vAlign w:val="bottom"/>
          </w:tcPr>
          <w:p>
            <w:pPr>
              <w:jc w:val="right"/>
              <w:spacing w:after="0"/>
              <w:rPr>
                <w:sz w:val="20"/>
                <w:szCs w:val="20"/>
                <w:color w:val="auto"/>
              </w:rPr>
            </w:pPr>
            <w:r>
              <w:rPr>
                <w:rFonts w:ascii="Arial" w:cs="Arial" w:eastAsia="Arial" w:hAnsi="Arial"/>
                <w:sz w:val="18"/>
                <w:szCs w:val="18"/>
                <w:color w:val="auto"/>
              </w:rPr>
              <w:t>8,248</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The Company’s revenue is generated from the sale of light adjustable intraocular lenses (“LAL”) used in cataract surgery along with a specifically designed machine for delivering light to the eye, the Light Delivery Device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9" w:name="page130"/>
    <w:bookmarkEnd w:id="129"/>
    <w:p>
      <w:pPr>
        <w:ind w:right="640"/>
        <w:spacing w:after="0" w:line="261" w:lineRule="auto"/>
        <w:rPr>
          <w:sz w:val="20"/>
          <w:szCs w:val="20"/>
          <w:color w:val="auto"/>
        </w:rPr>
      </w:pPr>
      <w:r>
        <w:rPr>
          <w:rFonts w:ascii="Arial" w:cs="Arial" w:eastAsia="Arial" w:hAnsi="Arial"/>
          <w:sz w:val="18"/>
          <w:szCs w:val="18"/>
          <w:color w:val="auto"/>
        </w:rPr>
        <w:t>(“LDD”), to adjust the lens post-surgery, as needed. Revenue is recognized from sales of products in the U.S. and Europe. Customers are primarily comprised of ambulatory surgery centers, hospitals, and physician private practices.</w:t>
      </w:r>
    </w:p>
    <w:p>
      <w:pPr>
        <w:spacing w:after="0" w:line="90" w:lineRule="exact"/>
        <w:rPr>
          <w:sz w:val="20"/>
          <w:szCs w:val="20"/>
          <w:color w:val="auto"/>
        </w:rPr>
      </w:pPr>
    </w:p>
    <w:p>
      <w:pPr>
        <w:ind w:right="20" w:firstLine="374"/>
        <w:spacing w:after="0" w:line="271" w:lineRule="auto"/>
        <w:rPr>
          <w:sz w:val="20"/>
          <w:szCs w:val="20"/>
          <w:color w:val="auto"/>
        </w:rPr>
      </w:pPr>
      <w:r>
        <w:rPr>
          <w:rFonts w:ascii="Arial" w:cs="Arial" w:eastAsia="Arial" w:hAnsi="Arial"/>
          <w:sz w:val="16"/>
          <w:szCs w:val="16"/>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w:t>
      </w:r>
    </w:p>
    <w:p>
      <w:pPr>
        <w:ind w:right="60" w:firstLine="8"/>
        <w:spacing w:after="0" w:line="251" w:lineRule="auto"/>
        <w:tabs>
          <w:tab w:leader="none" w:pos="3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115" w:lineRule="exact"/>
        <w:rPr>
          <w:sz w:val="20"/>
          <w:szCs w:val="20"/>
          <w:color w:val="auto"/>
        </w:rPr>
      </w:pPr>
    </w:p>
    <w:p>
      <w:pPr>
        <w:ind w:firstLine="374"/>
        <w:spacing w:after="0" w:line="267"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(1) LDD capital asset and related components, (2) 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30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11" w:lineRule="exact"/>
        <w:rPr>
          <w:sz w:val="20"/>
          <w:szCs w:val="20"/>
          <w:color w:val="auto"/>
        </w:rPr>
      </w:pPr>
    </w:p>
    <w:p>
      <w:pPr>
        <w:jc w:val="both"/>
        <w:ind w:right="100" w:firstLine="374"/>
        <w:spacing w:after="0" w:line="248"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is recognized for LALs upon customer notification that the LALs have been implanted in a patient. For the years ended December 31, 2021 and 2020, credits related to returns and rebates on list prices were not significant.</w:t>
      </w:r>
    </w:p>
    <w:p>
      <w:pPr>
        <w:spacing w:after="0" w:line="101"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The Company has adopted the practical expedient permitting the direct expensing of costs incurred to obtain contracts where the amortization of such costs would occur over one year or less, and it applied to substantially all the Company’s contracts.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30" w:name="page131"/>
    <w:bookmarkEnd w:id="130"/>
    <w:p>
      <w:pPr>
        <w:ind w:left="380"/>
        <w:spacing w:after="0"/>
        <w:rPr>
          <w:sz w:val="20"/>
          <w:szCs w:val="20"/>
          <w:color w:val="auto"/>
        </w:rPr>
      </w:pPr>
      <w:r>
        <w:rPr>
          <w:rFonts w:ascii="Arial" w:cs="Arial" w:eastAsia="Arial" w:hAnsi="Arial"/>
          <w:sz w:val="18"/>
          <w:szCs w:val="18"/>
          <w:color w:val="auto"/>
        </w:rPr>
        <w:t>For the years ended December 31, 2021 and 2020, revenue from contracts with customers consisted of the following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1420" w:type="dxa"/>
            <w:vAlign w:val="bottom"/>
            <w:vMerge w:val="restart"/>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LDD (including training)</w:t>
            </w:r>
          </w:p>
        </w:tc>
        <w:tc>
          <w:tcPr>
            <w:tcW w:w="1440" w:type="dxa"/>
            <w:vAlign w:val="bottom"/>
            <w:shd w:val="clear" w:color="auto" w:fill="CFF0FC"/>
          </w:tcPr>
          <w:p>
            <w:pPr>
              <w:jc w:val="right"/>
              <w:ind w:right="1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13,774</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10,159</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LAL</w:t>
            </w:r>
          </w:p>
        </w:tc>
        <w:tc>
          <w:tcPr>
            <w:tcW w:w="1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8,163</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4,256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Service warranty, service contracts, and</w:t>
            </w:r>
          </w:p>
        </w:tc>
        <w:tc>
          <w:tcPr>
            <w:tcW w:w="144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accessories</w:t>
            </w:r>
          </w:p>
        </w:tc>
        <w:tc>
          <w:tcPr>
            <w:tcW w:w="1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440" w:type="dxa"/>
            <w:vAlign w:val="bottom"/>
          </w:tcPr>
          <w:p>
            <w:pPr>
              <w:jc w:val="right"/>
              <w:ind w:right="1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22,593</w:t>
            </w:r>
          </w:p>
        </w:tc>
        <w:tc>
          <w:tcPr>
            <w:tcW w:w="1200" w:type="dxa"/>
            <w:vAlign w:val="bottom"/>
            <w:gridSpan w:val="2"/>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14,678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-159385</wp:posOffset>
            </wp:positionV>
            <wp:extent cx="5143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-159385</wp:posOffset>
            </wp:positionV>
            <wp:extent cx="431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7" w:lineRule="exact"/>
        <w:rPr>
          <w:sz w:val="20"/>
          <w:szCs w:val="20"/>
          <w:color w:val="auto"/>
        </w:rPr>
      </w:pPr>
    </w:p>
    <w:p>
      <w:pPr>
        <w:ind w:right="80" w:firstLine="374"/>
        <w:spacing w:after="0" w:line="324" w:lineRule="auto"/>
        <w:rPr>
          <w:sz w:val="20"/>
          <w:szCs w:val="20"/>
          <w:color w:val="auto"/>
        </w:rPr>
      </w:pPr>
      <w:r>
        <w:rPr>
          <w:rFonts w:ascii="Arial" w:cs="Arial" w:eastAsia="Arial" w:hAnsi="Arial"/>
          <w:sz w:val="16"/>
          <w:szCs w:val="16"/>
          <w:color w:val="auto"/>
        </w:rPr>
        <w:t>As of December 31, 2021 and 2020, the Company recognized contract liabilities on its consolidated balance sheets of $540,000 and $345,000, respectively, related to the service agreement performance obligation. Revenue for service agreements is recognized ratably over the term of each contract.</w:t>
      </w:r>
    </w:p>
    <w:p>
      <w:pPr>
        <w:spacing w:after="0" w:line="57" w:lineRule="exact"/>
        <w:rPr>
          <w:sz w:val="20"/>
          <w:szCs w:val="20"/>
          <w:color w:val="auto"/>
        </w:rPr>
      </w:pPr>
    </w:p>
    <w:p>
      <w:pPr>
        <w:ind w:right="220" w:firstLine="374"/>
        <w:spacing w:after="0" w:line="291" w:lineRule="auto"/>
        <w:rPr>
          <w:sz w:val="20"/>
          <w:szCs w:val="20"/>
          <w:color w:val="auto"/>
        </w:rPr>
      </w:pPr>
      <w:r>
        <w:rPr>
          <w:rFonts w:ascii="Arial" w:cs="Arial" w:eastAsia="Arial" w:hAnsi="Arial"/>
          <w:sz w:val="17"/>
          <w:szCs w:val="17"/>
          <w:color w:val="auto"/>
        </w:rPr>
        <w:t>For the year ended December 31, 2021, the Company did not have any customers who individually accounted for greater than 10% of revenue. For the year ended December 31, 2020, the Company had one customer who individually accounted for approximately 27% of revenue.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Cost of sales consists of materials, labor and manufacturing overhead incurred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royalty and license fee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right="60" w:firstLine="374"/>
        <w:spacing w:after="0" w:line="254"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of upfront fees and milestones paid to collaborators and expenses incurred in performing research and development activities for new products and technology. The expenses include personnel-related costs, including compensation and benefits and stock-based compensation, consultants hired to perform research projects, costs incurred at clinical trial sites, regulatory and manufacturing engineering costs related to FDA premarket approval submission preparation, various laboratory and research supplies, write-off of pre-approved inventory utilized for clinical trial and research purposes, costs incurred in the development of manufacturing processes in excess of capitalizable value, fees paid to contract research organizations and direct FDA related costs. The Company also accrued the costs of ongoing clinical trials associated with programs that have been terminated or discontinued for which there is no future economic benefit at the time the decision is made to terminate or discontinue the program.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color w:val="auto"/>
        </w:rPr>
        <w:t>The Company accounts for stock options on the date of grant to employees, directors and consultants based on the estimated fair value of the award, which requires the recognition of compensation expense for all equity-based payments, including stock options. The fair value of the awards is estimated using the Black-Scholes option-pricing model and recognized in expense in the consolidated statements of operations and comprehensive (loss) income over requisite service period, which is generally four years. The Company amortizes the stock-based compensation for equity awards with service conditions on a straight-line basis over the vesting period of the awards. Compensation cost for stock options with performance conditions is recognized based upon the probability of that performance condition being met. Forfeitures of unvested stock option awards are recognized as reductions of expense as they occur.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1" w:name="page132"/>
    <w:bookmarkEnd w:id="131"/>
    <w:p>
      <w:pPr>
        <w:ind w:right="60" w:firstLine="374"/>
        <w:spacing w:after="0" w:line="261" w:lineRule="auto"/>
        <w:rPr>
          <w:sz w:val="20"/>
          <w:szCs w:val="20"/>
          <w:color w:val="auto"/>
        </w:rPr>
      </w:pPr>
      <w:r>
        <w:rPr>
          <w:rFonts w:ascii="Arial" w:cs="Arial" w:eastAsia="Arial" w:hAnsi="Arial"/>
          <w:sz w:val="18"/>
          <w:szCs w:val="18"/>
          <w:color w:val="auto"/>
        </w:rPr>
        <w:t>The Black-Scholes option-pricing model requires the use of assumptions about a number of variables, such as the fair market value of the Company’s common stock, the risk-free interest rate, dividend yield, expected term and expected volatility:</w:t>
      </w:r>
    </w:p>
    <w:p>
      <w:pPr>
        <w:spacing w:after="0" w:line="63" w:lineRule="exact"/>
        <w:rPr>
          <w:sz w:val="20"/>
          <w:szCs w:val="20"/>
          <w:color w:val="auto"/>
        </w:rPr>
      </w:pPr>
    </w:p>
    <w:p>
      <w:pPr>
        <w:ind w:left="1260" w:right="40" w:hanging="503"/>
        <w:spacing w:after="0" w:line="253" w:lineRule="auto"/>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Prior to the Company's shares being traded on the Nasdaq Global Market, the fair value of the Company’s common stock was determined by the Company’s Board of Directors (the “Board”) at the time of each option grant by considering a number of objective and subjective factors. These factors included the valuation of a select group of public peer group companies within the medical device industry that focus on technological advances and development that the Board believed were comparable to the Company’s operations. Operating and financial performance, the lack of liquidity of the common stock and trends in the broader economy and medical device industry also impacted the determination of the fair value of the common stock. In addition, the Company regularly engaged a third-party valuation specialist to assist with estimates related to the valuation of the Company’s common stock. For all grants subsequent to the IPO in July 2021, the fair value of common stock was determined by using the closing price per share of common stock as reported on the Nasdaq Global Market;</w:t>
      </w:r>
    </w:p>
    <w:p>
      <w:pPr>
        <w:spacing w:after="0" w:line="75" w:lineRule="exact"/>
        <w:rPr>
          <w:rFonts w:ascii="Arial" w:cs="Arial" w:eastAsia="Arial" w:hAnsi="Arial"/>
          <w:sz w:val="17"/>
          <w:szCs w:val="17"/>
          <w:color w:val="auto"/>
        </w:rPr>
      </w:pPr>
    </w:p>
    <w:p>
      <w:pPr>
        <w:ind w:left="1260" w:right="240" w:hanging="503"/>
        <w:spacing w:after="0" w:line="261" w:lineRule="auto"/>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risk-free interest rate used is based on the published U.S. Department of Treasury interest rates in effect at the time of stock option grant for zero coupon U.S. Treasury notes with maturities approximating each grant’s expected term;</w:t>
      </w:r>
    </w:p>
    <w:p>
      <w:pPr>
        <w:spacing w:after="0" w:line="62" w:lineRule="exact"/>
        <w:rPr>
          <w:rFonts w:ascii="Arial" w:cs="Arial" w:eastAsia="Arial" w:hAnsi="Arial"/>
          <w:sz w:val="18"/>
          <w:szCs w:val="18"/>
          <w:color w:val="auto"/>
        </w:rPr>
      </w:pPr>
    </w:p>
    <w:p>
      <w:pPr>
        <w:ind w:left="1260" w:right="500" w:hanging="503"/>
        <w:spacing w:after="0" w:line="261" w:lineRule="auto"/>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dividend yield is zero as the Company has not paid dividends and does not anticipate paying a cash dividend in the foreseeable future;</w:t>
      </w:r>
    </w:p>
    <w:p>
      <w:pPr>
        <w:spacing w:after="0" w:line="62" w:lineRule="exact"/>
        <w:rPr>
          <w:rFonts w:ascii="Arial" w:cs="Arial" w:eastAsia="Arial" w:hAnsi="Arial"/>
          <w:sz w:val="18"/>
          <w:szCs w:val="18"/>
          <w:color w:val="auto"/>
        </w:rPr>
      </w:pPr>
    </w:p>
    <w:p>
      <w:pPr>
        <w:ind w:left="1260" w:right="580" w:hanging="503"/>
        <w:spacing w:after="0" w:line="324" w:lineRule="auto"/>
        <w:tabs>
          <w:tab w:leader="none" w:pos="1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expected term for options granted is calculated using the “simplified method” and represents the average time that options are expected to be outstanding based on the mid-point between the vesting date and the end of the contractual term of the award;</w:t>
      </w:r>
    </w:p>
    <w:p>
      <w:pPr>
        <w:spacing w:after="0" w:line="16" w:lineRule="exact"/>
        <w:rPr>
          <w:rFonts w:ascii="Arial" w:cs="Arial" w:eastAsia="Arial" w:hAnsi="Arial"/>
          <w:sz w:val="16"/>
          <w:szCs w:val="16"/>
          <w:color w:val="auto"/>
        </w:rPr>
      </w:pPr>
    </w:p>
    <w:p>
      <w:pPr>
        <w:ind w:left="1260" w:right="480" w:hanging="503"/>
        <w:spacing w:after="0" w:line="324" w:lineRule="auto"/>
        <w:tabs>
          <w:tab w:leader="none" w:pos="1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Expected volatility is derived from the historical volatilities of a select group of comparable peer companies, for a look-back period commensurate with the expected term of the stock options, as the Company has limited trading history of common stock.</w:t>
      </w:r>
    </w:p>
    <w:p>
      <w:pPr>
        <w:spacing w:after="0" w:line="43" w:lineRule="exact"/>
        <w:rPr>
          <w:sz w:val="20"/>
          <w:szCs w:val="20"/>
          <w:color w:val="auto"/>
        </w:rPr>
      </w:pPr>
    </w:p>
    <w:p>
      <w:pPr>
        <w:ind w:right="40" w:firstLine="374"/>
        <w:spacing w:after="0" w:line="274" w:lineRule="auto"/>
        <w:rPr>
          <w:sz w:val="20"/>
          <w:szCs w:val="20"/>
          <w:color w:val="auto"/>
        </w:rPr>
      </w:pPr>
      <w:r>
        <w:rPr>
          <w:rFonts w:ascii="Arial" w:cs="Arial" w:eastAsia="Arial" w:hAnsi="Arial"/>
          <w:sz w:val="16"/>
          <w:szCs w:val="16"/>
          <w:color w:val="auto"/>
        </w:rPr>
        <w:t>As a result of the Special Redemption provisions of the Company’s Articles of Incorporation (adopted in October 2017), stock option awards were reflected in temporary equity in the accompanying consolidated balance sheets and statements of redeemable common stock, stock options, preferred stock and stockholders’ equity (deficit) at their redemption value. The redemption value was calculated as the estimated redemption amount at the estimated date of redemption less the stock option award strike price, recognized over the same period as the grant date fair value share-based compensation expense recorded in the Consolidated Statements of Operations and Comprehensive (Loss) Income. Changes in the projected redemption value and redemption date were accounted for prospectively. The redemption value reflected in the accompanying financial statements was recorded as a reduction of permanent equity, and in the absence of retained earnings, first from additional paid-in capital and then from accumulated deficit.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likelihood of realizing the tax benefits related to a potential deferred tax asset is evaluated, and a valuation allowance is recognized to reduce that deferred tax asset if it is more likely than not that all or some portion of the deferred tax asset will not be realized. Deferred tax assets and liabilities are calculated at the beginning and end of the year; the change in the sum of the deferred tax asset, valuation allowance and deferred tax liability during the year generally is recognized as a deferred tax expense or benefit. The effect on deferred tax assets and liabilities of a change in tax rates is recognized in the Consolidated Statements of Operations and Comprehensive (Loss) Income in the period that includes the enactment date.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32" w:name="page133"/>
    <w:bookmarkEnd w:id="132"/>
    <w:p>
      <w:pPr>
        <w:ind w:right="20" w:firstLine="374"/>
        <w:spacing w:after="0" w:line="239" w:lineRule="auto"/>
        <w:rPr>
          <w:sz w:val="20"/>
          <w:szCs w:val="20"/>
          <w:color w:val="auto"/>
        </w:rPr>
      </w:pPr>
      <w:r>
        <w:rPr>
          <w:rFonts w:ascii="Arial" w:cs="Arial" w:eastAsia="Arial" w:hAnsi="Arial"/>
          <w:sz w:val="18"/>
          <w:szCs w:val="18"/>
          <w:color w:val="auto"/>
        </w:rPr>
        <w:t>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recognized a valuation allowance on deferred tax assets as of December 31, 2021 and 2020 after evaluating that it is more likely than not that deferred tax assets will not be realized as of those dates.</w:t>
      </w:r>
    </w:p>
    <w:p>
      <w:pPr>
        <w:spacing w:after="0" w:line="110"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The Company evaluates the accounting for uncertainty in income tax recognized in the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2021 or 2020.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w:t>
      </w:r>
    </w:p>
    <w:p>
      <w:pPr>
        <w:spacing w:after="0" w:line="123"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16" w:lineRule="exact"/>
        <w:rPr>
          <w:sz w:val="20"/>
          <w:szCs w:val="20"/>
          <w:color w:val="auto"/>
        </w:rPr>
      </w:pPr>
    </w:p>
    <w:p>
      <w:pPr>
        <w:ind w:right="180" w:firstLine="374"/>
        <w:spacing w:after="0" w:line="241" w:lineRule="auto"/>
        <w:rPr>
          <w:sz w:val="20"/>
          <w:szCs w:val="20"/>
          <w:color w:val="auto"/>
        </w:rPr>
      </w:pPr>
      <w:r>
        <w:rPr>
          <w:rFonts w:ascii="Arial" w:cs="Arial" w:eastAsia="Arial" w:hAnsi="Arial"/>
          <w:sz w:val="18"/>
          <w:szCs w:val="18"/>
          <w:color w:val="auto"/>
        </w:rPr>
        <w:t>The Company is required to file federal and state income tax returns in the United States, United Kingdom, Germany and Netherlands. The preparation of these income tax returns requires the Company to interpret the applicable tax laws and regulations in effect on such jurisdictions, which could impact the amount of tax paid. An amount is accrued for the estimate of additional tax liabilities, including interest and penalties, for any uncertain tax positions taken or expected to be taken in an income tax return. The accrual for uncertain tax positions is updated when more definitive information becomes available.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 Income</w:t>
      </w:r>
    </w:p>
    <w:p>
      <w:pPr>
        <w:spacing w:after="0" w:line="144" w:lineRule="exact"/>
        <w:rPr>
          <w:sz w:val="20"/>
          <w:szCs w:val="20"/>
          <w:color w:val="auto"/>
        </w:rPr>
      </w:pPr>
    </w:p>
    <w:p>
      <w:pPr>
        <w:ind w:right="300" w:firstLine="374"/>
        <w:spacing w:after="0" w:line="294" w:lineRule="auto"/>
        <w:rPr>
          <w:sz w:val="20"/>
          <w:szCs w:val="20"/>
          <w:color w:val="auto"/>
        </w:rPr>
      </w:pPr>
      <w:r>
        <w:rPr>
          <w:rFonts w:ascii="Arial" w:cs="Arial" w:eastAsia="Arial" w:hAnsi="Arial"/>
          <w:sz w:val="16"/>
          <w:szCs w:val="16"/>
          <w:color w:val="auto"/>
        </w:rPr>
        <w:t>All components of comprehensive (loss) income, including net (loss) income, are reported in the consolidated financial statements in the period in which they are recognized. Comprehensive (loss) income is defined as the change in equity during a period from transactions and other events and circumstances from non-owner sources, including unrealized gains and losses on marketable securities and foreign currency translation adjustments.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Segments</w:t>
      </w:r>
    </w:p>
    <w:p>
      <w:pPr>
        <w:spacing w:after="0" w:line="104" w:lineRule="exact"/>
        <w:rPr>
          <w:sz w:val="20"/>
          <w:szCs w:val="20"/>
          <w:color w:val="auto"/>
        </w:rPr>
      </w:pPr>
    </w:p>
    <w:p>
      <w:pPr>
        <w:jc w:val="both"/>
        <w:ind w:right="240" w:firstLine="374"/>
        <w:spacing w:after="0" w:line="243" w:lineRule="auto"/>
        <w:rPr>
          <w:sz w:val="20"/>
          <w:szCs w:val="20"/>
          <w:color w:val="auto"/>
        </w:rPr>
      </w:pPr>
      <w:r>
        <w:rPr>
          <w:rFonts w:ascii="Arial" w:cs="Arial" w:eastAsia="Arial" w:hAnsi="Arial"/>
          <w:sz w:val="18"/>
          <w:szCs w:val="18"/>
          <w:color w:val="auto"/>
        </w:rPr>
        <w:t>Operating segments are defined as components for which discrete financial information is available for evaluation by the chief operating decision maker to make resource allocation decisions and conduct performance assessments. The Company determined that it operates and manages its business (including its non-US subsidiaries) in one reportable segment: the research and development, manufacture and sale of light adjustable lenses and related capital equipment.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44" w:lineRule="exact"/>
        <w:rPr>
          <w:sz w:val="20"/>
          <w:szCs w:val="20"/>
          <w:color w:val="auto"/>
        </w:rPr>
      </w:pPr>
    </w:p>
    <w:p>
      <w:pPr>
        <w:ind w:right="280" w:firstLine="419"/>
        <w:spacing w:after="0" w:line="26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33" w:name="page134"/>
    <w:bookmarkEnd w:id="133"/>
    <w:p>
      <w:pPr>
        <w:jc w:val="both"/>
        <w:ind w:right="40"/>
        <w:spacing w:after="0" w:line="248" w:lineRule="auto"/>
        <w:rPr>
          <w:sz w:val="20"/>
          <w:szCs w:val="20"/>
          <w:color w:val="auto"/>
        </w:rPr>
      </w:pPr>
      <w:r>
        <w:rPr>
          <w:rFonts w:ascii="Arial" w:cs="Arial" w:eastAsia="Arial" w:hAnsi="Arial"/>
          <w:sz w:val="18"/>
          <w:szCs w:val="18"/>
          <w:color w:val="auto"/>
        </w:rPr>
        <w:t>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ind w:right="60" w:firstLine="374"/>
        <w:spacing w:after="0" w:line="248"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ASUs not listed below were assessed and determined not to be applicable or are expected to have minimal impact on the Company’s consolidated financial statements.</w:t>
      </w:r>
    </w:p>
    <w:p>
      <w:pPr>
        <w:spacing w:after="0" w:line="114" w:lineRule="exact"/>
        <w:rPr>
          <w:sz w:val="20"/>
          <w:szCs w:val="20"/>
          <w:color w:val="auto"/>
        </w:rPr>
      </w:pPr>
    </w:p>
    <w:p>
      <w:pPr>
        <w:ind w:right="20" w:firstLine="374"/>
        <w:spacing w:after="0" w:line="274"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w:t>
      </w:r>
      <w:r>
        <w:rPr>
          <w:rFonts w:ascii="Arial" w:cs="Arial" w:eastAsia="Arial" w:hAnsi="Arial"/>
          <w:sz w:val="16"/>
          <w:szCs w:val="16"/>
          <w:i w:val="1"/>
          <w:iCs w:val="1"/>
          <w:color w:val="auto"/>
        </w:rPr>
        <w:t>“</w:t>
      </w:r>
      <w:r>
        <w:rPr>
          <w:rFonts w:ascii="Arial" w:cs="Arial" w:eastAsia="Arial" w:hAnsi="Arial"/>
          <w:sz w:val="16"/>
          <w:szCs w:val="16"/>
          <w:color w:val="auto"/>
        </w:rPr>
        <w:t>ASU 2018-15”) which changes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implementation costs incurred in a cloud computing arrangement that is a service 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expense in the balance sheet and expensed over the term of the hosting arrangement. This standard was effective for the Company beginning January 1, 2021, and early adoption is permitted. The Company adopted ASU 2018-15 effective January 1, 2021, and the adoption did not have a material impact on the Company’s consolidated financial statements.</w:t>
      </w:r>
    </w:p>
    <w:p>
      <w:pPr>
        <w:spacing w:after="0" w:line="82"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 xml:space="preserve">In June 2020, the FASB issued ASU No. 2020-06, </w:t>
      </w:r>
      <w:r>
        <w:rPr>
          <w:rFonts w:ascii="Arial" w:cs="Arial" w:eastAsia="Arial" w:hAnsi="Arial"/>
          <w:sz w:val="18"/>
          <w:szCs w:val="18"/>
          <w:i w:val="1"/>
          <w:iCs w:val="1"/>
          <w:color w:val="auto"/>
        </w:rPr>
        <w:t>“Debt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 Accounting for Convertible Instruments and Contracts in an Entity’s Own Equity,</w:t>
      </w:r>
      <w:r>
        <w:rPr>
          <w:rFonts w:ascii="Arial" w:cs="Arial" w:eastAsia="Arial" w:hAnsi="Arial"/>
          <w:sz w:val="18"/>
          <w:szCs w:val="18"/>
          <w:color w:val="auto"/>
        </w:rPr>
        <w:t>” (</w:t>
      </w:r>
      <w:r>
        <w:rPr>
          <w:rFonts w:ascii="Arial" w:cs="Arial" w:eastAsia="Arial" w:hAnsi="Arial"/>
          <w:sz w:val="18"/>
          <w:szCs w:val="18"/>
          <w:i w:val="1"/>
          <w:iCs w:val="1"/>
          <w:color w:val="auto"/>
        </w:rPr>
        <w:t>“</w:t>
      </w:r>
      <w:r>
        <w:rPr>
          <w:rFonts w:ascii="Arial" w:cs="Arial" w:eastAsia="Arial" w:hAnsi="Arial"/>
          <w:sz w:val="18"/>
          <w:szCs w:val="18"/>
          <w:color w:val="auto"/>
        </w:rPr>
        <w:t>ASU No. 2020-06”)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adopted ASU 2020-06 effective January 1, 2022, and the adoption does not have a material impact on the Company’s consolidated financial statements.</w:t>
      </w:r>
    </w:p>
    <w:p>
      <w:pPr>
        <w:spacing w:after="0" w:line="121" w:lineRule="exact"/>
        <w:rPr>
          <w:sz w:val="20"/>
          <w:szCs w:val="20"/>
          <w:color w:val="auto"/>
        </w:rPr>
      </w:pPr>
    </w:p>
    <w:p>
      <w:pPr>
        <w:ind w:right="120" w:firstLine="374"/>
        <w:spacing w:after="0" w:line="238" w:lineRule="auto"/>
        <w:rPr>
          <w:sz w:val="20"/>
          <w:szCs w:val="20"/>
          <w:color w:val="auto"/>
        </w:rPr>
      </w:pPr>
      <w:r>
        <w:rPr>
          <w:rFonts w:ascii="Arial" w:cs="Arial" w:eastAsia="Arial" w:hAnsi="Arial"/>
          <w:sz w:val="18"/>
          <w:szCs w:val="18"/>
          <w:color w:val="auto"/>
        </w:rPr>
        <w:t>In May 2021, the FASB issued ASU 2021-04, “</w:t>
      </w:r>
      <w:r>
        <w:rPr>
          <w:rFonts w:ascii="Arial" w:cs="Arial" w:eastAsia="Arial" w:hAnsi="Arial"/>
          <w:sz w:val="18"/>
          <w:szCs w:val="18"/>
          <w:i w:val="1"/>
          <w:iCs w:val="1"/>
          <w:color w:val="auto"/>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Compensation—Stock Compensation (Topic 718), and Derivatives and Hedging—Contracts in Entity’s Own Equity (Subtopic 815-40)</w:t>
      </w:r>
      <w:r>
        <w:rPr>
          <w:rFonts w:ascii="Arial" w:cs="Arial" w:eastAsia="Arial" w:hAnsi="Arial"/>
          <w:sz w:val="18"/>
          <w:szCs w:val="18"/>
          <w:color w:val="auto"/>
        </w:rPr>
        <w:t>”, which to clarifies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reduces diversity in an issuer’s accounting for a modification or an exchange of a freestanding equity-classified written call option that remains equity being classified after modification or exchange as (1) an adjustment to equity and, if so, the related earnings per share (EPS) effects, if any, or (2) an expense and, if so, the manner and pattern of recognition. This will be effective for fiscal years beginning after December 15, 2021, and interim periods within those years. An entity should apply the amendments prospectively to modifications or exchanges occurring on or after the effective date of the amendments. Early adoption is permitted for all entities, including adoption in an interim period within those fiscal years. If an entity elects to early adopt the amendments in this update in an interim period, the guidance should be applied as of the beginning of the fiscal year that includes the interim period. The Company adopted ASU 2021-04 effective January 1, 2021, and the adoption did not have a material impact on the Company’s consolidated financial statements.</w:t>
      </w:r>
    </w:p>
    <w:p>
      <w:pPr>
        <w:spacing w:after="0" w:line="121" w:lineRule="exact"/>
        <w:rPr>
          <w:sz w:val="20"/>
          <w:szCs w:val="20"/>
          <w:color w:val="auto"/>
        </w:rPr>
      </w:pPr>
    </w:p>
    <w:p>
      <w:pPr>
        <w:ind w:right="180" w:firstLine="374"/>
        <w:spacing w:after="0" w:line="257" w:lineRule="auto"/>
        <w:rPr>
          <w:sz w:val="20"/>
          <w:szCs w:val="20"/>
          <w:color w:val="auto"/>
        </w:rPr>
      </w:pPr>
      <w:r>
        <w:rPr>
          <w:rFonts w:ascii="Arial" w:cs="Arial" w:eastAsia="Arial" w:hAnsi="Arial"/>
          <w:sz w:val="17"/>
          <w:szCs w:val="17"/>
          <w:color w:val="auto"/>
        </w:rPr>
        <w:t xml:space="preserve">In October 2021, the Financial Accounting Standards Board, or FASB, issued Accounting Standards Update No. 2021-08,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805), Accounting for Contract Assets and Contract Liabilities from Contracts with Customers</w:t>
      </w:r>
      <w:r>
        <w:rPr>
          <w:rFonts w:ascii="Arial" w:cs="Arial" w:eastAsia="Arial" w:hAnsi="Arial"/>
          <w:sz w:val="17"/>
          <w:szCs w:val="17"/>
          <w:color w:val="auto"/>
        </w:rPr>
        <w:t>, which requires an entity (acquirer) to recognize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contract assets and liabilities acquired in a business combination in accordance with Topic 606, Revenue from Contracts with Customers. This update is effective for fiscal years beginning after December 15, 2022, and interim periods within those fiscal years, with early adoption permitted. The amendments should be applied prospectively to business combinations occurring on or after the effective date of the amendments. The Company is currently evaluating the impact the standard will have on its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Short-term investments, principally U.S. Treasury bills, are available-for-sale and consisted of the following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196"/>
        </w:trPr>
        <w:tc>
          <w:tcPr>
            <w:tcW w:w="3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Amortized Cost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Unrealized Loss, Net</w:t>
            </w:r>
          </w:p>
        </w:tc>
        <w:tc>
          <w:tcPr>
            <w:tcW w:w="240" w:type="dxa"/>
            <w:vAlign w:val="bottom"/>
          </w:tcPr>
          <w:p>
            <w:pPr>
              <w:spacing w:after="0"/>
              <w:rPr>
                <w:sz w:val="17"/>
                <w:szCs w:val="17"/>
                <w:color w:val="auto"/>
              </w:rPr>
            </w:pPr>
          </w:p>
        </w:tc>
        <w:tc>
          <w:tcPr>
            <w:tcW w:w="212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w w:val="98"/>
              </w:rPr>
              <w:t>Estimated Fair Value</w:t>
            </w:r>
          </w:p>
        </w:tc>
      </w:tr>
      <w:tr>
        <w:trPr>
          <w:trHeight w:val="196"/>
        </w:trPr>
        <w:tc>
          <w:tcPr>
            <w:tcW w:w="3840" w:type="dxa"/>
            <w:vAlign w:val="bottom"/>
          </w:tcPr>
          <w:p>
            <w:pPr>
              <w:spacing w:after="0" w:line="182" w:lineRule="exact"/>
              <w:rPr>
                <w:sz w:val="20"/>
                <w:szCs w:val="20"/>
                <w:color w:val="auto"/>
              </w:rPr>
            </w:pPr>
            <w:r>
              <w:rPr>
                <w:rFonts w:ascii="Arial" w:cs="Arial" w:eastAsia="Arial" w:hAnsi="Arial"/>
                <w:sz w:val="18"/>
                <w:szCs w:val="18"/>
                <w:color w:val="auto"/>
              </w:rPr>
              <w:t>Government securities</w:t>
            </w:r>
          </w:p>
        </w:tc>
        <w:tc>
          <w:tcPr>
            <w:tcW w:w="28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134,980</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tcPr>
          <w:p>
            <w:pPr>
              <w:ind w:left="1960"/>
              <w:spacing w:after="0" w:line="182" w:lineRule="exact"/>
              <w:rPr>
                <w:sz w:val="20"/>
                <w:szCs w:val="20"/>
                <w:color w:val="auto"/>
              </w:rPr>
            </w:pPr>
            <w:r>
              <w:rPr>
                <w:rFonts w:ascii="Arial" w:cs="Arial" w:eastAsia="Arial" w:hAnsi="Arial"/>
                <w:sz w:val="18"/>
                <w:szCs w:val="18"/>
                <w:color w:val="auto"/>
                <w:w w:val="87"/>
              </w:rPr>
              <w:t>(9</w:t>
            </w:r>
          </w:p>
        </w:tc>
        <w:tc>
          <w:tcPr>
            <w:tcW w:w="260" w:type="dxa"/>
            <w:vAlign w:val="bottom"/>
          </w:tcPr>
          <w:p>
            <w:pPr>
              <w:jc w:val="right"/>
              <w:ind w:right="121"/>
              <w:spacing w:after="0" w:line="176"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134,971</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85"/>
        </w:trPr>
        <w:tc>
          <w:tcPr>
            <w:tcW w:w="3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 of December 31, 2020</w:t>
            </w: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196"/>
        </w:trPr>
        <w:tc>
          <w:tcPr>
            <w:tcW w:w="3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Amortized Cost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Unrealized Loss, Net</w:t>
            </w:r>
          </w:p>
        </w:tc>
        <w:tc>
          <w:tcPr>
            <w:tcW w:w="240" w:type="dxa"/>
            <w:vAlign w:val="bottom"/>
          </w:tcPr>
          <w:p>
            <w:pPr>
              <w:spacing w:after="0"/>
              <w:rPr>
                <w:sz w:val="17"/>
                <w:szCs w:val="17"/>
                <w:color w:val="auto"/>
              </w:rPr>
            </w:pPr>
          </w:p>
        </w:tc>
        <w:tc>
          <w:tcPr>
            <w:tcW w:w="212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w w:val="98"/>
              </w:rPr>
              <w:t>Estimated Fair Value</w:t>
            </w:r>
          </w:p>
        </w:tc>
      </w:tr>
      <w:tr>
        <w:trPr>
          <w:trHeight w:val="196"/>
        </w:trPr>
        <w:tc>
          <w:tcPr>
            <w:tcW w:w="3840" w:type="dxa"/>
            <w:vAlign w:val="bottom"/>
          </w:tcPr>
          <w:p>
            <w:pPr>
              <w:spacing w:after="0" w:line="182" w:lineRule="exact"/>
              <w:rPr>
                <w:sz w:val="20"/>
                <w:szCs w:val="20"/>
                <w:color w:val="auto"/>
              </w:rPr>
            </w:pPr>
            <w:r>
              <w:rPr>
                <w:rFonts w:ascii="Arial" w:cs="Arial" w:eastAsia="Arial" w:hAnsi="Arial"/>
                <w:sz w:val="18"/>
                <w:szCs w:val="18"/>
                <w:color w:val="auto"/>
              </w:rPr>
              <w:t>Government securities</w:t>
            </w:r>
          </w:p>
        </w:tc>
        <w:tc>
          <w:tcPr>
            <w:tcW w:w="28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54,983</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tcPr>
          <w:p>
            <w:pPr>
              <w:ind w:left="1960"/>
              <w:spacing w:after="0" w:line="182" w:lineRule="exact"/>
              <w:rPr>
                <w:sz w:val="20"/>
                <w:szCs w:val="20"/>
                <w:color w:val="auto"/>
              </w:rPr>
            </w:pPr>
            <w:r>
              <w:rPr>
                <w:rFonts w:ascii="Arial" w:cs="Arial" w:eastAsia="Arial" w:hAnsi="Arial"/>
                <w:sz w:val="18"/>
                <w:szCs w:val="18"/>
                <w:color w:val="auto"/>
                <w:w w:val="87"/>
              </w:rPr>
              <w:t>(2</w:t>
            </w:r>
          </w:p>
        </w:tc>
        <w:tc>
          <w:tcPr>
            <w:tcW w:w="260" w:type="dxa"/>
            <w:vAlign w:val="bottom"/>
          </w:tcPr>
          <w:p>
            <w:pPr>
              <w:jc w:val="right"/>
              <w:ind w:right="121"/>
              <w:spacing w:after="0" w:line="176"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54,981</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firstLine="374"/>
        <w:spacing w:after="0" w:line="248" w:lineRule="auto"/>
        <w:rPr>
          <w:sz w:val="20"/>
          <w:szCs w:val="20"/>
          <w:color w:val="auto"/>
        </w:rPr>
      </w:pPr>
      <w:r>
        <w:rPr>
          <w:rFonts w:ascii="Arial" w:cs="Arial" w:eastAsia="Arial" w:hAnsi="Arial"/>
          <w:sz w:val="18"/>
          <w:szCs w:val="18"/>
          <w:color w:val="auto"/>
        </w:rPr>
        <w:t>All available-for-sale securities held as of December 31, 2021and 2020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Note 4 – Inventories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7700" w:type="dxa"/>
            <w:vAlign w:val="bottom"/>
          </w:tcPr>
          <w:p>
            <w:pPr>
              <w:ind w:left="380"/>
              <w:spacing w:after="0"/>
              <w:rPr>
                <w:sz w:val="20"/>
                <w:szCs w:val="20"/>
                <w:color w:val="auto"/>
              </w:rPr>
            </w:pPr>
            <w:r>
              <w:rPr>
                <w:rFonts w:ascii="Arial" w:cs="Arial" w:eastAsia="Arial" w:hAnsi="Arial"/>
                <w:sz w:val="18"/>
                <w:szCs w:val="18"/>
                <w:color w:val="auto"/>
              </w:rPr>
              <w:t>Inventories consisted of the following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7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7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Finished goods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4,451</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5,092</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Raw materials</w:t>
            </w: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2,828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1,827</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Work-in-process</w:t>
            </w: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868</w:t>
            </w: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8,147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8,604</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reserve for excess and obsolete inventory</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(115 )</w:t>
            </w:r>
          </w:p>
        </w:tc>
        <w:tc>
          <w:tcPr>
            <w:tcW w:w="4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(316 )</w:t>
            </w:r>
          </w:p>
        </w:tc>
      </w:tr>
      <w:tr>
        <w:trPr>
          <w:trHeight w:val="196"/>
        </w:trPr>
        <w:tc>
          <w:tcPr>
            <w:tcW w:w="77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8,032</w:t>
            </w:r>
          </w:p>
        </w:tc>
        <w:tc>
          <w:tcPr>
            <w:tcW w:w="28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8,288</w:t>
            </w:r>
          </w:p>
        </w:tc>
        <w:tc>
          <w:tcPr>
            <w:tcW w:w="100" w:type="dxa"/>
            <w:vAlign w:val="bottom"/>
            <w:tcBorders>
              <w:top w:val="single" w:sz="8" w:color="CFF0FC"/>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-424815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14" w:lineRule="exact"/>
        <w:rPr>
          <w:sz w:val="20"/>
          <w:szCs w:val="20"/>
          <w:color w:val="auto"/>
        </w:rPr>
      </w:pPr>
    </w:p>
    <w:p>
      <w:pPr>
        <w:ind w:right="780" w:firstLine="374"/>
        <w:spacing w:after="0" w:line="261" w:lineRule="auto"/>
        <w:rPr>
          <w:sz w:val="20"/>
          <w:szCs w:val="20"/>
          <w:color w:val="auto"/>
        </w:rPr>
      </w:pPr>
      <w:r>
        <w:rPr>
          <w:rFonts w:ascii="Arial" w:cs="Arial" w:eastAsia="Arial" w:hAnsi="Arial"/>
          <w:sz w:val="18"/>
          <w:szCs w:val="18"/>
          <w:color w:val="auto"/>
        </w:rPr>
        <w:t>At December 31, 2021 and 2020, finished goods included $1.8 million and $2.7 million of inventory held on consignment at customer sites, respectively.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Note 5 – Property and equipment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640" w:type="dxa"/>
            <w:vAlign w:val="bottom"/>
          </w:tcPr>
          <w:p>
            <w:pPr>
              <w:ind w:left="380"/>
              <w:spacing w:after="0"/>
              <w:rPr>
                <w:sz w:val="20"/>
                <w:szCs w:val="20"/>
                <w:color w:val="auto"/>
              </w:rPr>
            </w:pPr>
            <w:r>
              <w:rPr>
                <w:rFonts w:ascii="Arial" w:cs="Arial" w:eastAsia="Arial" w:hAnsi="Arial"/>
                <w:sz w:val="18"/>
                <w:szCs w:val="18"/>
                <w:color w:val="auto"/>
              </w:rPr>
              <w:t>Property and equipment consisted of the following (in thousands):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7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7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12,421</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11,153</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10,334</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10,152</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1,118</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1,474</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Computer hardware and software</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1,536</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1,101</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Production molds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1,268</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867</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equipment</w:t>
            </w: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2"/>
        </w:trPr>
        <w:tc>
          <w:tcPr>
            <w:tcW w:w="7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27,562</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25,660</w:t>
            </w:r>
          </w:p>
        </w:tc>
        <w:tc>
          <w:tcPr>
            <w:tcW w:w="100" w:type="dxa"/>
            <w:vAlign w:val="bottom"/>
          </w:tcPr>
          <w:p>
            <w:pPr>
              <w:spacing w:after="0"/>
              <w:rPr>
                <w:sz w:val="15"/>
                <w:szCs w:val="15"/>
                <w:color w:val="auto"/>
              </w:rPr>
            </w:pPr>
          </w:p>
        </w:tc>
      </w:tr>
      <w:tr>
        <w:trPr>
          <w:trHeight w:val="217"/>
        </w:trPr>
        <w:tc>
          <w:tcPr>
            <w:tcW w:w="76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(16,345 )</w:t>
            </w:r>
          </w:p>
        </w:tc>
        <w:tc>
          <w:tcPr>
            <w:tcW w:w="5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(12,373 )</w:t>
            </w:r>
          </w:p>
        </w:tc>
      </w:tr>
      <w:tr>
        <w:trPr>
          <w:trHeight w:val="236"/>
        </w:trPr>
        <w:tc>
          <w:tcPr>
            <w:tcW w:w="76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11,217</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13,287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-424815</wp:posOffset>
            </wp:positionV>
            <wp:extent cx="6032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14" w:lineRule="exact"/>
        <w:rPr>
          <w:sz w:val="20"/>
          <w:szCs w:val="20"/>
          <w:color w:val="auto"/>
        </w:rPr>
      </w:pPr>
    </w:p>
    <w:p>
      <w:pPr>
        <w:ind w:right="380" w:firstLine="374"/>
        <w:spacing w:after="0" w:line="261" w:lineRule="auto"/>
        <w:rPr>
          <w:sz w:val="20"/>
          <w:szCs w:val="20"/>
          <w:color w:val="auto"/>
        </w:rPr>
      </w:pPr>
      <w:r>
        <w:rPr>
          <w:rFonts w:ascii="Arial" w:cs="Arial" w:eastAsia="Arial" w:hAnsi="Arial"/>
          <w:sz w:val="18"/>
          <w:szCs w:val="18"/>
          <w:color w:val="auto"/>
        </w:rPr>
        <w:t>The Company recorded $4.0 million and $3.9 million in depreciation and amortization expense for the years ended December 31, 2021 and 2020, respectively.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148"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The table and disclosures below (in thousands) present the Company’s assets and liabilities measured at fair value on a recurring basis and indicate the fair value hierarchy of the valuation techniques utilized by the Company to determine such fair value. See Note 9—Common Stock Warrant Liability and Note 11—Convertible Preferred Stock Warrants for more information on the inputs used for the fair value measurements of the warrant liabilities, including quantitative information about the significant unobservable inputs used in the fair value measurements of the warrant liabilities.</w:t>
      </w:r>
    </w:p>
    <w:p>
      <w:pPr>
        <w:spacing w:after="0" w:line="74" w:lineRule="exact"/>
        <w:rPr>
          <w:sz w:val="20"/>
          <w:szCs w:val="20"/>
          <w:color w:val="auto"/>
        </w:rPr>
      </w:pPr>
    </w:p>
    <w:p>
      <w:pPr>
        <w:ind w:right="160" w:firstLine="374"/>
        <w:spacing w:after="0" w:line="239" w:lineRule="auto"/>
        <w:rPr>
          <w:sz w:val="20"/>
          <w:szCs w:val="20"/>
          <w:color w:val="auto"/>
        </w:rPr>
      </w:pPr>
      <w:r>
        <w:rPr>
          <w:rFonts w:ascii="Arial" w:cs="Arial" w:eastAsia="Arial" w:hAnsi="Arial"/>
          <w:sz w:val="18"/>
          <w:szCs w:val="18"/>
          <w:color w:val="auto"/>
        </w:rPr>
        <w:t>Money market funds are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U.S. Government securities are measured at fair value using Level 2 inputs. The Company reviews trading activity and pricing for these investments as of each measurement date. When sufficient quoted pricing for identical securities is not available, the Company uses market pricing and other observable market inputs for similar securities obtained from various third-party data providers. These inputs represent quoted prices for similar assets in active markets or these inputs have been derived from observable market data. This approach results in the classification of these securities as Level 2 of the fair value hierarchy.</w:t>
      </w:r>
    </w:p>
    <w:p>
      <w:pPr>
        <w:spacing w:after="0" w:line="123" w:lineRule="exact"/>
        <w:rPr>
          <w:sz w:val="20"/>
          <w:szCs w:val="20"/>
          <w:color w:val="auto"/>
        </w:rPr>
      </w:pPr>
    </w:p>
    <w:p>
      <w:pPr>
        <w:jc w:val="both"/>
        <w:ind w:right="180" w:firstLine="374"/>
        <w:spacing w:after="0" w:line="248" w:lineRule="auto"/>
        <w:rPr>
          <w:sz w:val="20"/>
          <w:szCs w:val="20"/>
          <w:color w:val="auto"/>
        </w:rPr>
      </w:pPr>
      <w:r>
        <w:rPr>
          <w:rFonts w:ascii="Arial" w:cs="Arial" w:eastAsia="Arial" w:hAnsi="Arial"/>
          <w:sz w:val="18"/>
          <w:szCs w:val="18"/>
          <w:color w:val="auto"/>
        </w:rPr>
        <w:t>The carrying amounts of certain financial instruments such as cash and cash equivalents, accounts receivable, prepaid expenses, other current assets, accounts payable, accrued expenses and other current liabilities as of December 31, 2021 and 2020 approximate their related fair values due to the short-term maturities of these instruments.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8"/>
              </w:rPr>
              <w:t>As of December 31, 2021</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Money market securities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21,390</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21,390</w:t>
            </w:r>
          </w:p>
        </w:tc>
        <w:tc>
          <w:tcPr>
            <w:tcW w:w="6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Government securities</w:t>
            </w: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134,971</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ind w:left="1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134,971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ind w:left="200"/>
              <w:spacing w:after="0" w:line="182" w:lineRule="exact"/>
              <w:rPr>
                <w:sz w:val="20"/>
                <w:szCs w:val="20"/>
                <w:color w:val="auto"/>
              </w:rPr>
            </w:pPr>
            <w:r>
              <w:rPr>
                <w:rFonts w:ascii="Arial" w:cs="Arial" w:eastAsia="Arial" w:hAnsi="Arial"/>
                <w:sz w:val="18"/>
                <w:szCs w:val="18"/>
                <w:color w:val="auto"/>
              </w:rPr>
              <w:t>Total assets at fair value</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21,390</w:t>
            </w:r>
          </w:p>
        </w:tc>
        <w:tc>
          <w:tcPr>
            <w:tcW w:w="5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134,971</w:t>
            </w:r>
          </w:p>
        </w:tc>
        <w:tc>
          <w:tcPr>
            <w:tcW w:w="1260" w:type="dxa"/>
            <w:vAlign w:val="bottom"/>
            <w:gridSpan w:val="2"/>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156,361</w:t>
            </w:r>
          </w:p>
        </w:tc>
        <w:tc>
          <w:tcPr>
            <w:tcW w:w="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-159385</wp:posOffset>
            </wp:positionV>
            <wp:extent cx="514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-159385</wp:posOffset>
            </wp:positionV>
            <wp:extent cx="431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As of December 31, 2020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140"/>
              <w:spacing w:after="0" w:line="196" w:lineRule="exact"/>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7"/>
                <w:szCs w:val="17"/>
                <w:color w:val="auto"/>
              </w:rPr>
            </w:pPr>
          </w:p>
        </w:tc>
        <w:tc>
          <w:tcPr>
            <w:tcW w:w="104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196"/>
        </w:trPr>
        <w:tc>
          <w:tcPr>
            <w:tcW w:w="5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Money market securities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11,822</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11,822</w:t>
            </w:r>
          </w:p>
        </w:tc>
        <w:tc>
          <w:tcPr>
            <w:tcW w:w="100" w:type="dxa"/>
            <w:vAlign w:val="bottom"/>
          </w:tcPr>
          <w:p>
            <w:pPr>
              <w:spacing w:after="0"/>
              <w:rPr>
                <w:sz w:val="17"/>
                <w:szCs w:val="17"/>
                <w:color w:val="auto"/>
              </w:rPr>
            </w:pPr>
          </w:p>
        </w:tc>
      </w:tr>
      <w:tr>
        <w:trPr>
          <w:trHeight w:val="203"/>
        </w:trPr>
        <w:tc>
          <w:tcPr>
            <w:tcW w:w="5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Government securities</w:t>
            </w: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54,981</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54,981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tcPr>
          <w:p>
            <w:pPr>
              <w:ind w:left="20"/>
              <w:spacing w:after="0" w:line="182" w:lineRule="exact"/>
              <w:rPr>
                <w:sz w:val="20"/>
                <w:szCs w:val="20"/>
                <w:color w:val="auto"/>
              </w:rPr>
            </w:pPr>
            <w:r>
              <w:rPr>
                <w:rFonts w:ascii="Arial" w:cs="Arial" w:eastAsia="Arial" w:hAnsi="Arial"/>
                <w:sz w:val="18"/>
                <w:szCs w:val="18"/>
                <w:color w:val="auto"/>
              </w:rPr>
              <w:t>Total assets at fair value</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11,822</w:t>
            </w:r>
          </w:p>
        </w:tc>
        <w:tc>
          <w:tcPr>
            <w:tcW w:w="4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54,981</w:t>
            </w:r>
          </w:p>
        </w:tc>
        <w:tc>
          <w:tcPr>
            <w:tcW w:w="4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66,803</w:t>
            </w:r>
          </w:p>
        </w:tc>
        <w:tc>
          <w:tcPr>
            <w:tcW w:w="10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0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Common stock warrant liability</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(5,018 )</w:t>
            </w:r>
          </w:p>
        </w:tc>
        <w:tc>
          <w:tcPr>
            <w:tcW w:w="1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(5,018 )</w:t>
            </w: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convertible preferred stock warrant liability</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(3,828 )</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(3,828 )</w:t>
            </w:r>
          </w:p>
        </w:tc>
      </w:tr>
      <w:tr>
        <w:trPr>
          <w:trHeight w:val="20"/>
        </w:trPr>
        <w:tc>
          <w:tcPr>
            <w:tcW w:w="50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060" w:type="dxa"/>
            <w:vAlign w:val="bottom"/>
          </w:tcPr>
          <w:p>
            <w:pPr>
              <w:ind w:left="200"/>
              <w:spacing w:after="0" w:line="182" w:lineRule="exact"/>
              <w:rPr>
                <w:sz w:val="20"/>
                <w:szCs w:val="20"/>
                <w:color w:val="auto"/>
              </w:rPr>
            </w:pPr>
            <w:r>
              <w:rPr>
                <w:rFonts w:ascii="Arial" w:cs="Arial" w:eastAsia="Arial" w:hAnsi="Arial"/>
                <w:sz w:val="18"/>
                <w:szCs w:val="18"/>
                <w:color w:val="auto"/>
              </w:rPr>
              <w:t>Total liabilities at fair value</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(8,846 )</w:t>
            </w:r>
          </w:p>
        </w:tc>
        <w:tc>
          <w:tcPr>
            <w:tcW w:w="14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(8,846 )</w:t>
            </w:r>
          </w:p>
        </w:tc>
      </w:tr>
      <w:tr>
        <w:trPr>
          <w:trHeight w:val="20"/>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-708025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-708025</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-708025</wp:posOffset>
            </wp:positionV>
            <wp:extent cx="603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-708025</wp:posOffset>
            </wp:positionV>
            <wp:extent cx="5969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-159385</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514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-159385</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ind w:right="60" w:firstLine="374"/>
        <w:spacing w:after="0" w:line="238" w:lineRule="auto"/>
        <w:rPr>
          <w:sz w:val="20"/>
          <w:szCs w:val="20"/>
          <w:color w:val="auto"/>
        </w:rPr>
      </w:pPr>
      <w:r>
        <w:rPr>
          <w:rFonts w:ascii="Arial" w:cs="Arial" w:eastAsia="Arial" w:hAnsi="Arial"/>
          <w:sz w:val="18"/>
          <w:szCs w:val="18"/>
          <w:color w:val="auto"/>
        </w:rPr>
        <w:t>The Series W warrant fair value was determined by management, with input and assistance from a third-party valuation specialist, upon issuance and was revalued as of each reporting date until expiration. The valuation specialist utilized a Monte Carlo Simulation ("MCS") under the income method utilizing assumptions and financial data prepared by the Company. This valuation approach uses a discounted cash flow (“DCF”) method to calculate the starting equity value of the Company based upon future cash flow generation. The starting equity value of the Company was determined utilizing significant unobservable inputs, including (1) forecasted financial projections for the next five years developed by management, (2) a terminal value assigned using an exit multiple method, and (3) a discount rate based on the weighted average cost of capital. Then a simulated equity value of the Company as of the expected exercise date was determined using the MCS method. The MCS inputs included: (1) the assumed amount of time until the exercise of the warrant, (2) the risk-free interest rate over the period until the assumed warrant exercise, (3) the assumed volatility in the value of the equity of the company, and (4) the starting equity value of the Company as determined from the discounted cash flow method. In order to determine the overall value of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6" w:name="page137"/>
    <w:bookmarkEnd w:id="136"/>
    <w:p>
      <w:pPr>
        <w:ind w:right="40"/>
        <w:spacing w:after="0" w:line="257" w:lineRule="auto"/>
        <w:rPr>
          <w:sz w:val="20"/>
          <w:szCs w:val="20"/>
          <w:color w:val="auto"/>
        </w:rPr>
      </w:pPr>
      <w:r>
        <w:rPr>
          <w:rFonts w:ascii="Arial" w:cs="Arial" w:eastAsia="Arial" w:hAnsi="Arial"/>
          <w:sz w:val="17"/>
          <w:szCs w:val="17"/>
          <w:color w:val="auto"/>
        </w:rPr>
        <w:t>warrant, the valuation specialists also simulated the payments for sales-based, operating and regulatory milestones based upon similar inputs to determine the expected overall purchase price of the Company. The net difference between the expected purchase price and the average simulated equity value determines the “option payoff”. Finally, management assigned a probability that the warrant would be exercised, which was applied to the present value of the “option payoff” to arrive at the recorded value reflected in the accompanying consolidated financial statements. The Series W warrant expired unexercised on March 31, 2021 and the remaining fair value of $5.0 million was recorded in the Consolidated Statement of Operations and Comprehensive (Loss) Income for the twelve months ended December 31, 2021.</w:t>
      </w:r>
    </w:p>
    <w:p>
      <w:pPr>
        <w:spacing w:after="0" w:line="94" w:lineRule="exact"/>
        <w:rPr>
          <w:sz w:val="20"/>
          <w:szCs w:val="20"/>
          <w:color w:val="auto"/>
        </w:rPr>
      </w:pPr>
    </w:p>
    <w:p>
      <w:pPr>
        <w:ind w:right="20" w:firstLine="374"/>
        <w:spacing w:after="0" w:line="267" w:lineRule="auto"/>
        <w:rPr>
          <w:sz w:val="20"/>
          <w:szCs w:val="20"/>
          <w:color w:val="auto"/>
        </w:rPr>
      </w:pPr>
      <w:r>
        <w:rPr>
          <w:rFonts w:ascii="Arial" w:cs="Arial" w:eastAsia="Arial" w:hAnsi="Arial"/>
          <w:sz w:val="16"/>
          <w:szCs w:val="16"/>
          <w:color w:val="auto"/>
        </w:rPr>
        <w:t>The fair value of the preferred stock warrants was determined by management, with input and assistance from a third-party valuation specialist using a PWERM/OPM hybrid valuation model. This method essentially utilizes a combination of market and income method approaches for each part of the calculation of enterprise value using assumptions and financial data prepared by the Company and combines them in a probabilistic manner. The valuation considered several future scenarios for the Company, each of which assumed a shareholder exit either through initial public offering, sale (“M&amp;A”) or dissolution. Based upon the current initial public offering market, M&amp;A values for private companies and the historical likelihood of dissolution or no exit, the Company concluded that the probabilities and time frames were reasonable. Implicit in the timing used in the application of the PWERM/OPM Hybrid Method is also the possibility of no exit. The option pricing model's significant unobservable inputs included: (1) the assumed time until a liquidity event,</w:t>
      </w:r>
    </w:p>
    <w:p>
      <w:pPr>
        <w:spacing w:after="0" w:line="1" w:lineRule="exact"/>
        <w:rPr>
          <w:sz w:val="20"/>
          <w:szCs w:val="20"/>
          <w:color w:val="auto"/>
        </w:rPr>
      </w:pPr>
    </w:p>
    <w:p>
      <w:pPr>
        <w:ind w:right="220" w:firstLine="8"/>
        <w:spacing w:after="0" w:line="277" w:lineRule="auto"/>
        <w:tabs>
          <w:tab w:leader="none" w:pos="2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risk-free interest rate over the period until the assumed liquidity event, (3) 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w:t>
      </w:r>
    </w:p>
    <w:p>
      <w:pPr>
        <w:spacing w:after="0" w:line="93" w:lineRule="exact"/>
        <w:rPr>
          <w:sz w:val="20"/>
          <w:szCs w:val="20"/>
          <w:color w:val="auto"/>
        </w:rPr>
      </w:pPr>
    </w:p>
    <w:p>
      <w:pPr>
        <w:ind w:right="440" w:firstLine="374"/>
        <w:spacing w:after="0" w:line="261" w:lineRule="auto"/>
        <w:rPr>
          <w:sz w:val="20"/>
          <w:szCs w:val="20"/>
          <w:color w:val="auto"/>
        </w:rPr>
      </w:pPr>
      <w:r>
        <w:rPr>
          <w:rFonts w:ascii="Arial" w:cs="Arial" w:eastAsia="Arial" w:hAnsi="Arial"/>
          <w:sz w:val="18"/>
          <w:szCs w:val="18"/>
          <w:color w:val="auto"/>
        </w:rPr>
        <w:t>The following table sets forth changes in the estimated fair values for the Company’s warrant liabilities measured using significant unobservable inputs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gridSpan w:val="7"/>
          </w:tcPr>
          <w:p>
            <w:pPr>
              <w:ind w:left="660"/>
              <w:spacing w:after="0"/>
              <w:rPr>
                <w:sz w:val="20"/>
                <w:szCs w:val="20"/>
                <w:color w:val="auto"/>
              </w:rPr>
            </w:pPr>
            <w:r>
              <w:rPr>
                <w:rFonts w:ascii="Arial" w:cs="Arial" w:eastAsia="Arial" w:hAnsi="Arial"/>
                <w:sz w:val="18"/>
                <w:szCs w:val="18"/>
                <w:b w:val="1"/>
                <w:bCs w:val="1"/>
                <w:color w:val="auto"/>
                <w:w w:val="94"/>
              </w:rPr>
              <w:t>Year ended December 31,</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7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of period</w:t>
            </w:r>
          </w:p>
        </w:tc>
        <w:tc>
          <w:tcPr>
            <w:tcW w:w="7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8,846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71,881</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Exercise of preferred stock warrants</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(1,111 )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Expiration of common stock warrant</w:t>
            </w:r>
          </w:p>
        </w:tc>
        <w:tc>
          <w:tcPr>
            <w:tcW w:w="7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4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(5,018 )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 of common stock warrant</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(64,628 )</w:t>
            </w:r>
          </w:p>
        </w:tc>
        <w:tc>
          <w:tcPr>
            <w:tcW w:w="0" w:type="dxa"/>
            <w:vAlign w:val="bottom"/>
          </w:tcPr>
          <w:p>
            <w:pPr>
              <w:spacing w:after="0"/>
              <w:rPr>
                <w:sz w:val="1"/>
                <w:szCs w:val="1"/>
                <w:color w:val="auto"/>
              </w:rPr>
            </w:pPr>
          </w:p>
        </w:tc>
      </w:tr>
      <w:tr>
        <w:trPr>
          <w:trHeight w:val="202"/>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preferred stock warrants</w:t>
            </w:r>
          </w:p>
        </w:tc>
        <w:tc>
          <w:tcPr>
            <w:tcW w:w="7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4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(2,717 )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1,617</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End of period</w:t>
            </w:r>
          </w:p>
        </w:tc>
        <w:tc>
          <w:tcPr>
            <w:tcW w:w="78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8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8,846</w:t>
            </w: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Note 7 – Accrued Expenses and Other Current Liabilities</w:t>
            </w:r>
          </w:p>
        </w:tc>
        <w:tc>
          <w:tcPr>
            <w:tcW w:w="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0" w:type="dxa"/>
            <w:vAlign w:val="bottom"/>
            <w:gridSpan w:val="3"/>
          </w:tcPr>
          <w:p>
            <w:pPr>
              <w:ind w:left="380"/>
              <w:spacing w:after="0"/>
              <w:rPr>
                <w:sz w:val="20"/>
                <w:szCs w:val="20"/>
                <w:color w:val="auto"/>
              </w:rPr>
            </w:pPr>
            <w:r>
              <w:rPr>
                <w:rFonts w:ascii="Arial" w:cs="Arial" w:eastAsia="Arial" w:hAnsi="Arial"/>
                <w:sz w:val="18"/>
                <w:szCs w:val="18"/>
                <w:color w:val="auto"/>
                <w:w w:val="92"/>
              </w:rPr>
              <w:t>Accrued expenses and other current liabilities consisted of the following (in thousands):</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13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Employee compensation and benefits</w:t>
            </w:r>
          </w:p>
        </w:tc>
        <w:tc>
          <w:tcPr>
            <w:tcW w:w="7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5,916</w:t>
            </w:r>
          </w:p>
        </w:tc>
        <w:tc>
          <w:tcPr>
            <w:tcW w:w="26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2,943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Vendor invoices</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871</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7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Accrued interest</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gridSpan w:val="2"/>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7"/>
              </w:rPr>
              <w:t>7,859</w:t>
            </w:r>
          </w:p>
        </w:tc>
        <w:tc>
          <w:tcPr>
            <w:tcW w:w="260" w:type="dxa"/>
            <w:vAlign w:val="bottom"/>
          </w:tcPr>
          <w:p>
            <w:pPr>
              <w:spacing w:after="0"/>
              <w:rPr>
                <w:sz w:val="17"/>
                <w:szCs w:val="17"/>
                <w:color w:val="auto"/>
              </w:rPr>
            </w:pPr>
          </w:p>
        </w:tc>
        <w:tc>
          <w:tcPr>
            <w:tcW w:w="560" w:type="dxa"/>
            <w:vAlign w:val="bottom"/>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40" w:type="dxa"/>
            <w:vAlign w:val="bottom"/>
            <w:gridSpan w:val="2"/>
            <w:vMerge w:val="restart"/>
          </w:tcPr>
          <w:p>
            <w:pPr>
              <w:jc w:val="right"/>
              <w:ind w:right="950"/>
              <w:spacing w:after="0"/>
              <w:rPr>
                <w:sz w:val="20"/>
                <w:szCs w:val="20"/>
                <w:color w:val="auto"/>
              </w:rPr>
            </w:pPr>
            <w:r>
              <w:rPr>
                <w:rFonts w:ascii="Arial" w:cs="Arial" w:eastAsia="Arial" w:hAnsi="Arial"/>
                <w:sz w:val="18"/>
                <w:szCs w:val="18"/>
                <w:color w:val="auto"/>
              </w:rPr>
              <w:t>133</w:t>
            </w:r>
          </w:p>
        </w:tc>
        <w:tc>
          <w:tcPr>
            <w:tcW w:w="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6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9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-2491105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-2491105</wp:posOffset>
            </wp:positionV>
            <wp:extent cx="5969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-570865</wp:posOffset>
            </wp:positionV>
            <wp:extent cx="5143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-570865</wp:posOffset>
            </wp:positionV>
            <wp:extent cx="431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Note 8 – Term Loan</w:t>
      </w:r>
    </w:p>
    <w:p>
      <w:pPr>
        <w:spacing w:after="0" w:line="148" w:lineRule="exact"/>
        <w:rPr>
          <w:sz w:val="20"/>
          <w:szCs w:val="20"/>
          <w:color w:val="auto"/>
        </w:rPr>
      </w:pPr>
    </w:p>
    <w:p>
      <w:pPr>
        <w:ind w:right="160" w:firstLine="374"/>
        <w:spacing w:after="0" w:line="241" w:lineRule="auto"/>
        <w:rPr>
          <w:sz w:val="20"/>
          <w:szCs w:val="20"/>
          <w:color w:val="auto"/>
        </w:rPr>
      </w:pPr>
      <w:r>
        <w:rPr>
          <w:rFonts w:ascii="Arial" w:cs="Arial" w:eastAsia="Arial" w:hAnsi="Arial"/>
          <w:sz w:val="18"/>
          <w:szCs w:val="18"/>
          <w:color w:val="auto"/>
        </w:rPr>
        <w:t>On October 29, 2020, the Company entered into a loan facility (“Term Loan”) with an initial draw of $25.0 million. Proceeds were used to help fund the Company’s ongoing operations. In March 2021, the Company drew an additional $5.0 million from the facility for the purpose of funding ongoing operations. In June 2021, the Company drew an additional $10.0 million from the facility for the purpose of funding ongoing operations. Another $10.0 million of the term-loan facility was available for additional draws during 2021, which were not borrowed and $10.0 million is to be available in the first quarter of 2022, if the Company reaches certain sales milestones.</w:t>
      </w:r>
    </w:p>
    <w:p>
      <w:pPr>
        <w:spacing w:after="0" w:line="108"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The Term Loan is secured by substantially all of the Company’s assets, including a negative lien on the Company’s intellectual property assets. The Company is subject to various standard covenants, such as quarterly reporting, annual audits, submission of annual projections and limitations on dividends, further investments and indebtedness. The Term Loan also contains a covenant (“Performance to Plan”) that provides that, beginning on March 31, 2022 and measured monthly, the Company must achieve trailing twelve-month revenue equal to or greater than 50% of the Company’s annual operating budget as approved by the Company’s Board of Directors and the lender. In July 2021, the Company completed its initial public offering with greater than $70.0 million in proceeds, which allowed the Company to continue either the Performance to Plan covenant or may replace it with a positive lien on its intellectual property.</w:t>
      </w:r>
    </w:p>
    <w:p>
      <w:pPr>
        <w:spacing w:after="0" w:line="326" w:lineRule="exact"/>
        <w:rPr>
          <w:sz w:val="20"/>
          <w:szCs w:val="20"/>
          <w:color w:val="auto"/>
        </w:rPr>
      </w:pPr>
    </w:p>
    <w:p>
      <w:pPr>
        <w:jc w:val="both"/>
        <w:ind w:right="60" w:firstLine="374"/>
        <w:spacing w:after="0" w:line="241" w:lineRule="auto"/>
        <w:rPr>
          <w:sz w:val="20"/>
          <w:szCs w:val="20"/>
          <w:color w:val="auto"/>
        </w:rPr>
      </w:pPr>
      <w:r>
        <w:rPr>
          <w:rFonts w:ascii="Arial" w:cs="Arial" w:eastAsia="Arial" w:hAnsi="Arial"/>
          <w:sz w:val="18"/>
          <w:szCs w:val="18"/>
          <w:color w:val="auto"/>
        </w:rPr>
        <w:t>Interest for all borrowings under the Term Loan is determined as the greater of (1) 9.25% or (2) 9.09% plus the greater of 30-day LIBOR published in the Wall Street Journal and 0.16%. The Company may elect an interest rate equal to 10.25% plus the greater of (1) the Wall Street Journal Prime rate or (2) 7%. The interest rate resets monthly on the last day of the month prior to the month in which interest accrues, and an actual/360-day convention applies. If the Company is considered to be in default as defined by the Term Loan, additional interest of 5% applies. The LIBOR rate is subject to change to another basis, presently undetermined, when LIBOR ceases to exist.</w:t>
      </w:r>
    </w:p>
    <w:p>
      <w:pPr>
        <w:spacing w:after="0" w:line="122" w:lineRule="exact"/>
        <w:rPr>
          <w:sz w:val="20"/>
          <w:szCs w:val="20"/>
          <w:color w:val="auto"/>
        </w:rPr>
      </w:pPr>
    </w:p>
    <w:p>
      <w:pPr>
        <w:ind w:right="220" w:firstLine="374"/>
        <w:spacing w:after="0" w:line="294" w:lineRule="auto"/>
        <w:rPr>
          <w:sz w:val="20"/>
          <w:szCs w:val="20"/>
          <w:color w:val="auto"/>
        </w:rPr>
      </w:pPr>
      <w:r>
        <w:rPr>
          <w:rFonts w:ascii="Arial" w:cs="Arial" w:eastAsia="Arial" w:hAnsi="Arial"/>
          <w:sz w:val="16"/>
          <w:szCs w:val="16"/>
          <w:color w:val="auto"/>
        </w:rPr>
        <w:t>The Term Loan requires 36 months of interest-only payments, followed by 23-months of amortization. If the Company is in compliance with the Performance to Plan covenant through October 31, 2023, the interest-only period is extended by 12 months, and the amortization period is reduced by 11 months. Payments are due on the first day of each month in arrears. All unpaid amounts under the Term Loan mature on October 1, 2025.</w:t>
      </w:r>
    </w:p>
    <w:p>
      <w:pPr>
        <w:spacing w:after="0" w:line="66" w:lineRule="exact"/>
        <w:rPr>
          <w:sz w:val="20"/>
          <w:szCs w:val="20"/>
          <w:color w:val="auto"/>
        </w:rPr>
      </w:pPr>
    </w:p>
    <w:p>
      <w:pPr>
        <w:ind w:right="180" w:firstLine="464"/>
        <w:spacing w:after="0" w:line="261" w:lineRule="auto"/>
        <w:rPr>
          <w:sz w:val="20"/>
          <w:szCs w:val="20"/>
          <w:color w:val="auto"/>
        </w:rPr>
      </w:pPr>
      <w:r>
        <w:rPr>
          <w:rFonts w:ascii="Arial" w:cs="Arial" w:eastAsia="Arial" w:hAnsi="Arial"/>
          <w:sz w:val="18"/>
          <w:szCs w:val="18"/>
          <w:color w:val="auto"/>
        </w:rPr>
        <w:t>The Term Loan is prepayable at any time without penalty; however, the loan must be prepaid in full or in specific increments, and amounts prepaid may not be subsequently reborrowed. The loan may also be accelerated by the lender in the event of a default.</w:t>
      </w:r>
    </w:p>
    <w:p>
      <w:pPr>
        <w:spacing w:after="0" w:line="103"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color w:val="auto"/>
        </w:rPr>
        <w:t>As the loan was not fully prepaid by December 31, 2021, the Company became subject to an additional fee (the “Exit Fee”). The fee is 3% of the original draw amount if prepaid between January 1, 2022 and October 31, 2022 ($750,000), 4% if prepaid between November 1, 2022 and October 31, 2023 ($1.0 million) and 5% ($1.25 million) if paid subsequently, including at maturity. The Exit Fee is being accreted to the carrying value of the debt as a debt premium and interest expense over the life of the loan using the effective interest method. Third-party professional service fees totaling $819,000 were incurred by the lender and the Company that are directly attributable to execution of the Term Loan transaction. These issuance costs have been recorded as a discount to the carrying amount of the debt and are being amortized to interest expense over the effective term of the debt using the effective interest method.</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annual principal payments due under the Term Loan were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jc w:val="center"/>
              <w:ind w:right="3270"/>
              <w:spacing w:after="0" w:line="202" w:lineRule="exact"/>
              <w:rPr>
                <w:sz w:val="20"/>
                <w:szCs w:val="20"/>
                <w:color w:val="auto"/>
              </w:rPr>
            </w:pPr>
            <w:r>
              <w:rPr>
                <w:rFonts w:ascii="Arial" w:cs="Arial" w:eastAsia="Arial" w:hAnsi="Arial"/>
                <w:sz w:val="18"/>
                <w:szCs w:val="18"/>
                <w:color w:val="auto"/>
                <w:w w:val="89"/>
              </w:rPr>
              <w:t>2022</w:t>
            </w:r>
          </w:p>
        </w:tc>
        <w:tc>
          <w:tcPr>
            <w:tcW w:w="552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jc w:val="center"/>
              <w:ind w:right="3270"/>
              <w:spacing w:after="0" w:line="202" w:lineRule="exact"/>
              <w:rPr>
                <w:sz w:val="20"/>
                <w:szCs w:val="20"/>
                <w:color w:val="auto"/>
              </w:rPr>
            </w:pPr>
            <w:r>
              <w:rPr>
                <w:rFonts w:ascii="Arial" w:cs="Arial" w:eastAsia="Arial" w:hAnsi="Arial"/>
                <w:sz w:val="18"/>
                <w:szCs w:val="18"/>
                <w:color w:val="auto"/>
                <w:w w:val="89"/>
              </w:rPr>
              <w:t>2023</w:t>
            </w:r>
          </w:p>
        </w:tc>
        <w:tc>
          <w:tcPr>
            <w:tcW w:w="4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jc w:val="center"/>
              <w:ind w:right="3270"/>
              <w:spacing w:after="0" w:line="202" w:lineRule="exact"/>
              <w:rPr>
                <w:sz w:val="20"/>
                <w:szCs w:val="20"/>
                <w:color w:val="auto"/>
              </w:rPr>
            </w:pPr>
            <w:r>
              <w:rPr>
                <w:rFonts w:ascii="Arial" w:cs="Arial" w:eastAsia="Arial" w:hAnsi="Arial"/>
                <w:sz w:val="18"/>
                <w:szCs w:val="18"/>
                <w:color w:val="auto"/>
                <w:w w:val="89"/>
              </w:rPr>
              <w:t>2024</w:t>
            </w:r>
          </w:p>
        </w:tc>
        <w:tc>
          <w:tcPr>
            <w:tcW w:w="47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jc w:val="center"/>
              <w:ind w:right="3270"/>
              <w:spacing w:after="0" w:line="202" w:lineRule="exact"/>
              <w:rPr>
                <w:sz w:val="20"/>
                <w:szCs w:val="20"/>
                <w:color w:val="auto"/>
              </w:rPr>
            </w:pPr>
            <w:r>
              <w:rPr>
                <w:rFonts w:ascii="Arial" w:cs="Arial" w:eastAsia="Arial" w:hAnsi="Arial"/>
                <w:sz w:val="18"/>
                <w:szCs w:val="18"/>
                <w:color w:val="auto"/>
                <w:w w:val="89"/>
              </w:rPr>
              <w:t>2025</w:t>
            </w:r>
          </w:p>
        </w:tc>
        <w:tc>
          <w:tcPr>
            <w:tcW w:w="4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17,391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jc w:val="center"/>
              <w:ind w:right="3270"/>
              <w:spacing w:after="0" w:line="202" w:lineRule="exact"/>
              <w:rPr>
                <w:sz w:val="20"/>
                <w:szCs w:val="20"/>
                <w:color w:val="auto"/>
              </w:rPr>
            </w:pPr>
            <w:r>
              <w:rPr>
                <w:rFonts w:ascii="Arial" w:cs="Arial" w:eastAsia="Arial" w:hAnsi="Arial"/>
                <w:sz w:val="18"/>
                <w:szCs w:val="18"/>
                <w:color w:val="auto"/>
                <w:w w:val="89"/>
              </w:rPr>
              <w:t>2026</w:t>
            </w:r>
          </w:p>
        </w:tc>
        <w:tc>
          <w:tcPr>
            <w:tcW w:w="47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476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40,000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unamortized issuance costs and exit fee</w:t>
            </w:r>
          </w:p>
        </w:tc>
        <w:tc>
          <w:tcPr>
            <w:tcW w:w="47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196"/>
        </w:trPr>
        <w:tc>
          <w:tcPr>
            <w:tcW w:w="4480" w:type="dxa"/>
            <w:vAlign w:val="bottom"/>
            <w:tcBorders>
              <w:top w:val="single" w:sz="8" w:color="CFF0FC"/>
            </w:tcBorders>
          </w:tcPr>
          <w:p>
            <w:pPr>
              <w:jc w:val="center"/>
              <w:ind w:right="3310"/>
              <w:spacing w:after="0" w:line="196" w:lineRule="exact"/>
              <w:rPr>
                <w:sz w:val="20"/>
                <w:szCs w:val="20"/>
                <w:color w:val="auto"/>
              </w:rPr>
            </w:pPr>
            <w:r>
              <w:rPr>
                <w:rFonts w:ascii="Arial" w:cs="Arial" w:eastAsia="Arial" w:hAnsi="Arial"/>
                <w:sz w:val="18"/>
                <w:szCs w:val="18"/>
                <w:color w:val="auto"/>
                <w:w w:val="89"/>
              </w:rPr>
              <w:t>Term loan, net</w:t>
            </w:r>
          </w:p>
        </w:tc>
        <w:tc>
          <w:tcPr>
            <w:tcW w:w="4760" w:type="dxa"/>
            <w:vAlign w:val="bottom"/>
            <w:tcBorders>
              <w:top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39,760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760" w:type="dxa"/>
            <w:vAlign w:val="bottom"/>
            <w:vMerge w:val="restart"/>
          </w:tcPr>
          <w:p>
            <w:pPr>
              <w:jc w:val="right"/>
              <w:ind w:right="3390"/>
              <w:spacing w:after="0"/>
              <w:rPr>
                <w:sz w:val="20"/>
                <w:szCs w:val="20"/>
                <w:color w:val="auto"/>
              </w:rPr>
            </w:pPr>
            <w:r>
              <w:rPr>
                <w:rFonts w:ascii="Arial" w:cs="Arial" w:eastAsia="Arial" w:hAnsi="Arial"/>
                <w:sz w:val="18"/>
                <w:szCs w:val="18"/>
                <w:color w:val="auto"/>
              </w:rPr>
              <w:t>134</w:t>
            </w: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48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80" w:type="dxa"/>
            <w:vAlign w:val="bottom"/>
            <w:tcBorders>
              <w:bottom w:val="single" w:sz="8" w:color="9A9A9A"/>
            </w:tcBorders>
          </w:tcPr>
          <w:p>
            <w:pPr>
              <w:spacing w:after="0"/>
              <w:rPr>
                <w:sz w:val="7"/>
                <w:szCs w:val="7"/>
                <w:color w:val="auto"/>
              </w:rPr>
            </w:pPr>
          </w:p>
        </w:tc>
        <w:tc>
          <w:tcPr>
            <w:tcW w:w="47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-828040</wp:posOffset>
            </wp:positionV>
            <wp:extent cx="596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-561975</wp:posOffset>
            </wp:positionV>
            <wp:extent cx="5969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8" w:name="page139"/>
    <w:bookmarkEnd w:id="138"/>
    <w:p>
      <w:pPr>
        <w:ind w:right="60" w:firstLine="374"/>
        <w:spacing w:after="0" w:line="324" w:lineRule="auto"/>
        <w:rPr>
          <w:sz w:val="20"/>
          <w:szCs w:val="20"/>
          <w:color w:val="auto"/>
        </w:rPr>
      </w:pPr>
      <w:r>
        <w:rPr>
          <w:rFonts w:ascii="Arial" w:cs="Arial" w:eastAsia="Arial" w:hAnsi="Arial"/>
          <w:sz w:val="16"/>
          <w:szCs w:val="16"/>
          <w:color w:val="auto"/>
        </w:rPr>
        <w:t>During 2021 and 2020, cash interest paid for all borrowings under the Term Loan was 9.25%. The effective interest rate for the year ended December, 31 2021 and 2020 was 10.90% and 11.31%, respectively. As of December 31, 2021 and 2020, the Company was in compliance with all covenants.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Warrant Liability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agreement and share purchase agreement</w:t>
      </w:r>
    </w:p>
    <w:p>
      <w:pPr>
        <w:spacing w:after="0" w:line="144"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On October 12, 2017, the Company issued a “Strategic Partner” a warrant to purchase Series W common stock (the “Warrant Agreement”) for a non-refundable payment of $60.0 million. This Series W common stock warrant (the “Series W Warrant”) had an initial expiration date of December 31, 2018 unless extended as provided for in the Warrant Agreement. On December 27, 2018, the Strategic Partner chose to extend the expiration date of the Series W Warrant, by making an additional non-refundable payment of $40.0 million, until the sooner of the achievement of performance milestones (as defined in the Warrant Agreement) or November 22, 2021. On March 18, 2020, the Company and the Strategic Partner signed an amendment to the Warrant Agreement that removed the milestone triggers for early exercise and changed the expiration date to March 31, 2021.</w:t>
      </w:r>
    </w:p>
    <w:p>
      <w:pPr>
        <w:spacing w:after="0" w:line="108" w:lineRule="exact"/>
        <w:rPr>
          <w:sz w:val="20"/>
          <w:szCs w:val="20"/>
          <w:color w:val="auto"/>
        </w:rPr>
      </w:pPr>
    </w:p>
    <w:p>
      <w:pPr>
        <w:ind w:right="40" w:firstLine="374"/>
        <w:spacing w:after="0" w:line="270" w:lineRule="auto"/>
        <w:rPr>
          <w:sz w:val="20"/>
          <w:szCs w:val="20"/>
          <w:color w:val="auto"/>
        </w:rPr>
      </w:pPr>
      <w:r>
        <w:rPr>
          <w:rFonts w:ascii="Arial" w:cs="Arial" w:eastAsia="Arial" w:hAnsi="Arial"/>
          <w:sz w:val="16"/>
          <w:szCs w:val="16"/>
          <w:color w:val="auto"/>
        </w:rPr>
        <w:t>Concurrent with the Warrant Agreement, the Strategic Partner and the Company entered into a Share Purchase Agreement (the “Purchase Agreement”). Under the Purchase Agreement, the Strategic Partner purchased one share of the Company’s non-voting $0.001 par value per share Series G common stock for $0.01. Upon exercise of the Series W Warrant, the Strategic Partner will receive one share of voting, $0.001 par value, Series W common stock. Per the Warrant Agreement, the exercise price of the Series W Warrant is $630.0 million plus adjustments for the Company’s cash, working capital, indebtedness and transaction expenses, subject to an escrow holdback of $92.0 million and a shareholder representative holdback of $500,000. The Warrant Agreement also provided for potential aggregate milestone payments of up to $827.0 million for various sales-based and operating milestones and $185.0 million for certain regulatory milestones, either at the time of the Series W Warrant’s exercise or at dates subsequent, as defined in the Warrant Agreement. Upon notice of exercise of the Series W Warrant by the Strategic Partner and receipt of the required funds, a Special Redemption, as defined in the Company’s Articles of Incorporation, will trigger automatic redemption of all the Company’s outstanding capital instruments, except for the Series G common stock and Series W common stock, and the Strategic Partner will acquire the Company.</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assumptions used in the DCF and MCS calculations to determine the fair value of the Series W warrant: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 ended December 31, 2020</w:t>
            </w:r>
          </w:p>
        </w:tc>
      </w:tr>
      <w:tr>
        <w:trPr>
          <w:trHeight w:val="183"/>
        </w:trPr>
        <w:tc>
          <w:tcPr>
            <w:tcW w:w="5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Terminal value—exit multiple</w:t>
            </w:r>
          </w:p>
        </w:tc>
        <w:tc>
          <w:tcPr>
            <w:tcW w:w="52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7.0</w:t>
            </w: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cost of capital discount rate</w:t>
            </w:r>
          </w:p>
        </w:tc>
        <w:tc>
          <w:tcPr>
            <w:tcW w:w="5260" w:type="dxa"/>
            <w:vAlign w:val="bottom"/>
          </w:tcPr>
          <w:p>
            <w:pPr>
              <w:jc w:val="center"/>
              <w:spacing w:after="0"/>
              <w:rPr>
                <w:sz w:val="20"/>
                <w:szCs w:val="20"/>
                <w:color w:val="auto"/>
              </w:rPr>
            </w:pPr>
            <w:r>
              <w:rPr>
                <w:rFonts w:ascii="Arial" w:cs="Arial" w:eastAsia="Arial" w:hAnsi="Arial"/>
                <w:sz w:val="16"/>
                <w:szCs w:val="16"/>
                <w:color w:val="auto"/>
                <w:w w:val="92"/>
              </w:rPr>
              <w:t>22.0%</w:t>
            </w:r>
          </w:p>
        </w:tc>
      </w:tr>
      <w:tr>
        <w:trPr>
          <w:trHeight w:val="18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life (in years)</w:t>
            </w:r>
          </w:p>
        </w:tc>
        <w:tc>
          <w:tcPr>
            <w:tcW w:w="5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0.25 year</w:t>
            </w:r>
          </w:p>
        </w:tc>
      </w:tr>
      <w:tr>
        <w:trPr>
          <w:trHeight w:val="189"/>
        </w:trPr>
        <w:tc>
          <w:tcPr>
            <w:tcW w:w="59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5260" w:type="dxa"/>
            <w:vAlign w:val="bottom"/>
          </w:tcPr>
          <w:p>
            <w:pPr>
              <w:jc w:val="center"/>
              <w:spacing w:after="0"/>
              <w:rPr>
                <w:sz w:val="20"/>
                <w:szCs w:val="20"/>
                <w:color w:val="auto"/>
              </w:rPr>
            </w:pPr>
            <w:r>
              <w:rPr>
                <w:rFonts w:ascii="Arial" w:cs="Arial" w:eastAsia="Arial" w:hAnsi="Arial"/>
                <w:sz w:val="16"/>
                <w:szCs w:val="16"/>
                <w:color w:val="auto"/>
                <w:w w:val="93"/>
              </w:rPr>
              <w:t>0.9%</w:t>
            </w:r>
          </w:p>
        </w:tc>
      </w:tr>
      <w:tr>
        <w:trPr>
          <w:trHeight w:val="18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volatility</w:t>
            </w:r>
          </w:p>
        </w:tc>
        <w:tc>
          <w:tcPr>
            <w:tcW w:w="5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56.9%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Redemption</w:t>
      </w:r>
    </w:p>
    <w:p>
      <w:pPr>
        <w:spacing w:after="0" w:line="158" w:lineRule="exact"/>
        <w:rPr>
          <w:sz w:val="20"/>
          <w:szCs w:val="20"/>
          <w:color w:val="auto"/>
        </w:rPr>
      </w:pPr>
    </w:p>
    <w:p>
      <w:pPr>
        <w:ind w:right="80" w:firstLine="374"/>
        <w:spacing w:after="0" w:line="274" w:lineRule="auto"/>
        <w:rPr>
          <w:sz w:val="20"/>
          <w:szCs w:val="20"/>
          <w:color w:val="auto"/>
        </w:rPr>
      </w:pPr>
      <w:r>
        <w:rPr>
          <w:rFonts w:ascii="Arial" w:cs="Arial" w:eastAsia="Arial" w:hAnsi="Arial"/>
          <w:sz w:val="16"/>
          <w:szCs w:val="16"/>
          <w:color w:val="auto"/>
        </w:rPr>
        <w:t>On October 25, 2017, the Company adopted the 12th Amended and Restated Articles of Incorporation (the “Amendment”). Under Article IV of the Amendment, if the Strategic Partner had exercised the Series W Warrant, an automatic redemption, conversion, termination and cancellation of all then outstanding shares of the Company’s capital stock, options and warrants would have occurred without any further action required. Immediately prior to the automatic redemption, all outstanding preferred shares would have converted to common shares, unvested stock options would have accelerated and became fully vested and all stock options would have terminated along with any preferred stock warrants outstanding. Stockholders, option holders and warrant holders would have had the right to receive the initial per share price less the strike price as defined in the Warrant Agreement. The Strategic Partner would have advanced (through an exchange agent) the funds to the Company, which would then have disbursed the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9" w:name="page140"/>
    <w:bookmarkEnd w:id="139"/>
    <w:p>
      <w:pPr>
        <w:spacing w:after="0" w:line="261" w:lineRule="auto"/>
        <w:rPr>
          <w:sz w:val="20"/>
          <w:szCs w:val="20"/>
          <w:color w:val="auto"/>
        </w:rPr>
      </w:pPr>
      <w:r>
        <w:rPr>
          <w:rFonts w:ascii="Arial" w:cs="Arial" w:eastAsia="Arial" w:hAnsi="Arial"/>
          <w:sz w:val="18"/>
          <w:szCs w:val="18"/>
          <w:color w:val="auto"/>
        </w:rPr>
        <w:t>funds to all shareholders, option holders and warrant holders. If the Series W Warrant was terminated or expired unexercised, Article IV of the Amendment would terminate and would be of no further force and effect.</w:t>
      </w:r>
    </w:p>
    <w:p>
      <w:pPr>
        <w:spacing w:after="0" w:line="90" w:lineRule="exact"/>
        <w:rPr>
          <w:sz w:val="20"/>
          <w:szCs w:val="20"/>
          <w:color w:val="auto"/>
        </w:rPr>
      </w:pPr>
    </w:p>
    <w:p>
      <w:pPr>
        <w:ind w:right="620" w:firstLine="374"/>
        <w:spacing w:after="0" w:line="261" w:lineRule="auto"/>
        <w:rPr>
          <w:sz w:val="20"/>
          <w:szCs w:val="20"/>
          <w:color w:val="auto"/>
        </w:rPr>
      </w:pPr>
      <w:r>
        <w:rPr>
          <w:rFonts w:ascii="Arial" w:cs="Arial" w:eastAsia="Arial" w:hAnsi="Arial"/>
          <w:sz w:val="18"/>
          <w:szCs w:val="18"/>
          <w:color w:val="auto"/>
        </w:rPr>
        <w:t>In December 2020, management determined that exercise of the Series W Warrant was no longer probable, at which point further accretion to redemption value of common stock, preferred stock and stock options ceased.</w:t>
      </w:r>
    </w:p>
    <w:p>
      <w:pPr>
        <w:spacing w:after="0" w:line="103" w:lineRule="exact"/>
        <w:rPr>
          <w:sz w:val="20"/>
          <w:szCs w:val="20"/>
          <w:color w:val="auto"/>
        </w:rPr>
      </w:pPr>
    </w:p>
    <w:p>
      <w:pPr>
        <w:jc w:val="both"/>
        <w:ind w:right="60" w:firstLine="374"/>
        <w:spacing w:after="0" w:line="262" w:lineRule="auto"/>
        <w:rPr>
          <w:sz w:val="20"/>
          <w:szCs w:val="20"/>
          <w:color w:val="auto"/>
        </w:rPr>
      </w:pPr>
      <w:r>
        <w:rPr>
          <w:rFonts w:ascii="Arial" w:cs="Arial" w:eastAsia="Arial" w:hAnsi="Arial"/>
          <w:sz w:val="17"/>
          <w:szCs w:val="17"/>
          <w:color w:val="auto"/>
        </w:rPr>
        <w:t>On March 31, 2021, the Series W Warrant terminated as the Strategic Partner did not provide notice of exercise. A gain of $5.0 million was recorded on the expiration of the Series W Warrant in the accompanying consolidated statements of operations and comprehensive (loss) income for the year-ended December 31, 2021. Upon termination, amounts recorded in temporary equity for common stock and stock options were reclassified to common stock and additional paid-in capital within permanent equity as these instruments were no longer redeemable.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(Deficit)</w:t>
      </w:r>
    </w:p>
    <w:p>
      <w:pPr>
        <w:spacing w:after="0" w:line="148" w:lineRule="exact"/>
        <w:rPr>
          <w:sz w:val="20"/>
          <w:szCs w:val="20"/>
          <w:color w:val="auto"/>
        </w:rPr>
      </w:pPr>
    </w:p>
    <w:p>
      <w:pPr>
        <w:ind w:right="80" w:firstLine="374"/>
        <w:spacing w:after="0" w:line="294" w:lineRule="auto"/>
        <w:rPr>
          <w:sz w:val="20"/>
          <w:szCs w:val="20"/>
          <w:color w:val="auto"/>
        </w:rPr>
      </w:pPr>
      <w:r>
        <w:rPr>
          <w:rFonts w:ascii="Arial" w:cs="Arial" w:eastAsia="Arial" w:hAnsi="Arial"/>
          <w:sz w:val="16"/>
          <w:szCs w:val="16"/>
          <w:color w:val="auto"/>
        </w:rPr>
        <w:t>On July 29, 2021, the Company restated its certificate of incorporation and bylaws which provide for, among other things, the Company’s authorized capital stock to consist of 900,000,000 shares of common stock, par value $0.001 per share, and 100,000,000 shares of convertible preferred stock, par value $0.001 per share. The restated certificate defines the voting rights, dividends, liquidation, rights and preferences of each class of stock.</w:t>
      </w:r>
    </w:p>
    <w:p>
      <w:pPr>
        <w:spacing w:after="0" w:line="66" w:lineRule="exact"/>
        <w:rPr>
          <w:sz w:val="20"/>
          <w:szCs w:val="20"/>
          <w:color w:val="auto"/>
        </w:rPr>
      </w:pPr>
    </w:p>
    <w:p>
      <w:pPr>
        <w:ind w:right="680" w:firstLine="374"/>
        <w:spacing w:after="0" w:line="261" w:lineRule="auto"/>
        <w:rPr>
          <w:sz w:val="20"/>
          <w:szCs w:val="20"/>
          <w:color w:val="auto"/>
        </w:rPr>
      </w:pPr>
      <w:r>
        <w:rPr>
          <w:rFonts w:ascii="Arial" w:cs="Arial" w:eastAsia="Arial" w:hAnsi="Arial"/>
          <w:sz w:val="18"/>
          <w:szCs w:val="18"/>
          <w:color w:val="auto"/>
        </w:rPr>
        <w:t>There are 900,000,000 shares of common stock authorized, 27,366,746 issued and outstanding at December 31, 2021, and 24,545,966 shares authorized, 3,813,450 shares issued and outstanding as of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There are 100,000,000 shares of preferred stock authorized and none issued or outstanding at December 31, 2021 and 2020.</w:t>
      </w:r>
    </w:p>
    <w:p>
      <w:pPr>
        <w:spacing w:after="0" w:line="144"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Prior to the IPO, the Amendment authorized eight classes of preferred stock, Series A through F, the “Prior Preferred Stock” and Series G and H, the “Senior Preferred Stock”. All of the Company’s redeemable convertible preferred stock were classified as temporary equity on the accompanying December 31, 2020 consolidated balance sheets, as all such preferred stock is redeemable either at the option of the holder or upon an event outside the control of the Company (i.e., a change in control). The redeemable convertible preferred stock was redeemable per the Special Redemption (see Note 9 - Common Stock Warrant Liability) or upon certain change in control events (including liquidation, sale or transfer of control of the Company); however, the Special Redemption was not a certain event, and all change in control events are outside of the Company’s control. In the event of the Special Redemption, the holders were entitled to receive redemption proceeds as defined in the Warrant Agreement. In the event of liquidation, holders of the convertible preferred stock might have had the right to receive its liquidation preference under the terms of the Company’s Amendment.</w:t>
      </w:r>
    </w:p>
    <w:p>
      <w:pPr>
        <w:spacing w:after="0" w:line="100"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As a result of management’s determination that the Special Redemption was probable, but not certain, the Company began accreting to the expected redemption value of the redeemable convertible preferred stock in October 2017. In December 2020, management determined that the Special Redemption was no longer probable, at which point accretion to redemption value ceased. As of March 31, 2021 the Series W Warrant expired unexercised, and all redemption provisions of the Special Redemption lapsed.</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40" w:name="page141"/>
    <w:bookmarkEnd w:id="140"/>
    <w:p>
      <w:pPr>
        <w:ind w:right="340" w:firstLine="419"/>
        <w:spacing w:after="0" w:line="261" w:lineRule="auto"/>
        <w:rPr>
          <w:sz w:val="20"/>
          <w:szCs w:val="20"/>
          <w:color w:val="auto"/>
        </w:rPr>
      </w:pPr>
      <w:r>
        <w:rPr>
          <w:rFonts w:ascii="Arial" w:cs="Arial" w:eastAsia="Arial" w:hAnsi="Arial"/>
          <w:sz w:val="18"/>
          <w:szCs w:val="18"/>
          <w:color w:val="auto"/>
        </w:rPr>
        <w:t>The following table summarizes information related to issuance of the Company’s preferred stock (in thousands, except number of shares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1"/>
                <w:szCs w:val="11"/>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Liquidation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Par Value</w:t>
            </w: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4"/>
              </w:rPr>
              <w:t>Price at</w:t>
            </w: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Value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Issuance</w:t>
            </w:r>
          </w:p>
        </w:tc>
        <w:tc>
          <w:tcPr>
            <w:tcW w:w="2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Authorized(1)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rPr>
              <w:t>Preference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Share Capital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Feb-2000</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40.81</w:t>
            </w:r>
          </w:p>
        </w:tc>
        <w:tc>
          <w:tcPr>
            <w:tcW w:w="2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355,921</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355,903</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14,523</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13,535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Series B</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2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4"/>
              </w:rPr>
              <w:t>May-2003</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9.07</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1,741,452</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1,741,399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15,795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39,715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C</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Feb-2007</w:t>
            </w:r>
          </w:p>
        </w:tc>
        <w:tc>
          <w:tcPr>
            <w:tcW w:w="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12.92</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1,168,344</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1,168,311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15,086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28,136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Series D</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2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2"/>
              </w:rPr>
              <w:t>Aug-2009</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663,808</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663,728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18,503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Oct-2011</w:t>
            </w:r>
          </w:p>
        </w:tc>
        <w:tc>
          <w:tcPr>
            <w:tcW w:w="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20.66</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353,339</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353,327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Series F</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2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4"/>
              </w:rPr>
              <w:t>May-2012</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25.83</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507,744</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499,159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12,891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18,305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G</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Jun-2015</w:t>
            </w:r>
          </w:p>
        </w:tc>
        <w:tc>
          <w:tcPr>
            <w:tcW w:w="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12.40</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5,832,685</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5,788,878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71,759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135,682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Series H</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2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88"/>
              </w:rPr>
              <w:t>Feb-2017</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12.40</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5,949,499</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3,805,567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47,174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89,074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16,572,792</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14,376,272</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196,528</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353,300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43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9" w:lineRule="exact"/>
        <w:rPr>
          <w:sz w:val="20"/>
          <w:szCs w:val="20"/>
          <w:color w:val="auto"/>
        </w:rPr>
      </w:pPr>
    </w:p>
    <w:p>
      <w:pPr>
        <w:ind w:left="280" w:hanging="272"/>
        <w:spacing w:after="0"/>
        <w:tabs>
          <w:tab w:leader="none" w:pos="280" w:val="left"/>
        </w:tabs>
        <w:numPr>
          <w:ilvl w:val="0"/>
          <w:numId w:val="77"/>
        </w:numPr>
        <w:rPr>
          <w:rFonts w:ascii="Arial" w:cs="Arial" w:eastAsia="Arial" w:hAnsi="Arial"/>
          <w:sz w:val="10"/>
          <w:szCs w:val="10"/>
          <w:color w:val="auto"/>
        </w:rPr>
      </w:pPr>
      <w:r>
        <w:rPr>
          <w:rFonts w:ascii="Arial" w:cs="Arial" w:eastAsia="Arial" w:hAnsi="Arial"/>
          <w:sz w:val="14"/>
          <w:szCs w:val="14"/>
          <w:color w:val="auto"/>
        </w:rPr>
        <w:t>The shares authorized, issued and outstanding do not reflect any anti-dilution provisions of Series C, Series D, Series E and Series F as a result of the Series G financing.</w:t>
      </w:r>
    </w:p>
    <w:p>
      <w:pPr>
        <w:spacing w:after="0" w:line="28" w:lineRule="exact"/>
        <w:rPr>
          <w:rFonts w:ascii="Arial" w:cs="Arial" w:eastAsia="Arial" w:hAnsi="Arial"/>
          <w:sz w:val="10"/>
          <w:szCs w:val="10"/>
          <w:color w:val="auto"/>
        </w:rPr>
      </w:pPr>
    </w:p>
    <w:p>
      <w:pPr>
        <w:ind w:right="120" w:firstLine="8"/>
        <w:spacing w:after="0" w:line="239" w:lineRule="auto"/>
        <w:tabs>
          <w:tab w:leader="none" w:pos="275" w:val="left"/>
        </w:tabs>
        <w:numPr>
          <w:ilvl w:val="0"/>
          <w:numId w:val="77"/>
        </w:numPr>
        <w:rPr>
          <w:rFonts w:ascii="Arial" w:cs="Arial" w:eastAsia="Arial" w:hAnsi="Arial"/>
          <w:sz w:val="11"/>
          <w:szCs w:val="11"/>
          <w:color w:val="auto"/>
        </w:rPr>
      </w:pPr>
      <w:r>
        <w:rPr>
          <w:rFonts w:ascii="Arial" w:cs="Arial" w:eastAsia="Arial" w:hAnsi="Arial"/>
          <w:sz w:val="16"/>
          <w:szCs w:val="16"/>
          <w:color w:val="auto"/>
        </w:rPr>
        <w:t>The carrying value reflects the gross proceeds received from the sale of the preferred stock less issuance costs and the fair value at issuance of preferred stock warrants classified as a liability, plus accretion of redemption value.</w:t>
      </w:r>
    </w:p>
    <w:p>
      <w:pPr>
        <w:spacing w:after="0" w:line="115"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Preferred stock was convertible at the option of the holder into common stock on a one-for-one basis and was converted upon completion of the Company's IPO on July 29, 2021. Immediately prior to the completion of the IPO, 14,376,272 outstanding shares of the Company's convertible preferred stock were converted into an aggregate of 14,850,993 shares of common stock and 225,945 warrants to purchase Series H convertible preferred stock were exercised and converted into 225,945 shares of common stock.</w:t>
      </w:r>
    </w:p>
    <w:p>
      <w:pPr>
        <w:spacing w:after="0" w:line="120" w:lineRule="exact"/>
        <w:rPr>
          <w:sz w:val="20"/>
          <w:szCs w:val="20"/>
          <w:color w:val="auto"/>
        </w:rPr>
      </w:pPr>
    </w:p>
    <w:p>
      <w:pPr>
        <w:ind w:right="340" w:firstLine="374"/>
        <w:spacing w:after="0" w:line="244" w:lineRule="auto"/>
        <w:rPr>
          <w:sz w:val="20"/>
          <w:szCs w:val="20"/>
          <w:color w:val="auto"/>
        </w:rPr>
      </w:pPr>
      <w:r>
        <w:rPr>
          <w:rFonts w:ascii="Arial" w:cs="Arial" w:eastAsia="Arial" w:hAnsi="Arial"/>
          <w:sz w:val="18"/>
          <w:szCs w:val="18"/>
          <w:color w:val="auto"/>
        </w:rPr>
        <w:t>The following table shows the common stock equivalent of preferred stock which was converted as a result of the anti-dilution provisions enacted during the Series G financing.</w:t>
      </w:r>
    </w:p>
    <w:p>
      <w:pPr>
        <w:spacing w:after="0" w:line="202" w:lineRule="auto"/>
        <w:rPr>
          <w:sz w:val="20"/>
          <w:szCs w:val="20"/>
          <w:color w:val="auto"/>
        </w:rPr>
      </w:pPr>
      <w:r>
        <w:rPr>
          <w:rFonts w:ascii="Arial" w:cs="Arial" w:eastAsia="Arial" w:hAnsi="Arial"/>
          <w:sz w:val="18"/>
          <w:szCs w:val="18"/>
          <w:i w:val="1"/>
          <w:iCs w:val="1"/>
          <w:color w:val="FFFFFF"/>
        </w:rPr>
        <w:t>o</w:t>
      </w:r>
    </w:p>
    <w:p>
      <w:pPr>
        <w:sectPr>
          <w:pgSz w:w="11900" w:h="16838" w:orient="portrait"/>
          <w:cols w:equalWidth="0" w:num="1">
            <w:col w:w="11240"/>
          </w:cols>
          <w:pgMar w:left="320" w:top="476" w:right="339" w:bottom="1440" w:gutter="0" w:footer="0" w:header="0"/>
        </w:sectPr>
      </w:pP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Converted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5345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53453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53453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453453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34535"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Series C</w:t>
      </w:r>
    </w:p>
    <w:p>
      <w:pPr>
        <w:ind w:left="20"/>
        <w:spacing w:after="0" w:line="235" w:lineRule="auto"/>
        <w:rPr>
          <w:sz w:val="20"/>
          <w:szCs w:val="20"/>
          <w:color w:val="auto"/>
        </w:rPr>
      </w:pPr>
      <w:r>
        <w:rPr>
          <w:rFonts w:ascii="Arial" w:cs="Arial" w:eastAsia="Arial" w:hAnsi="Arial"/>
          <w:sz w:val="18"/>
          <w:szCs w:val="18"/>
          <w:color w:val="auto"/>
        </w:rPr>
        <w:t>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53453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34535"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Series E</w:t>
      </w:r>
    </w:p>
    <w:p>
      <w:pPr>
        <w:ind w:left="20"/>
        <w:spacing w:after="0" w:line="235" w:lineRule="auto"/>
        <w:rPr>
          <w:sz w:val="20"/>
          <w:szCs w:val="20"/>
          <w:color w:val="auto"/>
        </w:rPr>
      </w:pPr>
      <w:r>
        <w:rPr>
          <w:rFonts w:ascii="Arial" w:cs="Arial" w:eastAsia="Arial" w:hAnsi="Arial"/>
          <w:sz w:val="18"/>
          <w:szCs w:val="18"/>
          <w:color w:val="auto"/>
        </w:rPr>
        <w:t>Series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53453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53453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Series 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34535"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53453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w:t>
      </w:r>
    </w:p>
    <w:p>
      <w:pPr>
        <w:spacing w:after="0" w:line="12" w:lineRule="exact"/>
        <w:rPr>
          <w:sz w:val="20"/>
          <w:szCs w:val="20"/>
          <w:color w:val="auto"/>
        </w:rPr>
      </w:pPr>
    </w:p>
    <w:p>
      <w:pPr>
        <w:ind w:right="580" w:firstLine="21"/>
        <w:spacing w:after="0" w:line="580" w:lineRule="auto"/>
        <w:tabs>
          <w:tab w:leader="none" w:pos="184" w:val="left"/>
        </w:tabs>
        <w:numPr>
          <w:ilvl w:val="0"/>
          <w:numId w:val="78"/>
        </w:numPr>
        <w:rPr>
          <w:rFonts w:ascii="Arial" w:cs="Arial" w:eastAsia="Arial" w:hAnsi="Arial"/>
          <w:sz w:val="19"/>
          <w:szCs w:val="19"/>
          <w:b w:val="1"/>
          <w:bCs w:val="1"/>
          <w:color w:val="auto"/>
          <w:vertAlign w:val="superscript"/>
        </w:rPr>
      </w:pPr>
      <w:r>
        <w:rPr>
          <w:rFonts w:ascii="Arial" w:cs="Arial" w:eastAsia="Arial" w:hAnsi="Arial"/>
          <w:sz w:val="15"/>
          <w:szCs w:val="15"/>
          <w:color w:val="auto"/>
        </w:rPr>
        <w:t>Excludes preferred stock warrants see Note 11 – Convertible Preferred Stock Warrants. Common stock reserved for future issuance consisted of the following:</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Common stock warrant</w:t>
      </w:r>
    </w:p>
    <w:p>
      <w:pPr>
        <w:spacing w:after="0" w:line="1" w:lineRule="exact"/>
        <w:rPr>
          <w:sz w:val="20"/>
          <w:szCs w:val="20"/>
          <w:color w:val="auto"/>
        </w:rPr>
      </w:pPr>
    </w:p>
    <w:p>
      <w:pPr>
        <w:ind w:left="20" w:right="1640"/>
        <w:spacing w:after="0" w:line="241" w:lineRule="auto"/>
        <w:rPr>
          <w:sz w:val="20"/>
          <w:szCs w:val="20"/>
          <w:color w:val="auto"/>
        </w:rPr>
      </w:pPr>
      <w:r>
        <w:rPr>
          <w:rFonts w:ascii="Arial" w:cs="Arial" w:eastAsia="Arial" w:hAnsi="Arial"/>
          <w:sz w:val="18"/>
          <w:szCs w:val="18"/>
          <w:color w:val="auto"/>
        </w:rPr>
        <w:t>Stock options issued and outstanding under the 2006, 2015 and 2021 plans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shares of common stock issued or reserved</w:t>
      </w:r>
    </w:p>
    <w:p>
      <w:pPr>
        <w:spacing w:after="0" w:line="20" w:lineRule="exact"/>
        <w:rPr>
          <w:sz w:val="20"/>
          <w:szCs w:val="20"/>
          <w:color w:val="auto"/>
        </w:rPr>
      </w:pPr>
      <w:r>
        <w:rPr>
          <w:sz w:val="20"/>
          <w:szCs w:val="20"/>
          <w:color w:val="auto"/>
        </w:rPr>
        <w:br w:type="column"/>
      </w:r>
    </w:p>
    <w:p>
      <w:pPr>
        <w:jc w:val="center"/>
        <w:ind w:right="360"/>
        <w:spacing w:after="0" w:line="200" w:lineRule="auto"/>
        <w:rPr>
          <w:sz w:val="20"/>
          <w:szCs w:val="20"/>
          <w:color w:val="auto"/>
        </w:rPr>
      </w:pPr>
      <w:r>
        <w:rPr>
          <w:rFonts w:ascii="Arial" w:cs="Arial" w:eastAsia="Arial" w:hAnsi="Arial"/>
          <w:sz w:val="18"/>
          <w:szCs w:val="18"/>
          <w:b w:val="1"/>
          <w:bCs w:val="1"/>
          <w:color w:val="auto"/>
        </w:rPr>
        <w:t xml:space="preserve">Fully Diluted on Conversion </w:t>
      </w:r>
      <w:r>
        <w:rPr>
          <w:rFonts w:ascii="Arial" w:cs="Arial" w:eastAsia="Arial" w:hAnsi="Arial"/>
          <w:sz w:val="24"/>
          <w:szCs w:val="24"/>
          <w:b w:val="1"/>
          <w:bCs w:val="1"/>
          <w:color w:val="auto"/>
          <w:vertAlign w:val="superscript"/>
        </w:rPr>
        <w:t>(1)</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12/31/2020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-3175</wp:posOffset>
            </wp:positionV>
            <wp:extent cx="23571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7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355,903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-121920</wp:posOffset>
            </wp:positionV>
            <wp:extent cx="240030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00300" cy="128905"/>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8"/>
          <w:szCs w:val="18"/>
          <w:color w:val="auto"/>
        </w:rPr>
        <w:t>1,741,399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-635</wp:posOffset>
            </wp:positionV>
            <wp:extent cx="240030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00300" cy="128905"/>
                    </a:xfrm>
                    <a:prstGeom prst="rect">
                      <a:avLst/>
                    </a:prstGeom>
                    <a:noFill/>
                  </pic:spPr>
                </pic:pic>
              </a:graphicData>
            </a:graphic>
          </wp:anchor>
        </w:drawing>
      </w:r>
    </w:p>
    <w:p>
      <w:pPr>
        <w:jc w:val="right"/>
        <w:ind w:right="80"/>
        <w:spacing w:after="0" w:line="234" w:lineRule="auto"/>
        <w:rPr>
          <w:sz w:val="20"/>
          <w:szCs w:val="20"/>
          <w:color w:val="auto"/>
        </w:rPr>
      </w:pPr>
      <w:r>
        <w:rPr>
          <w:rFonts w:ascii="Arial" w:cs="Arial" w:eastAsia="Arial" w:hAnsi="Arial"/>
          <w:sz w:val="18"/>
          <w:szCs w:val="18"/>
          <w:color w:val="auto"/>
        </w:rPr>
        <w:t>1,197,590</w:t>
      </w:r>
    </w:p>
    <w:p>
      <w:pPr>
        <w:jc w:val="right"/>
        <w:ind w:right="80"/>
        <w:spacing w:after="0" w:line="235" w:lineRule="auto"/>
        <w:rPr>
          <w:sz w:val="20"/>
          <w:szCs w:val="20"/>
          <w:color w:val="auto"/>
        </w:rPr>
      </w:pPr>
      <w:r>
        <w:rPr>
          <w:rFonts w:ascii="Arial" w:cs="Arial" w:eastAsia="Arial" w:hAnsi="Arial"/>
          <w:sz w:val="18"/>
          <w:szCs w:val="18"/>
          <w:color w:val="auto"/>
        </w:rPr>
        <w:t>772,963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0</wp:posOffset>
            </wp:positionV>
            <wp:extent cx="2400300"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00300" cy="128905"/>
                    </a:xfrm>
                    <a:prstGeom prst="rect">
                      <a:avLst/>
                    </a:prstGeom>
                    <a:noFill/>
                  </pic:spPr>
                </pic:pic>
              </a:graphicData>
            </a:graphic>
          </wp:anchor>
        </w:drawing>
      </w:r>
    </w:p>
    <w:p>
      <w:pPr>
        <w:jc w:val="right"/>
        <w:ind w:right="80"/>
        <w:spacing w:after="0" w:line="235" w:lineRule="auto"/>
        <w:rPr>
          <w:sz w:val="20"/>
          <w:szCs w:val="20"/>
          <w:color w:val="auto"/>
        </w:rPr>
      </w:pPr>
      <w:r>
        <w:rPr>
          <w:rFonts w:ascii="Arial" w:cs="Arial" w:eastAsia="Arial" w:hAnsi="Arial"/>
          <w:sz w:val="18"/>
          <w:szCs w:val="18"/>
          <w:color w:val="auto"/>
        </w:rPr>
        <w:t>429,766</w:t>
      </w:r>
    </w:p>
    <w:p>
      <w:pPr>
        <w:jc w:val="right"/>
        <w:ind w:right="80"/>
        <w:spacing w:after="0" w:line="235" w:lineRule="auto"/>
        <w:rPr>
          <w:sz w:val="20"/>
          <w:szCs w:val="20"/>
          <w:color w:val="auto"/>
        </w:rPr>
      </w:pPr>
      <w:r>
        <w:rPr>
          <w:rFonts w:ascii="Arial" w:cs="Arial" w:eastAsia="Arial" w:hAnsi="Arial"/>
          <w:sz w:val="18"/>
          <w:szCs w:val="18"/>
          <w:color w:val="auto"/>
        </w:rPr>
        <w:t>758,941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0</wp:posOffset>
            </wp:positionV>
            <wp:extent cx="2400300"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00300" cy="128905"/>
                    </a:xfrm>
                    <a:prstGeom prst="rect">
                      <a:avLst/>
                    </a:prstGeom>
                    <a:noFill/>
                  </pic:spPr>
                </pic:pic>
              </a:graphicData>
            </a:graphic>
          </wp:anchor>
        </w:drawing>
      </w:r>
    </w:p>
    <w:p>
      <w:pPr>
        <w:jc w:val="right"/>
        <w:ind w:right="80"/>
        <w:spacing w:after="0" w:line="235" w:lineRule="auto"/>
        <w:rPr>
          <w:sz w:val="20"/>
          <w:szCs w:val="20"/>
          <w:color w:val="auto"/>
        </w:rPr>
      </w:pPr>
      <w:r>
        <w:rPr>
          <w:rFonts w:ascii="Arial" w:cs="Arial" w:eastAsia="Arial" w:hAnsi="Arial"/>
          <w:sz w:val="18"/>
          <w:szCs w:val="18"/>
          <w:color w:val="auto"/>
        </w:rPr>
        <w:t>5,788,878</w:t>
      </w:r>
    </w:p>
    <w:p>
      <w:pPr>
        <w:jc w:val="right"/>
        <w:ind w:right="80"/>
        <w:spacing w:after="0"/>
        <w:rPr>
          <w:sz w:val="20"/>
          <w:szCs w:val="20"/>
          <w:color w:val="auto"/>
        </w:rPr>
      </w:pPr>
      <w:r>
        <w:rPr>
          <w:rFonts w:ascii="Arial" w:cs="Arial" w:eastAsia="Arial" w:hAnsi="Arial"/>
          <w:sz w:val="18"/>
          <w:szCs w:val="18"/>
          <w:color w:val="auto"/>
        </w:rPr>
        <w:t>3,805,567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-3175</wp:posOffset>
            </wp:positionV>
            <wp:extent cx="2400300" cy="163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00300" cy="163195"/>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8"/>
          <w:szCs w:val="18"/>
          <w:color w:val="auto"/>
        </w:rPr>
        <w:t>14,851,007</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December 31, 2021</w:t>
      </w:r>
      <w:r>
        <w:rPr>
          <w:sz w:val="20"/>
          <w:szCs w:val="20"/>
          <w:color w:val="auto"/>
        </w:rPr>
        <w:tab/>
      </w: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8890</wp:posOffset>
            </wp:positionV>
            <wp:extent cx="222885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14,851,007</w:t>
      </w: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225,945</w:t>
      </w: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w:t>
      </w:r>
    </w:p>
    <w:p>
      <w:pPr>
        <w:spacing w:after="0" w:line="1" w:lineRule="exact"/>
        <w:rPr>
          <w:sz w:val="20"/>
          <w:szCs w:val="20"/>
          <w:color w:val="auto"/>
        </w:rPr>
      </w:pPr>
    </w:p>
    <w:p>
      <w:pPr>
        <w:ind w:left="800"/>
        <w:spacing w:after="0"/>
        <w:tabs>
          <w:tab w:leader="none" w:pos="2660" w:val="left"/>
        </w:tabs>
        <w:rPr>
          <w:sz w:val="20"/>
          <w:szCs w:val="20"/>
          <w:color w:val="auto"/>
        </w:rPr>
      </w:pPr>
      <w:r>
        <w:rPr>
          <w:rFonts w:ascii="Arial" w:cs="Arial" w:eastAsia="Arial" w:hAnsi="Arial"/>
          <w:sz w:val="16"/>
          <w:szCs w:val="16"/>
          <w:color w:val="auto"/>
        </w:rPr>
        <w:t>5,754,005</w:t>
      </w:r>
      <w:r>
        <w:rPr>
          <w:sz w:val="20"/>
          <w:szCs w:val="20"/>
          <w:color w:val="auto"/>
        </w:rPr>
        <w:tab/>
      </w:r>
      <w:r>
        <w:rPr>
          <w:rFonts w:ascii="Arial" w:cs="Arial" w:eastAsia="Arial" w:hAnsi="Arial"/>
          <w:sz w:val="16"/>
          <w:szCs w:val="16"/>
          <w:color w:val="auto"/>
        </w:rPr>
        <w:t>4,201,935</w:t>
      </w:r>
    </w:p>
    <w:p>
      <w:pPr>
        <w:spacing w:after="0" w:line="14" w:lineRule="exact"/>
        <w:rPr>
          <w:sz w:val="20"/>
          <w:szCs w:val="20"/>
          <w:color w:val="auto"/>
        </w:rPr>
      </w:pPr>
    </w:p>
    <w:p>
      <w:pPr>
        <w:ind w:left="940"/>
        <w:spacing w:after="0"/>
        <w:tabs>
          <w:tab w:leader="none" w:pos="3200" w:val="left"/>
        </w:tabs>
        <w:rPr>
          <w:sz w:val="20"/>
          <w:szCs w:val="20"/>
          <w:color w:val="auto"/>
        </w:rPr>
      </w:pPr>
      <w:r>
        <w:rPr>
          <w:rFonts w:ascii="Arial" w:cs="Arial" w:eastAsia="Arial" w:hAnsi="Arial"/>
          <w:sz w:val="18"/>
          <w:szCs w:val="18"/>
          <w:color w:val="auto"/>
        </w:rPr>
        <w:t>640,479</w:t>
      </w:r>
      <w:r>
        <w:rPr>
          <w:sz w:val="20"/>
          <w:szCs w:val="20"/>
          <w:color w:val="auto"/>
        </w:rPr>
        <w:tab/>
      </w:r>
      <w:r>
        <w:rPr>
          <w:rFonts w:ascii="Arial" w:cs="Arial" w:eastAsia="Arial" w:hAnsi="Arial"/>
          <w:sz w:val="18"/>
          <w:szCs w:val="18"/>
          <w:color w:val="auto"/>
        </w:rPr>
        <w:t>—</w:t>
      </w:r>
    </w:p>
    <w:p>
      <w:pPr>
        <w:ind w:left="940"/>
        <w:spacing w:after="0"/>
        <w:tabs>
          <w:tab w:leader="none" w:pos="3200" w:val="left"/>
        </w:tabs>
        <w:rPr>
          <w:sz w:val="20"/>
          <w:szCs w:val="20"/>
          <w:color w:val="auto"/>
        </w:rPr>
      </w:pPr>
      <w:r>
        <w:rPr>
          <w:rFonts w:ascii="Arial" w:cs="Arial" w:eastAsia="Arial" w:hAnsi="Arial"/>
          <w:sz w:val="18"/>
          <w:szCs w:val="18"/>
          <w:color w:val="auto"/>
        </w:rPr>
        <w:t>484,027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-3175</wp:posOffset>
            </wp:positionV>
            <wp:extent cx="22288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jc w:val="both"/>
        <w:ind w:left="800"/>
        <w:spacing w:after="0"/>
        <w:tabs>
          <w:tab w:leader="none" w:pos="2560" w:val="left"/>
        </w:tabs>
        <w:rPr>
          <w:sz w:val="20"/>
          <w:szCs w:val="20"/>
          <w:color w:val="auto"/>
        </w:rPr>
      </w:pPr>
      <w:r>
        <w:rPr>
          <w:rFonts w:ascii="Arial" w:cs="Arial" w:eastAsia="Arial" w:hAnsi="Arial"/>
          <w:sz w:val="18"/>
          <w:szCs w:val="18"/>
          <w:color w:val="auto"/>
        </w:rPr>
        <w:t>6,878,511</w:t>
      </w:r>
      <w:r>
        <w:rPr>
          <w:sz w:val="20"/>
          <w:szCs w:val="20"/>
          <w:color w:val="auto"/>
        </w:rPr>
        <w:tab/>
      </w:r>
      <w:r>
        <w:rPr>
          <w:rFonts w:ascii="Arial" w:cs="Arial" w:eastAsia="Arial" w:hAnsi="Arial"/>
          <w:sz w:val="18"/>
          <w:szCs w:val="18"/>
          <w:color w:val="auto"/>
        </w:rPr>
        <w:t>19,278,888</w:t>
      </w:r>
    </w:p>
    <w:p>
      <w:pPr>
        <w:spacing w:after="0" w:line="226" w:lineRule="exact"/>
        <w:rPr>
          <w:sz w:val="20"/>
          <w:szCs w:val="20"/>
          <w:color w:val="auto"/>
        </w:rPr>
      </w:pPr>
    </w:p>
    <w:p>
      <w:pPr>
        <w:sectPr>
          <w:pgSz w:w="11900" w:h="16838" w:orient="portrait"/>
          <w:cols w:equalWidth="0" w:num="2">
            <w:col w:w="7040" w:space="720"/>
            <w:col w:w="3480"/>
          </w:cols>
          <w:pgMar w:left="320" w:top="476" w:right="3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Note 11 – Convertible Preferred Stock Warrants</w:t>
      </w:r>
    </w:p>
    <w:p>
      <w:pPr>
        <w:spacing w:after="0" w:line="148" w:lineRule="exact"/>
        <w:rPr>
          <w:sz w:val="20"/>
          <w:szCs w:val="20"/>
          <w:color w:val="auto"/>
        </w:rPr>
      </w:pPr>
    </w:p>
    <w:p>
      <w:pPr>
        <w:ind w:right="100" w:firstLine="374"/>
        <w:spacing w:after="0" w:line="252" w:lineRule="auto"/>
        <w:rPr>
          <w:sz w:val="20"/>
          <w:szCs w:val="20"/>
          <w:color w:val="auto"/>
        </w:rPr>
      </w:pPr>
      <w:r>
        <w:rPr>
          <w:rFonts w:ascii="Arial" w:cs="Arial" w:eastAsia="Arial" w:hAnsi="Arial"/>
          <w:sz w:val="17"/>
          <w:szCs w:val="17"/>
          <w:color w:val="auto"/>
        </w:rPr>
        <w:t>Series F, G and H convertible preferred stock warrants were recorded at fair value at issuance and were revalued as of each reporting date until exercised or expired. The fair value of Series F, G and H convertible preferred stock warrants was determined with the assistance of valuation specialists using a PWERM/OPM hybrid method. This method essentially utilizes a combination of market and income method approaches for each part of the calculation of enterprise value and combines them in a probabilistic manner. The valuation considered several future scenarios for the Company, each of which assumes a shareholder exit either through initial public offering, sale (“M&amp;A”) or dissolution. Based upon the current initial public offering market, M&amp;A values for private companies and the historical likelihood of dissolution or no exit, the Company concluded that the probabilities and time frames were reasonable. Implicit in the timing used in the application of the PWERM/OPM Hybrid Method is also the possibility of no exit. The model’s inputs included: (1) the assumed time until a liquidity event, (2) the risk-free interest rate over the period until the assumed liquidity event, (3) 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scenario probability-weighted assumptions were used to revalue the convertible preferred stock warrants to fair value: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3760" w:type="dxa"/>
            <w:vAlign w:val="bottom"/>
          </w:tcPr>
          <w:p>
            <w:pPr>
              <w:jc w:val="center"/>
              <w:ind w:left="1839"/>
              <w:spacing w:after="0"/>
              <w:rPr>
                <w:sz w:val="20"/>
                <w:szCs w:val="20"/>
                <w:color w:val="auto"/>
              </w:rPr>
            </w:pPr>
            <w:r>
              <w:rPr>
                <w:rFonts w:ascii="Arial" w:cs="Arial" w:eastAsia="Arial" w:hAnsi="Arial"/>
                <w:sz w:val="16"/>
                <w:szCs w:val="16"/>
                <w:b w:val="1"/>
                <w:bCs w:val="1"/>
                <w:color w:val="auto"/>
                <w:w w:val="90"/>
              </w:rPr>
              <w:t>Year ended December 31,</w:t>
            </w:r>
          </w:p>
        </w:tc>
        <w:tc>
          <w:tcPr>
            <w:tcW w:w="1900" w:type="dxa"/>
            <w:vAlign w:val="bottom"/>
          </w:tcPr>
          <w:p>
            <w:pPr>
              <w:spacing w:after="0"/>
              <w:rPr>
                <w:sz w:val="16"/>
                <w:szCs w:val="16"/>
                <w:color w:val="auto"/>
              </w:rPr>
            </w:pPr>
          </w:p>
        </w:tc>
      </w:tr>
      <w:tr>
        <w:trPr>
          <w:trHeight w:val="203"/>
        </w:trPr>
        <w:tc>
          <w:tcPr>
            <w:tcW w:w="5580" w:type="dxa"/>
            <w:vAlign w:val="bottom"/>
          </w:tcPr>
          <w:p>
            <w:pPr>
              <w:spacing w:after="0"/>
              <w:rPr>
                <w:sz w:val="17"/>
                <w:szCs w:val="17"/>
                <w:color w:val="auto"/>
              </w:rPr>
            </w:pPr>
          </w:p>
        </w:tc>
        <w:tc>
          <w:tcPr>
            <w:tcW w:w="3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900" w:type="dxa"/>
            <w:vAlign w:val="bottom"/>
            <w:tcBorders>
              <w:bottom w:val="single" w:sz="8" w:color="auto"/>
            </w:tcBorders>
          </w:tcPr>
          <w:p>
            <w:pPr>
              <w:spacing w:after="0"/>
              <w:rPr>
                <w:sz w:val="17"/>
                <w:szCs w:val="17"/>
                <w:color w:val="auto"/>
              </w:rPr>
            </w:pPr>
          </w:p>
        </w:tc>
      </w:tr>
      <w:tr>
        <w:trPr>
          <w:trHeight w:val="183"/>
        </w:trPr>
        <w:tc>
          <w:tcPr>
            <w:tcW w:w="5580" w:type="dxa"/>
            <w:vAlign w:val="bottom"/>
          </w:tcPr>
          <w:p>
            <w:pPr>
              <w:spacing w:after="0"/>
              <w:rPr>
                <w:sz w:val="15"/>
                <w:szCs w:val="15"/>
                <w:color w:val="auto"/>
              </w:rPr>
            </w:pPr>
          </w:p>
        </w:tc>
        <w:tc>
          <w:tcPr>
            <w:tcW w:w="3760" w:type="dxa"/>
            <w:vAlign w:val="bottom"/>
            <w:tcBorders>
              <w:bottom w:val="single" w:sz="8" w:color="auto"/>
            </w:tcBorders>
          </w:tcPr>
          <w:p>
            <w:pPr>
              <w:jc w:val="center"/>
              <w:ind w:right="759"/>
              <w:spacing w:after="0" w:line="183" w:lineRule="exact"/>
              <w:rPr>
                <w:sz w:val="20"/>
                <w:szCs w:val="20"/>
                <w:color w:val="auto"/>
              </w:rPr>
            </w:pPr>
            <w:r>
              <w:rPr>
                <w:rFonts w:ascii="Arial" w:cs="Arial" w:eastAsia="Arial" w:hAnsi="Arial"/>
                <w:sz w:val="16"/>
                <w:szCs w:val="16"/>
                <w:b w:val="1"/>
                <w:bCs w:val="1"/>
                <w:color w:val="auto"/>
                <w:w w:val="89"/>
              </w:rPr>
              <w:t>Range</w:t>
            </w:r>
          </w:p>
        </w:tc>
        <w:tc>
          <w:tcPr>
            <w:tcW w:w="1900" w:type="dxa"/>
            <w:vAlign w:val="bottom"/>
            <w:tcBorders>
              <w:bottom w:val="single" w:sz="8" w:color="auto"/>
            </w:tcBorders>
          </w:tcPr>
          <w:p>
            <w:pPr>
              <w:jc w:val="center"/>
              <w:ind w:right="459"/>
              <w:spacing w:after="0" w:line="183" w:lineRule="exact"/>
              <w:rPr>
                <w:sz w:val="20"/>
                <w:szCs w:val="20"/>
                <w:color w:val="auto"/>
              </w:rPr>
            </w:pPr>
            <w:r>
              <w:rPr>
                <w:rFonts w:ascii="Arial" w:cs="Arial" w:eastAsia="Arial" w:hAnsi="Arial"/>
                <w:sz w:val="16"/>
                <w:szCs w:val="16"/>
                <w:b w:val="1"/>
                <w:bCs w:val="1"/>
                <w:color w:val="auto"/>
                <w:w w:val="90"/>
              </w:rPr>
              <w:t>Weighted average</w:t>
            </w:r>
          </w:p>
        </w:tc>
      </w:tr>
      <w:tr>
        <w:trPr>
          <w:trHeight w:val="183"/>
        </w:trPr>
        <w:tc>
          <w:tcPr>
            <w:tcW w:w="5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Expected volatility</w:t>
            </w:r>
          </w:p>
        </w:tc>
        <w:tc>
          <w:tcPr>
            <w:tcW w:w="3760" w:type="dxa"/>
            <w:vAlign w:val="bottom"/>
            <w:shd w:val="clear" w:color="auto" w:fill="CFF0FC"/>
          </w:tcPr>
          <w:p>
            <w:pPr>
              <w:jc w:val="center"/>
              <w:ind w:right="759"/>
              <w:spacing w:after="0" w:line="183" w:lineRule="exact"/>
              <w:rPr>
                <w:sz w:val="20"/>
                <w:szCs w:val="20"/>
                <w:color w:val="auto"/>
              </w:rPr>
            </w:pPr>
            <w:r>
              <w:rPr>
                <w:rFonts w:ascii="Arial" w:cs="Arial" w:eastAsia="Arial" w:hAnsi="Arial"/>
                <w:sz w:val="16"/>
                <w:szCs w:val="16"/>
                <w:color w:val="auto"/>
                <w:w w:val="92"/>
              </w:rPr>
              <w:t>83.4% to 97.4%</w:t>
            </w:r>
          </w:p>
        </w:tc>
        <w:tc>
          <w:tcPr>
            <w:tcW w:w="1900" w:type="dxa"/>
            <w:vAlign w:val="bottom"/>
            <w:shd w:val="clear" w:color="auto" w:fill="CFF0FC"/>
          </w:tcPr>
          <w:p>
            <w:pPr>
              <w:jc w:val="center"/>
              <w:ind w:right="479"/>
              <w:spacing w:after="0" w:line="183" w:lineRule="exact"/>
              <w:rPr>
                <w:sz w:val="20"/>
                <w:szCs w:val="20"/>
                <w:color w:val="auto"/>
              </w:rPr>
            </w:pPr>
            <w:r>
              <w:rPr>
                <w:rFonts w:ascii="Arial" w:cs="Arial" w:eastAsia="Arial" w:hAnsi="Arial"/>
                <w:sz w:val="16"/>
                <w:szCs w:val="16"/>
                <w:color w:val="auto"/>
                <w:w w:val="92"/>
              </w:rPr>
              <w:t>94.6%</w:t>
            </w:r>
          </w:p>
        </w:tc>
      </w:tr>
      <w:tr>
        <w:trPr>
          <w:trHeight w:val="189"/>
        </w:trPr>
        <w:tc>
          <w:tcPr>
            <w:tcW w:w="5580" w:type="dxa"/>
            <w:vAlign w:val="bottom"/>
          </w:tcPr>
          <w:p>
            <w:pPr>
              <w:ind w:left="20"/>
              <w:spacing w:after="0"/>
              <w:rPr>
                <w:sz w:val="20"/>
                <w:szCs w:val="20"/>
                <w:color w:val="auto"/>
              </w:rPr>
            </w:pPr>
            <w:r>
              <w:rPr>
                <w:rFonts w:ascii="Arial" w:cs="Arial" w:eastAsia="Arial" w:hAnsi="Arial"/>
                <w:sz w:val="16"/>
                <w:szCs w:val="16"/>
                <w:color w:val="auto"/>
              </w:rPr>
              <w:t>Risk adjusted discount factor</w:t>
            </w:r>
          </w:p>
        </w:tc>
        <w:tc>
          <w:tcPr>
            <w:tcW w:w="3760" w:type="dxa"/>
            <w:vAlign w:val="bottom"/>
          </w:tcPr>
          <w:p>
            <w:pPr>
              <w:jc w:val="center"/>
              <w:ind w:right="759"/>
              <w:spacing w:after="0"/>
              <w:rPr>
                <w:sz w:val="20"/>
                <w:szCs w:val="20"/>
                <w:color w:val="auto"/>
              </w:rPr>
            </w:pPr>
            <w:r>
              <w:rPr>
                <w:rFonts w:ascii="Arial" w:cs="Arial" w:eastAsia="Arial" w:hAnsi="Arial"/>
                <w:sz w:val="16"/>
                <w:szCs w:val="16"/>
                <w:color w:val="auto"/>
                <w:w w:val="92"/>
              </w:rPr>
              <w:t>16% to 31%</w:t>
            </w:r>
          </w:p>
        </w:tc>
        <w:tc>
          <w:tcPr>
            <w:tcW w:w="1900" w:type="dxa"/>
            <w:vAlign w:val="bottom"/>
          </w:tcPr>
          <w:p>
            <w:pPr>
              <w:jc w:val="center"/>
              <w:ind w:right="479"/>
              <w:spacing w:after="0"/>
              <w:rPr>
                <w:sz w:val="20"/>
                <w:szCs w:val="20"/>
                <w:color w:val="auto"/>
              </w:rPr>
            </w:pPr>
            <w:r>
              <w:rPr>
                <w:rFonts w:ascii="Arial" w:cs="Arial" w:eastAsia="Arial" w:hAnsi="Arial"/>
                <w:sz w:val="16"/>
                <w:szCs w:val="16"/>
                <w:color w:val="auto"/>
                <w:w w:val="93"/>
              </w:rPr>
              <w:t>25%</w:t>
            </w:r>
          </w:p>
        </w:tc>
      </w:tr>
      <w:tr>
        <w:trPr>
          <w:trHeight w:val="18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life (in years)</w:t>
            </w:r>
          </w:p>
        </w:tc>
        <w:tc>
          <w:tcPr>
            <w:tcW w:w="3760" w:type="dxa"/>
            <w:vAlign w:val="bottom"/>
            <w:shd w:val="clear" w:color="auto" w:fill="CFF0FC"/>
          </w:tcPr>
          <w:p>
            <w:pPr>
              <w:jc w:val="center"/>
              <w:ind w:right="759"/>
              <w:spacing w:after="0"/>
              <w:rPr>
                <w:sz w:val="20"/>
                <w:szCs w:val="20"/>
                <w:color w:val="auto"/>
              </w:rPr>
            </w:pPr>
            <w:r>
              <w:rPr>
                <w:rFonts w:ascii="Arial" w:cs="Arial" w:eastAsia="Arial" w:hAnsi="Arial"/>
                <w:sz w:val="16"/>
                <w:szCs w:val="16"/>
                <w:color w:val="auto"/>
                <w:w w:val="90"/>
              </w:rPr>
              <w:t>0.4 to 2.0 years</w:t>
            </w:r>
          </w:p>
        </w:tc>
        <w:tc>
          <w:tcPr>
            <w:tcW w:w="1900" w:type="dxa"/>
            <w:vAlign w:val="bottom"/>
            <w:shd w:val="clear" w:color="auto" w:fill="CFF0FC"/>
          </w:tcPr>
          <w:p>
            <w:pPr>
              <w:jc w:val="center"/>
              <w:ind w:right="479"/>
              <w:spacing w:after="0"/>
              <w:rPr>
                <w:sz w:val="20"/>
                <w:szCs w:val="20"/>
                <w:color w:val="auto"/>
              </w:rPr>
            </w:pPr>
            <w:r>
              <w:rPr>
                <w:rFonts w:ascii="Arial" w:cs="Arial" w:eastAsia="Arial" w:hAnsi="Arial"/>
                <w:sz w:val="16"/>
                <w:szCs w:val="16"/>
                <w:color w:val="auto"/>
                <w:w w:val="88"/>
              </w:rPr>
              <w:t>1.1 years</w:t>
            </w:r>
          </w:p>
        </w:tc>
      </w:tr>
      <w:tr>
        <w:trPr>
          <w:trHeight w:val="206"/>
        </w:trPr>
        <w:tc>
          <w:tcPr>
            <w:tcW w:w="55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760" w:type="dxa"/>
            <w:vAlign w:val="bottom"/>
          </w:tcPr>
          <w:p>
            <w:pPr>
              <w:jc w:val="center"/>
              <w:ind w:right="779"/>
              <w:spacing w:after="0"/>
              <w:rPr>
                <w:sz w:val="20"/>
                <w:szCs w:val="20"/>
                <w:color w:val="auto"/>
              </w:rPr>
            </w:pPr>
            <w:r>
              <w:rPr>
                <w:rFonts w:ascii="Arial" w:cs="Arial" w:eastAsia="Arial" w:hAnsi="Arial"/>
                <w:sz w:val="16"/>
                <w:szCs w:val="16"/>
                <w:color w:val="auto"/>
                <w:w w:val="93"/>
              </w:rPr>
              <w:t>0.0%</w:t>
            </w:r>
          </w:p>
        </w:tc>
        <w:tc>
          <w:tcPr>
            <w:tcW w:w="1900" w:type="dxa"/>
            <w:vAlign w:val="bottom"/>
          </w:tcPr>
          <w:p>
            <w:pPr>
              <w:jc w:val="center"/>
              <w:ind w:right="479"/>
              <w:spacing w:after="0"/>
              <w:rPr>
                <w:sz w:val="20"/>
                <w:szCs w:val="20"/>
                <w:color w:val="auto"/>
              </w:rPr>
            </w:pPr>
            <w:r>
              <w:rPr>
                <w:rFonts w:ascii="Arial" w:cs="Arial" w:eastAsia="Arial" w:hAnsi="Arial"/>
                <w:sz w:val="16"/>
                <w:szCs w:val="16"/>
                <w:color w:val="auto"/>
                <w:w w:val="93"/>
              </w:rPr>
              <w:t>0.0%</w:t>
            </w:r>
          </w:p>
        </w:tc>
      </w:tr>
    </w:tbl>
    <w:p>
      <w:pPr>
        <w:spacing w:after="0" w:line="319" w:lineRule="exact"/>
        <w:rPr>
          <w:sz w:val="20"/>
          <w:szCs w:val="20"/>
          <w:color w:val="auto"/>
        </w:rPr>
      </w:pPr>
    </w:p>
    <w:p>
      <w:pPr>
        <w:jc w:val="both"/>
        <w:ind w:right="80" w:firstLine="374"/>
        <w:spacing w:after="0" w:line="271" w:lineRule="auto"/>
        <w:rPr>
          <w:sz w:val="20"/>
          <w:szCs w:val="20"/>
          <w:color w:val="auto"/>
        </w:rPr>
      </w:pPr>
      <w:r>
        <w:rPr>
          <w:rFonts w:ascii="Arial" w:cs="Arial" w:eastAsia="Arial" w:hAnsi="Arial"/>
          <w:sz w:val="16"/>
          <w:szCs w:val="16"/>
          <w:color w:val="auto"/>
        </w:rPr>
        <w:t>In February and March 2017, the Company issued 260,434 warrants to purchase shares of Series H convertible preferred stock with an exercise price of $12.40. Series H warrants were initially issued with a five-year life; in November 2017, they were extended another five years to 2027. As of December 31, 2020, the Company had 225,945 Series H warrants outstanding. The fair value of Series H warrants was $16.95 per share as of December 31, 2020.</w:t>
      </w:r>
    </w:p>
    <w:p>
      <w:pPr>
        <w:ind w:right="380"/>
        <w:spacing w:after="0" w:line="239" w:lineRule="auto"/>
        <w:rPr>
          <w:sz w:val="20"/>
          <w:szCs w:val="20"/>
          <w:color w:val="auto"/>
        </w:rPr>
      </w:pPr>
      <w:r>
        <w:rPr>
          <w:rFonts w:ascii="Arial" w:cs="Arial" w:eastAsia="Arial" w:hAnsi="Arial"/>
          <w:sz w:val="18"/>
          <w:szCs w:val="18"/>
          <w:color w:val="auto"/>
        </w:rPr>
        <w:t>Thus, outstanding Series H warrants had an estimated fair value of $3.8 million as of December 31, 2020. There were 225,945 exercises of Series H warrants which were converted into 100,261 shares of common stock during the year ended December 31, 2021. During the year ended December 31, 2020, 1,817 Series H warrants were exercised.</w:t>
      </w:r>
    </w:p>
    <w:p>
      <w:pPr>
        <w:spacing w:after="0" w:line="122" w:lineRule="exact"/>
        <w:rPr>
          <w:sz w:val="20"/>
          <w:szCs w:val="20"/>
          <w:color w:val="auto"/>
        </w:rPr>
      </w:pPr>
    </w:p>
    <w:p>
      <w:pPr>
        <w:ind w:right="20" w:firstLine="374"/>
        <w:spacing w:after="0" w:line="294" w:lineRule="auto"/>
        <w:rPr>
          <w:sz w:val="20"/>
          <w:szCs w:val="20"/>
          <w:color w:val="auto"/>
        </w:rPr>
      </w:pPr>
      <w:r>
        <w:rPr>
          <w:rFonts w:ascii="Arial" w:cs="Arial" w:eastAsia="Arial" w:hAnsi="Arial"/>
          <w:sz w:val="16"/>
          <w:szCs w:val="16"/>
          <w:color w:val="auto"/>
        </w:rPr>
        <w:t>As of December 31, 2020, the Series H warrants were classified as liabilities on the accompanying consolidated balance sheets and re-measured at fair value as of each balance sheet date. Changes in fair value were recognized as a component of other income (expense) in the accompanying Consolidated Statements of Operations and Comprehensive (Loss) Income. As of December 31, 2021, no Series H convertible preferred stock warrants are outstanding.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 expense</w:t>
      </w:r>
    </w:p>
    <w:p>
      <w:pPr>
        <w:spacing w:after="0" w:line="108" w:lineRule="exact"/>
        <w:rPr>
          <w:sz w:val="20"/>
          <w:szCs w:val="20"/>
          <w:color w:val="auto"/>
        </w:rPr>
      </w:pPr>
    </w:p>
    <w:p>
      <w:pPr>
        <w:ind w:right="380" w:firstLine="374"/>
        <w:spacing w:after="0" w:line="261" w:lineRule="auto"/>
        <w:rPr>
          <w:sz w:val="20"/>
          <w:szCs w:val="20"/>
          <w:color w:val="auto"/>
        </w:rPr>
      </w:pPr>
      <w:r>
        <w:rPr>
          <w:rFonts w:ascii="Arial" w:cs="Arial" w:eastAsia="Arial" w:hAnsi="Arial"/>
          <w:sz w:val="18"/>
          <w:szCs w:val="18"/>
          <w:color w:val="auto"/>
        </w:rPr>
        <w:t>The Company has three equity incentive compensation plans, the Calhoun Vision, Inc. 2015 Equity Incentive Plan, the Calhoun Vision, Inc. 2006 Stock Plan, and the 2021 Equity Incentive Plan (collectively the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Plan</w:t>
      </w:r>
    </w:p>
    <w:p>
      <w:pPr>
        <w:spacing w:after="0" w:line="104" w:lineRule="exact"/>
        <w:rPr>
          <w:sz w:val="20"/>
          <w:szCs w:val="20"/>
          <w:color w:val="auto"/>
        </w:rPr>
      </w:pPr>
    </w:p>
    <w:p>
      <w:pPr>
        <w:ind w:right="280" w:firstLine="374"/>
        <w:spacing w:after="0" w:line="248" w:lineRule="auto"/>
        <w:rPr>
          <w:sz w:val="20"/>
          <w:szCs w:val="20"/>
          <w:color w:val="auto"/>
        </w:rPr>
      </w:pPr>
      <w:r>
        <w:rPr>
          <w:rFonts w:ascii="Arial" w:cs="Arial" w:eastAsia="Arial" w:hAnsi="Arial"/>
          <w:sz w:val="18"/>
          <w:szCs w:val="18"/>
          <w:color w:val="auto"/>
        </w:rPr>
        <w:t>The Company’s 2006 Stock Plan (the “2006 Plan”) was originally adopted by the Company's Board of Directors and approved by the Company’s stockholders in 2006. The Company’s 2006 Plan was terminated in 2015 in connection with the adoption of the Company’s 2015 Plan and as a result no new awards may be issued under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2006 Plan. However, the 2006 Plan will continue to govern the terms and conditions of the outstanding awards previously granted under the 2006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04" w:lineRule="exact"/>
        <w:rPr>
          <w:sz w:val="20"/>
          <w:szCs w:val="20"/>
          <w:color w:val="auto"/>
        </w:rPr>
      </w:pPr>
    </w:p>
    <w:p>
      <w:pPr>
        <w:jc w:val="both"/>
        <w:ind w:right="320" w:firstLine="374"/>
        <w:spacing w:after="0" w:line="262" w:lineRule="auto"/>
        <w:rPr>
          <w:sz w:val="20"/>
          <w:szCs w:val="20"/>
          <w:color w:val="auto"/>
        </w:rPr>
      </w:pPr>
      <w:r>
        <w:rPr>
          <w:rFonts w:ascii="Arial" w:cs="Arial" w:eastAsia="Arial" w:hAnsi="Arial"/>
          <w:sz w:val="17"/>
          <w:szCs w:val="17"/>
          <w:color w:val="auto"/>
        </w:rPr>
        <w:t>The Company’s 2015 Equity Incentive Plan (the “2015 Plan”) was originally adopted by the Company’s Board of Directors and approved by the Company’s stockholders in 2015. The 2015 Plan was most recently amended in March 2021. In July 2021, upon completion of the IPO, the 2015 Plan terminated immediately prior to effectiveness of the 2021 Equity Incentive Plan with respect to the grant of future awards. However, the 2015 Plan will continue to govern the terms and conditions of the outstanding awards previously granted under the 2015 Plan.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04"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On July 28, 2021, the Company’s 2021 Equity Incentive Plan (the “2021 Plan”), was adopted and approved by the Company’s Board of Directors and stockholders prior to the IPO and became effective. The 2021 Plan provides for the grant of incentive stock options to employees and any subsidiary corporations’ employees, and for the grant of nonstatutory stock options, stock appreciation rights, restricted stock, restricted stock units, or (“RSUs”), and performance awards to employees, directors, and consultants and subsidiary corporations’ employees and consultants. The number of shares of the Company’s common stock available for issuance under the 2021 Plan is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is equal to 4,569,530 shares of common stock.</w:t>
      </w:r>
    </w:p>
    <w:p>
      <w:pPr>
        <w:spacing w:after="0" w:line="116"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The number of common shares reserved for issuance under the 2021 Plan will be increased automatically on the first day of each fiscal year beginning with the 2022 fiscal year and ending on the ten year anniversary of the date the Board of Directors approved the 2021 Plan, by a number equal to the least of: (i) 7,260,406 shares of our common stock; (ii) 4% of the outstanding shares of our common stock on the last day of our immediately preceding fiscal year; or (iii) such lesser number of shares of our common stock as the administrator may determine. The 2021 Plan is administered by the Company’s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31"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On July 28, 2021, the Company’s Board of Directors and stockholders adopted and approved the Company’s 2021 Employee Stock Purchase Plan (“2021 ESPP”). The number of shares of the Company’s common stock available for issuance under the 2021 ESPP is equal to 484,027 shares of common stock.</w:t>
      </w:r>
    </w:p>
    <w:p>
      <w:pPr>
        <w:spacing w:after="0" w:line="114"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generally provides for two six-month purchase periods every twelve months: May 1 through October 31 and November 1 through April 30. The initial purchase period began on November 1, 2021.</w:t>
      </w:r>
    </w:p>
    <w:p>
      <w:pPr>
        <w:spacing w:after="0" w:line="120" w:lineRule="exact"/>
        <w:rPr>
          <w:sz w:val="20"/>
          <w:szCs w:val="20"/>
          <w:color w:val="auto"/>
        </w:rPr>
      </w:pPr>
    </w:p>
    <w:p>
      <w:pPr>
        <w:ind w:right="180" w:firstLine="374"/>
        <w:spacing w:after="0" w:line="243" w:lineRule="auto"/>
        <w:rPr>
          <w:sz w:val="20"/>
          <w:szCs w:val="20"/>
          <w:color w:val="auto"/>
        </w:rPr>
      </w:pPr>
      <w:r>
        <w:rPr>
          <w:rFonts w:ascii="Arial" w:cs="Arial" w:eastAsia="Arial" w:hAnsi="Arial"/>
          <w:sz w:val="18"/>
          <w:szCs w:val="18"/>
          <w:color w:val="auto"/>
        </w:rPr>
        <w:t>The number of common shares reserved for issuance under the 2021 ESPP plan will be increased automatically on the first day of each fiscal year beginning with our 2022 fiscal year, by a number equal to the least of: (i) 1,452,081 shares; (ii) 1% of the outstanding shares of our common stock on the last day of our immediately preceding fiscal year; or (iii) such other amount as the administrator may determine. The 2021 ESPP is administered by the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4" w:lineRule="exact"/>
        <w:rPr>
          <w:sz w:val="20"/>
          <w:szCs w:val="20"/>
          <w:color w:val="auto"/>
        </w:rPr>
      </w:pPr>
    </w:p>
    <w:p>
      <w:pPr>
        <w:ind w:right="120" w:firstLine="374"/>
        <w:spacing w:after="0" w:line="270" w:lineRule="auto"/>
        <w:rPr>
          <w:sz w:val="20"/>
          <w:szCs w:val="20"/>
          <w:color w:val="auto"/>
        </w:rPr>
      </w:pPr>
      <w:r>
        <w:rPr>
          <w:rFonts w:ascii="Arial" w:cs="Arial" w:eastAsia="Arial" w:hAnsi="Arial"/>
          <w:sz w:val="17"/>
          <w:szCs w:val="17"/>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96"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Stock option awards are generally granted with an exercise price of no less than 100% of estimated fair market value on the date of grant. Time based awards generally vest over four years as follows: one fourth of the total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3" w:name="page144"/>
    <w:bookmarkEnd w:id="143"/>
    <w:p>
      <w:pPr>
        <w:ind w:right="420"/>
        <w:spacing w:after="0" w:line="261" w:lineRule="auto"/>
        <w:rPr>
          <w:sz w:val="20"/>
          <w:szCs w:val="20"/>
          <w:color w:val="auto"/>
        </w:rPr>
      </w:pPr>
      <w:r>
        <w:rPr>
          <w:rFonts w:ascii="Arial" w:cs="Arial" w:eastAsia="Arial" w:hAnsi="Arial"/>
          <w:sz w:val="18"/>
          <w:szCs w:val="18"/>
          <w:color w:val="auto"/>
        </w:rPr>
        <w:t>number of shares vest and become exercisable on the one-year anniversary; 1/48th of the total number of shares subject to the option vest and become exercisable on each monthly anniversary thereafter for the remaining three years.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stock option activities related to the Plans, as of and for the year ended December 31, 2021 and 2020 is presented below:</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5"/>
              </w:rPr>
              <w:t>Weighted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 Avg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rPr>
              <w:t>Grant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 Options</w:t>
            </w:r>
          </w:p>
        </w:tc>
        <w:tc>
          <w:tcPr>
            <w:tcW w:w="106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8"/>
              </w:rPr>
              <w:t>Date</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060" w:type="dxa"/>
            <w:vAlign w:val="bottom"/>
          </w:tcPr>
          <w:p>
            <w:pPr>
              <w:jc w:val="center"/>
              <w:ind w:left="341"/>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328"/>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Options outstanding as of December 31, 2019</w:t>
            </w:r>
          </w:p>
        </w:tc>
        <w:tc>
          <w:tcPr>
            <w:tcW w:w="14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3,473,757</w:t>
            </w:r>
          </w:p>
        </w:tc>
        <w:tc>
          <w:tcPr>
            <w:tcW w:w="24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ind w:right="881"/>
              <w:spacing w:after="0" w:line="183"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7.76</w:t>
            </w:r>
          </w:p>
        </w:tc>
        <w:tc>
          <w:tcPr>
            <w:tcW w:w="22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1,156,078</w:t>
            </w:r>
          </w:p>
        </w:tc>
        <w:tc>
          <w:tcPr>
            <w:tcW w:w="240" w:type="dxa"/>
            <w:vAlign w:val="bottom"/>
          </w:tcPr>
          <w:p>
            <w:pPr>
              <w:spacing w:after="0"/>
              <w:rPr>
                <w:sz w:val="16"/>
                <w:szCs w:val="16"/>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15.09</w:t>
            </w:r>
          </w:p>
        </w:tc>
        <w:tc>
          <w:tcPr>
            <w:tcW w:w="128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8.39</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(249,566 )</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1280" w:type="dxa"/>
            <w:vAlign w:val="bottom"/>
            <w:gridSpan w:val="2"/>
            <w:shd w:val="clear" w:color="auto" w:fill="CFF0FC"/>
          </w:tcPr>
          <w:p>
            <w:pPr>
              <w:jc w:val="right"/>
              <w:ind w:right="90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(168,831 )</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18.53</w:t>
            </w:r>
          </w:p>
        </w:tc>
        <w:tc>
          <w:tcPr>
            <w:tcW w:w="128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8.96</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Expired</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(9,503 )</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Borders>
              <w:top w:val="single" w:sz="8" w:color="CFF0FC"/>
            </w:tcBorders>
          </w:tcPr>
          <w:p>
            <w:pPr>
              <w:ind w:left="120"/>
              <w:spacing w:after="0" w:line="183" w:lineRule="exact"/>
              <w:rPr>
                <w:sz w:val="20"/>
                <w:szCs w:val="20"/>
                <w:color w:val="auto"/>
              </w:rPr>
            </w:pPr>
            <w:r>
              <w:rPr>
                <w:rFonts w:ascii="Arial" w:cs="Arial" w:eastAsia="Arial" w:hAnsi="Arial"/>
                <w:sz w:val="16"/>
                <w:szCs w:val="16"/>
                <w:color w:val="auto"/>
              </w:rPr>
              <w:t>Options outstanding as of December 31, 2020</w:t>
            </w: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4,201,935</w:t>
            </w:r>
          </w:p>
        </w:tc>
        <w:tc>
          <w:tcPr>
            <w:tcW w:w="24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jc w:val="right"/>
              <w:ind w:right="881"/>
              <w:spacing w:after="0" w:line="183"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9.57</w:t>
            </w:r>
          </w:p>
        </w:tc>
        <w:tc>
          <w:tcPr>
            <w:tcW w:w="22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2180" w:type="dxa"/>
            <w:vAlign w:val="bottom"/>
            <w:tcBorders>
              <w:top w:val="single" w:sz="8" w:color="CFF0FC"/>
            </w:tcBorders>
            <w:gridSpan w:val="3"/>
          </w:tcPr>
          <w:p>
            <w:pPr>
              <w:jc w:val="right"/>
              <w:spacing w:after="0" w:line="183" w:lineRule="exact"/>
              <w:rPr>
                <w:sz w:val="20"/>
                <w:szCs w:val="20"/>
                <w:color w:val="auto"/>
              </w:rPr>
            </w:pPr>
            <w:r>
              <w:rPr>
                <w:rFonts w:ascii="Arial" w:cs="Arial" w:eastAsia="Arial" w:hAnsi="Arial"/>
                <w:sz w:val="16"/>
                <w:szCs w:val="16"/>
                <w:color w:val="auto"/>
              </w:rPr>
              <w:t>6.46</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Granted</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2,057,113</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881"/>
              <w:spacing w:after="0" w:line="183" w:lineRule="exact"/>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4"/>
              </w:rPr>
              <w:t>14.88</w:t>
            </w:r>
          </w:p>
        </w:tc>
        <w:tc>
          <w:tcPr>
            <w:tcW w:w="1280" w:type="dxa"/>
            <w:vAlign w:val="bottom"/>
            <w:gridSpan w:val="2"/>
            <w:shd w:val="clear" w:color="auto" w:fill="CFF0FC"/>
          </w:tcPr>
          <w:p>
            <w:pPr>
              <w:jc w:val="right"/>
              <w:ind w:right="908"/>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8.53</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(364,504 )</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4.26</w:t>
            </w:r>
          </w:p>
        </w:tc>
        <w:tc>
          <w:tcPr>
            <w:tcW w:w="128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Forfeited</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(111,748 )</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15.67</w:t>
            </w:r>
          </w:p>
        </w:tc>
        <w:tc>
          <w:tcPr>
            <w:tcW w:w="1280" w:type="dxa"/>
            <w:vAlign w:val="bottom"/>
            <w:gridSpan w:val="2"/>
            <w:shd w:val="clear" w:color="auto" w:fill="CFF0FC"/>
          </w:tcPr>
          <w:p>
            <w:pPr>
              <w:jc w:val="right"/>
              <w:ind w:right="90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10.63</w:t>
            </w:r>
          </w:p>
        </w:tc>
        <w:tc>
          <w:tcPr>
            <w:tcW w:w="2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6"/>
                <w:szCs w:val="16"/>
                <w:color w:val="auto"/>
              </w:rPr>
              <w:t>Expired</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(28,791 )</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16.06</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ind w:left="120"/>
              <w:spacing w:after="0" w:line="169" w:lineRule="exact"/>
              <w:rPr>
                <w:sz w:val="20"/>
                <w:szCs w:val="20"/>
                <w:color w:val="auto"/>
              </w:rPr>
            </w:pPr>
            <w:r>
              <w:rPr>
                <w:rFonts w:ascii="Arial" w:cs="Arial" w:eastAsia="Arial" w:hAnsi="Arial"/>
                <w:sz w:val="16"/>
                <w:szCs w:val="16"/>
                <w:color w:val="auto"/>
              </w:rPr>
              <w:t>Options outstanding as of December 31, 2021</w:t>
            </w: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5,754,005</w:t>
            </w: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ind w:right="881"/>
              <w:spacing w:after="0" w:line="169"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4"/>
              </w:rPr>
              <w:t>11.64</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gridSpan w:val="3"/>
            <w:shd w:val="clear" w:color="auto" w:fill="CFF0FC"/>
          </w:tcPr>
          <w:p>
            <w:pPr>
              <w:jc w:val="right"/>
              <w:spacing w:after="0" w:line="169" w:lineRule="exact"/>
              <w:rPr>
                <w:sz w:val="20"/>
                <w:szCs w:val="20"/>
                <w:color w:val="auto"/>
              </w:rPr>
            </w:pPr>
            <w:r>
              <w:rPr>
                <w:rFonts w:ascii="Arial" w:cs="Arial" w:eastAsia="Arial" w:hAnsi="Arial"/>
                <w:sz w:val="16"/>
                <w:szCs w:val="16"/>
                <w:color w:val="auto"/>
              </w:rPr>
              <w:t>6.88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line="169" w:lineRule="exact"/>
              <w:rPr>
                <w:sz w:val="20"/>
                <w:szCs w:val="20"/>
                <w:color w:val="auto"/>
              </w:rPr>
            </w:pPr>
            <w:r>
              <w:rPr>
                <w:rFonts w:ascii="Arial" w:cs="Arial" w:eastAsia="Arial" w:hAnsi="Arial"/>
                <w:sz w:val="16"/>
                <w:szCs w:val="16"/>
                <w:color w:val="auto"/>
              </w:rPr>
              <w:t>Exercisable as of December 31, 2021</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3,316,356</w:t>
            </w:r>
          </w:p>
        </w:tc>
        <w:tc>
          <w:tcPr>
            <w:tcW w:w="240" w:type="dxa"/>
            <w:vAlign w:val="bottom"/>
          </w:tcPr>
          <w:p>
            <w:pPr>
              <w:spacing w:after="0"/>
              <w:rPr>
                <w:sz w:val="14"/>
                <w:szCs w:val="14"/>
                <w:color w:val="auto"/>
              </w:rPr>
            </w:pPr>
          </w:p>
        </w:tc>
        <w:tc>
          <w:tcPr>
            <w:tcW w:w="1060" w:type="dxa"/>
            <w:vAlign w:val="bottom"/>
          </w:tcPr>
          <w:p>
            <w:pPr>
              <w:jc w:val="right"/>
              <w:ind w:right="881"/>
              <w:spacing w:after="0" w:line="169"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69" w:lineRule="exact"/>
              <w:rPr>
                <w:sz w:val="20"/>
                <w:szCs w:val="20"/>
                <w:color w:val="auto"/>
              </w:rPr>
            </w:pPr>
            <w:r>
              <w:rPr>
                <w:rFonts w:ascii="Arial" w:cs="Arial" w:eastAsia="Arial" w:hAnsi="Arial"/>
                <w:sz w:val="16"/>
                <w:szCs w:val="16"/>
                <w:color w:val="auto"/>
              </w:rPr>
              <w:t>9.20</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5.20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-913765</wp:posOffset>
            </wp:positionV>
            <wp:extent cx="5969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-170815</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-153670</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non-vested restricted stock unit activities for the year ended December 31, 2021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center"/>
              <w:ind w:right="271"/>
              <w:spacing w:after="0"/>
              <w:rPr>
                <w:sz w:val="20"/>
                <w:szCs w:val="20"/>
                <w:color w:val="auto"/>
              </w:rPr>
            </w:pPr>
            <w:r>
              <w:rPr>
                <w:rFonts w:ascii="Arial" w:cs="Arial" w:eastAsia="Arial" w:hAnsi="Arial"/>
                <w:sz w:val="19"/>
                <w:szCs w:val="19"/>
                <w:b w:val="1"/>
                <w:bCs w:val="1"/>
                <w:color w:val="auto"/>
                <w:w w:val="88"/>
              </w:rPr>
              <w:t>Weighted</w:t>
            </w:r>
          </w:p>
        </w:tc>
        <w:tc>
          <w:tcPr>
            <w:tcW w:w="6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center"/>
              <w:ind w:right="271"/>
              <w:spacing w:after="0" w:line="216" w:lineRule="exact"/>
              <w:rPr>
                <w:sz w:val="20"/>
                <w:szCs w:val="20"/>
                <w:color w:val="auto"/>
              </w:rPr>
            </w:pPr>
            <w:r>
              <w:rPr>
                <w:rFonts w:ascii="Arial" w:cs="Arial" w:eastAsia="Arial" w:hAnsi="Arial"/>
                <w:sz w:val="19"/>
                <w:szCs w:val="19"/>
                <w:b w:val="1"/>
                <w:bCs w:val="1"/>
                <w:color w:val="auto"/>
                <w:w w:val="85"/>
              </w:rPr>
              <w:t>Average</w:t>
            </w:r>
          </w:p>
        </w:tc>
        <w:tc>
          <w:tcPr>
            <w:tcW w:w="6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560" w:type="dxa"/>
            <w:vAlign w:val="bottom"/>
          </w:tcPr>
          <w:p>
            <w:pPr>
              <w:jc w:val="center"/>
              <w:ind w:left="506"/>
              <w:spacing w:after="0" w:line="216" w:lineRule="exact"/>
              <w:rPr>
                <w:sz w:val="20"/>
                <w:szCs w:val="20"/>
                <w:color w:val="auto"/>
              </w:rPr>
            </w:pPr>
            <w:r>
              <w:rPr>
                <w:rFonts w:ascii="Arial" w:cs="Arial" w:eastAsia="Arial" w:hAnsi="Arial"/>
                <w:sz w:val="19"/>
                <w:szCs w:val="19"/>
                <w:b w:val="1"/>
                <w:bCs w:val="1"/>
                <w:color w:val="auto"/>
                <w:w w:val="92"/>
              </w:rPr>
              <w:t>Number of</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center"/>
              <w:ind w:right="271"/>
              <w:spacing w:after="0" w:line="216" w:lineRule="exact"/>
              <w:rPr>
                <w:sz w:val="20"/>
                <w:szCs w:val="20"/>
                <w:color w:val="auto"/>
              </w:rPr>
            </w:pPr>
            <w:r>
              <w:rPr>
                <w:rFonts w:ascii="Arial" w:cs="Arial" w:eastAsia="Arial" w:hAnsi="Arial"/>
                <w:sz w:val="19"/>
                <w:szCs w:val="19"/>
                <w:b w:val="1"/>
                <w:bCs w:val="1"/>
                <w:color w:val="auto"/>
                <w:w w:val="94"/>
              </w:rPr>
              <w:t>Grant Date</w:t>
            </w:r>
          </w:p>
        </w:tc>
        <w:tc>
          <w:tcPr>
            <w:tcW w:w="60" w:type="dxa"/>
            <w:vAlign w:val="bottom"/>
          </w:tcPr>
          <w:p>
            <w:pPr>
              <w:spacing w:after="0"/>
              <w:rPr>
                <w:sz w:val="18"/>
                <w:szCs w:val="18"/>
                <w:color w:val="auto"/>
              </w:rPr>
            </w:pPr>
          </w:p>
        </w:tc>
      </w:tr>
      <w:tr>
        <w:trPr>
          <w:trHeight w:val="244"/>
        </w:trPr>
        <w:tc>
          <w:tcPr>
            <w:tcW w:w="6560" w:type="dxa"/>
            <w:vAlign w:val="bottom"/>
          </w:tcPr>
          <w:p>
            <w:pPr>
              <w:spacing w:after="0"/>
              <w:rPr>
                <w:sz w:val="21"/>
                <w:szCs w:val="21"/>
                <w:color w:val="auto"/>
              </w:rPr>
            </w:pPr>
          </w:p>
        </w:tc>
        <w:tc>
          <w:tcPr>
            <w:tcW w:w="1560" w:type="dxa"/>
            <w:vAlign w:val="bottom"/>
            <w:tcBorders>
              <w:bottom w:val="single" w:sz="8" w:color="auto"/>
            </w:tcBorders>
          </w:tcPr>
          <w:p>
            <w:pPr>
              <w:jc w:val="center"/>
              <w:ind w:left="486"/>
              <w:spacing w:after="0"/>
              <w:rPr>
                <w:sz w:val="20"/>
                <w:szCs w:val="20"/>
                <w:color w:val="auto"/>
              </w:rPr>
            </w:pPr>
            <w:r>
              <w:rPr>
                <w:rFonts w:ascii="Arial" w:cs="Arial" w:eastAsia="Arial" w:hAnsi="Arial"/>
                <w:sz w:val="19"/>
                <w:szCs w:val="19"/>
                <w:b w:val="1"/>
                <w:bCs w:val="1"/>
                <w:color w:val="auto"/>
                <w:w w:val="85"/>
              </w:rPr>
              <w:t>Shares</w:t>
            </w:r>
          </w:p>
        </w:tc>
        <w:tc>
          <w:tcPr>
            <w:tcW w:w="5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71"/>
              <w:spacing w:after="0"/>
              <w:rPr>
                <w:sz w:val="20"/>
                <w:szCs w:val="20"/>
                <w:color w:val="auto"/>
              </w:rPr>
            </w:pPr>
            <w:r>
              <w:rPr>
                <w:rFonts w:ascii="Arial" w:cs="Arial" w:eastAsia="Arial" w:hAnsi="Arial"/>
                <w:sz w:val="19"/>
                <w:szCs w:val="19"/>
                <w:b w:val="1"/>
                <w:bCs w:val="1"/>
                <w:color w:val="auto"/>
                <w:w w:val="92"/>
              </w:rPr>
              <w:t>Fair Value</w:t>
            </w:r>
          </w:p>
        </w:tc>
        <w:tc>
          <w:tcPr>
            <w:tcW w:w="60" w:type="dxa"/>
            <w:vAlign w:val="bottom"/>
          </w:tcPr>
          <w:p>
            <w:pPr>
              <w:spacing w:after="0"/>
              <w:rPr>
                <w:sz w:val="21"/>
                <w:szCs w:val="21"/>
                <w:color w:val="auto"/>
              </w:rPr>
            </w:pPr>
          </w:p>
        </w:tc>
      </w:tr>
      <w:tr>
        <w:trPr>
          <w:trHeight w:val="196"/>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Unvested at December 31, 2020</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189"/>
        </w:trPr>
        <w:tc>
          <w:tcPr>
            <w:tcW w:w="812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657,729</w:t>
            </w:r>
          </w:p>
        </w:tc>
        <w:tc>
          <w:tcPr>
            <w:tcW w:w="32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15.46</w:t>
            </w:r>
          </w:p>
        </w:tc>
        <w:tc>
          <w:tcPr>
            <w:tcW w:w="60" w:type="dxa"/>
            <w:vAlign w:val="bottom"/>
          </w:tcPr>
          <w:p>
            <w:pPr>
              <w:spacing w:after="0"/>
              <w:rPr>
                <w:sz w:val="16"/>
                <w:szCs w:val="16"/>
                <w:color w:val="auto"/>
              </w:rPr>
            </w:pPr>
          </w:p>
        </w:tc>
      </w:tr>
      <w:tr>
        <w:trPr>
          <w:trHeight w:val="203"/>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9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189"/>
        </w:trPr>
        <w:tc>
          <w:tcPr>
            <w:tcW w:w="65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w w:val="96"/>
              </w:rPr>
              <w:t>(17,250 )</w:t>
            </w:r>
          </w:p>
        </w:tc>
        <w:tc>
          <w:tcPr>
            <w:tcW w:w="3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15.38</w:t>
            </w:r>
          </w:p>
        </w:tc>
        <w:tc>
          <w:tcPr>
            <w:tcW w:w="60" w:type="dxa"/>
            <w:vAlign w:val="bottom"/>
          </w:tcPr>
          <w:p>
            <w:pPr>
              <w:spacing w:after="0"/>
              <w:rPr>
                <w:sz w:val="16"/>
                <w:szCs w:val="16"/>
                <w:color w:val="auto"/>
              </w:rPr>
            </w:pPr>
          </w:p>
        </w:tc>
      </w:tr>
      <w:tr>
        <w:trPr>
          <w:trHeight w:val="223"/>
        </w:trPr>
        <w:tc>
          <w:tcPr>
            <w:tcW w:w="65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Unvested at December 31, 2021</w:t>
            </w:r>
          </w:p>
        </w:tc>
        <w:tc>
          <w:tcPr>
            <w:tcW w:w="15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3"/>
              </w:rPr>
              <w:t>640,479</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15.46</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300" w:firstLine="374"/>
        <w:spacing w:after="0" w:line="243" w:lineRule="auto"/>
        <w:rPr>
          <w:sz w:val="20"/>
          <w:szCs w:val="20"/>
          <w:color w:val="auto"/>
        </w:rPr>
      </w:pPr>
      <w:r>
        <w:rPr>
          <w:rFonts w:ascii="Arial" w:cs="Arial" w:eastAsia="Arial" w:hAnsi="Arial"/>
          <w:sz w:val="18"/>
          <w:szCs w:val="18"/>
          <w:color w:val="auto"/>
        </w:rPr>
        <w:t>As of December 31, 2021 and 2020, the intrinsic value of options vested was $14.7 million and $26.2 million, respectively, and of all options outstanding was $14.7 million and $26.4 million, respectively. During the year ended December 31, 2021 and 2020, the total cash received from the exercise of stock options was $1.6 million and $1.0 million, respectively. The total fair value less strike price of these options was $4.0 million and $2.8 million, respectively.</w:t>
      </w:r>
    </w:p>
    <w:p>
      <w:pPr>
        <w:spacing w:after="0" w:line="107"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Stock-based compensation expense was classified in the accompanying consolidated statements of operations and comprehensive income (loss)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39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Twelve Months Ended December 31,</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146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8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460" w:type="dxa"/>
            <w:vAlign w:val="bottom"/>
            <w:tcBorders>
              <w:top w:val="single" w:sz="8" w:color="auto"/>
            </w:tcBorders>
            <w:shd w:val="clear" w:color="auto" w:fill="CFF0FC"/>
          </w:tcPr>
          <w:p>
            <w:pPr>
              <w:jc w:val="right"/>
              <w:ind w:right="127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2,620</w:t>
            </w:r>
          </w:p>
        </w:tc>
        <w:tc>
          <w:tcPr>
            <w:tcW w:w="30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ind w:right="13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2,200</w:t>
            </w:r>
          </w:p>
        </w:tc>
        <w:tc>
          <w:tcPr>
            <w:tcW w:w="60" w:type="dxa"/>
            <w:vAlign w:val="bottom"/>
            <w:shd w:val="clear" w:color="auto" w:fill="CFF0FC"/>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4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4,061</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1,344</w:t>
            </w:r>
          </w:p>
        </w:tc>
        <w:tc>
          <w:tcPr>
            <w:tcW w:w="60" w:type="dxa"/>
            <w:vAlign w:val="bottom"/>
          </w:tcPr>
          <w:p>
            <w:pPr>
              <w:spacing w:after="0"/>
              <w:rPr>
                <w:sz w:val="17"/>
                <w:szCs w:val="17"/>
                <w:color w:val="auto"/>
              </w:rPr>
            </w:pPr>
          </w:p>
        </w:tc>
      </w:tr>
      <w:tr>
        <w:trPr>
          <w:trHeight w:val="203"/>
        </w:trPr>
        <w:tc>
          <w:tcPr>
            <w:tcW w:w="6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sales</w:t>
            </w:r>
          </w:p>
        </w:tc>
        <w:tc>
          <w:tcPr>
            <w:tcW w:w="14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894</w:t>
            </w:r>
          </w:p>
        </w:tc>
        <w:tc>
          <w:tcPr>
            <w:tcW w:w="3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17"/>
                <w:szCs w:val="17"/>
                <w:color w:val="auto"/>
              </w:rPr>
            </w:pPr>
          </w:p>
        </w:tc>
        <w:tc>
          <w:tcPr>
            <w:tcW w:w="1460" w:type="dxa"/>
            <w:vAlign w:val="bottom"/>
          </w:tcPr>
          <w:p>
            <w:pPr>
              <w:jc w:val="right"/>
              <w:ind w:right="127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7,575</w:t>
            </w:r>
          </w:p>
        </w:tc>
        <w:tc>
          <w:tcPr>
            <w:tcW w:w="1800" w:type="dxa"/>
            <w:vAlign w:val="bottom"/>
            <w:gridSpan w:val="2"/>
          </w:tcPr>
          <w:p>
            <w:pPr>
              <w:jc w:val="right"/>
              <w:ind w:right="131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4,185</w:t>
            </w:r>
          </w:p>
        </w:tc>
        <w:tc>
          <w:tcPr>
            <w:tcW w:w="6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-159385</wp:posOffset>
            </wp:positionV>
            <wp:extent cx="5143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0" w:lineRule="exact"/>
        <w:rPr>
          <w:sz w:val="20"/>
          <w:szCs w:val="20"/>
          <w:color w:val="auto"/>
        </w:rPr>
      </w:pPr>
    </w:p>
    <w:p>
      <w:pPr>
        <w:ind w:right="340" w:firstLine="374"/>
        <w:spacing w:after="0" w:line="270" w:lineRule="auto"/>
        <w:rPr>
          <w:sz w:val="20"/>
          <w:szCs w:val="20"/>
          <w:color w:val="auto"/>
        </w:rPr>
      </w:pPr>
      <w:r>
        <w:rPr>
          <w:rFonts w:ascii="Arial" w:cs="Arial" w:eastAsia="Arial" w:hAnsi="Arial"/>
          <w:sz w:val="17"/>
          <w:szCs w:val="17"/>
          <w:color w:val="auto"/>
        </w:rPr>
        <w:t>As of December 31, 2021 and 2020, there were 2,437,649 and 1,177,165 unvested options, respectively. Total unrecognized expense related to unvested stock options was approximately $20.1 million and $9.8 million as of December 31, 2021 and 2020, respectively. Amounts are expected to be recognized over a weighted average period of approximately 3.0 years and 2.9 years, respectively.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4" w:name="page145"/>
    <w:bookmarkEnd w:id="144"/>
    <w:p>
      <w:pPr>
        <w:ind w:right="260"/>
        <w:spacing w:after="0" w:line="261" w:lineRule="auto"/>
        <w:rPr>
          <w:sz w:val="20"/>
          <w:szCs w:val="20"/>
          <w:color w:val="auto"/>
        </w:rPr>
      </w:pPr>
      <w:r>
        <w:rPr>
          <w:rFonts w:ascii="Arial" w:cs="Arial" w:eastAsia="Arial" w:hAnsi="Arial"/>
          <w:sz w:val="18"/>
          <w:szCs w:val="18"/>
          <w:color w:val="auto"/>
        </w:rPr>
        <w:t>As of December 31, 2021, there was $8.8 million of total unrecognized compensation costs related to non-vested restricted stock units granted under the Plans. The unrecognized compensation cost is expected to be recognized over a weighted average period of 3.5 years.</w:t>
      </w:r>
    </w:p>
    <w:p>
      <w:pPr>
        <w:spacing w:after="0" w:line="63" w:lineRule="exact"/>
        <w:rPr>
          <w:sz w:val="20"/>
          <w:szCs w:val="20"/>
          <w:color w:val="auto"/>
        </w:rPr>
      </w:pPr>
    </w:p>
    <w:p>
      <w:pPr>
        <w:ind w:right="40" w:firstLine="419"/>
        <w:spacing w:after="0" w:line="261" w:lineRule="auto"/>
        <w:rPr>
          <w:sz w:val="20"/>
          <w:szCs w:val="20"/>
          <w:color w:val="auto"/>
        </w:rPr>
      </w:pPr>
      <w:r>
        <w:rPr>
          <w:rFonts w:ascii="Arial" w:cs="Arial" w:eastAsia="Arial" w:hAnsi="Arial"/>
          <w:sz w:val="18"/>
          <w:szCs w:val="18"/>
          <w:color w:val="auto"/>
        </w:rPr>
        <w:t>The following table presents the range and weighted-average assumptions, used in the Black-Scholes option pricing model to determine the fair value of stock options: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3740" w:type="dxa"/>
            <w:vAlign w:val="bottom"/>
            <w:gridSpan w:val="3"/>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140" w:type="dxa"/>
            <w:vAlign w:val="bottom"/>
            <w:gridSpan w:val="2"/>
            <w:vMerge w:val="restart"/>
          </w:tcPr>
          <w:p>
            <w:pPr>
              <w:jc w:val="right"/>
              <w:ind w:right="16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2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26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Range</w:t>
            </w:r>
          </w:p>
        </w:tc>
        <w:tc>
          <w:tcPr>
            <w:tcW w:w="180" w:type="dxa"/>
            <w:vAlign w:val="bottom"/>
          </w:tcPr>
          <w:p>
            <w:pPr>
              <w:spacing w:after="0"/>
              <w:rPr>
                <w:sz w:val="15"/>
                <w:szCs w:val="15"/>
                <w:color w:val="auto"/>
              </w:rPr>
            </w:pPr>
          </w:p>
        </w:tc>
        <w:tc>
          <w:tcPr>
            <w:tcW w:w="1960" w:type="dxa"/>
            <w:vAlign w:val="bottom"/>
            <w:tcBorders>
              <w:bottom w:val="single" w:sz="8" w:color="auto"/>
            </w:tcBorders>
          </w:tcPr>
          <w:p>
            <w:pPr>
              <w:ind w:left="360"/>
              <w:spacing w:after="0" w:line="183" w:lineRule="exact"/>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Range</w:t>
            </w:r>
          </w:p>
        </w:tc>
        <w:tc>
          <w:tcPr>
            <w:tcW w:w="360" w:type="dxa"/>
            <w:vAlign w:val="bottom"/>
          </w:tcPr>
          <w:p>
            <w:pPr>
              <w:spacing w:after="0"/>
              <w:rPr>
                <w:sz w:val="15"/>
                <w:szCs w:val="15"/>
                <w:color w:val="auto"/>
              </w:rPr>
            </w:pPr>
          </w:p>
        </w:tc>
        <w:tc>
          <w:tcPr>
            <w:tcW w:w="1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83"/>
        </w:trPr>
        <w:tc>
          <w:tcPr>
            <w:tcW w:w="25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Expected volatility</w:t>
            </w:r>
          </w:p>
        </w:tc>
        <w:tc>
          <w:tcPr>
            <w:tcW w:w="26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2"/>
              </w:rPr>
              <w:t>61.6% to 63.7%</w:t>
            </w:r>
          </w:p>
        </w:tc>
        <w:tc>
          <w:tcPr>
            <w:tcW w:w="180" w:type="dxa"/>
            <w:vAlign w:val="bottom"/>
            <w:shd w:val="clear" w:color="auto" w:fill="CFF0FC"/>
          </w:tcPr>
          <w:p>
            <w:pPr>
              <w:spacing w:after="0"/>
              <w:rPr>
                <w:sz w:val="15"/>
                <w:szCs w:val="15"/>
                <w:color w:val="auto"/>
              </w:rPr>
            </w:pPr>
          </w:p>
        </w:tc>
        <w:tc>
          <w:tcPr>
            <w:tcW w:w="19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2"/>
              </w:rPr>
              <w:t>63.2%</w:t>
            </w:r>
          </w:p>
        </w:tc>
        <w:tc>
          <w:tcPr>
            <w:tcW w:w="100" w:type="dxa"/>
            <w:vAlign w:val="bottom"/>
            <w:shd w:val="clear" w:color="auto" w:fill="CFF0FC"/>
          </w:tcPr>
          <w:p>
            <w:pPr>
              <w:spacing w:after="0"/>
              <w:rPr>
                <w:sz w:val="15"/>
                <w:szCs w:val="15"/>
                <w:color w:val="auto"/>
              </w:rPr>
            </w:pPr>
          </w:p>
        </w:tc>
        <w:tc>
          <w:tcPr>
            <w:tcW w:w="16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2"/>
              </w:rPr>
              <w:t>83.4% to 97.4%</w:t>
            </w:r>
          </w:p>
        </w:tc>
        <w:tc>
          <w:tcPr>
            <w:tcW w:w="3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2"/>
              </w:rPr>
              <w:t>94.6%</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640" w:type="dxa"/>
            <w:vAlign w:val="bottom"/>
          </w:tcPr>
          <w:p>
            <w:pPr>
              <w:jc w:val="center"/>
              <w:spacing w:after="0"/>
              <w:rPr>
                <w:sz w:val="20"/>
                <w:szCs w:val="20"/>
                <w:color w:val="auto"/>
              </w:rPr>
            </w:pPr>
            <w:r>
              <w:rPr>
                <w:rFonts w:ascii="Arial" w:cs="Arial" w:eastAsia="Arial" w:hAnsi="Arial"/>
                <w:sz w:val="16"/>
                <w:szCs w:val="16"/>
                <w:color w:val="auto"/>
                <w:w w:val="92"/>
              </w:rPr>
              <w:t>0.6% to 1.7%</w:t>
            </w:r>
          </w:p>
        </w:tc>
        <w:tc>
          <w:tcPr>
            <w:tcW w:w="214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16% to 31%</w:t>
            </w:r>
          </w:p>
        </w:tc>
        <w:tc>
          <w:tcPr>
            <w:tcW w:w="2140" w:type="dxa"/>
            <w:vAlign w:val="bottom"/>
            <w:gridSpan w:val="2"/>
          </w:tcPr>
          <w:p>
            <w:pPr>
              <w:jc w:val="center"/>
              <w:ind w:left="279"/>
              <w:spacing w:after="0"/>
              <w:rPr>
                <w:sz w:val="20"/>
                <w:szCs w:val="20"/>
                <w:color w:val="auto"/>
              </w:rPr>
            </w:pPr>
            <w:r>
              <w:rPr>
                <w:rFonts w:ascii="Arial" w:cs="Arial" w:eastAsia="Arial" w:hAnsi="Arial"/>
                <w:sz w:val="16"/>
                <w:szCs w:val="16"/>
                <w:color w:val="auto"/>
                <w:w w:val="92"/>
              </w:rPr>
              <w:t>24.9%</w:t>
            </w:r>
          </w:p>
        </w:tc>
        <w:tc>
          <w:tcPr>
            <w:tcW w:w="0" w:type="dxa"/>
            <w:vAlign w:val="bottom"/>
          </w:tcPr>
          <w:p>
            <w:pPr>
              <w:spacing w:after="0"/>
              <w:rPr>
                <w:sz w:val="1"/>
                <w:szCs w:val="1"/>
                <w:color w:val="auto"/>
              </w:rPr>
            </w:pPr>
          </w:p>
        </w:tc>
      </w:tr>
      <w:tr>
        <w:trPr>
          <w:trHeight w:val="189"/>
        </w:trPr>
        <w:tc>
          <w:tcPr>
            <w:tcW w:w="2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life (in years)</w:t>
            </w: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5.52 to 10.00 years</w:t>
            </w:r>
          </w:p>
        </w:tc>
        <w:tc>
          <w:tcPr>
            <w:tcW w:w="180" w:type="dxa"/>
            <w:vAlign w:val="bottom"/>
            <w:shd w:val="clear" w:color="auto" w:fill="CFF0FC"/>
          </w:tcPr>
          <w:p>
            <w:pPr>
              <w:spacing w:after="0"/>
              <w:rPr>
                <w:sz w:val="16"/>
                <w:szCs w:val="16"/>
                <w:color w:val="auto"/>
              </w:rPr>
            </w:pPr>
          </w:p>
        </w:tc>
        <w:tc>
          <w:tcPr>
            <w:tcW w:w="1960" w:type="dxa"/>
            <w:vAlign w:val="bottom"/>
            <w:shd w:val="clear" w:color="auto" w:fill="CFF0FC"/>
          </w:tcPr>
          <w:p>
            <w:pPr>
              <w:ind w:left="660"/>
              <w:spacing w:after="0"/>
              <w:rPr>
                <w:sz w:val="20"/>
                <w:szCs w:val="20"/>
                <w:color w:val="auto"/>
              </w:rPr>
            </w:pPr>
            <w:r>
              <w:rPr>
                <w:rFonts w:ascii="Arial" w:cs="Arial" w:eastAsia="Arial" w:hAnsi="Arial"/>
                <w:sz w:val="16"/>
                <w:szCs w:val="16"/>
                <w:color w:val="auto"/>
              </w:rPr>
              <w:t>6.09 years</w:t>
            </w:r>
          </w:p>
        </w:tc>
        <w:tc>
          <w:tcPr>
            <w:tcW w:w="100" w:type="dxa"/>
            <w:vAlign w:val="bottom"/>
            <w:shd w:val="clear" w:color="auto" w:fill="CFF0FC"/>
          </w:tcPr>
          <w:p>
            <w:pPr>
              <w:spacing w:after="0"/>
              <w:rPr>
                <w:sz w:val="16"/>
                <w:szCs w:val="16"/>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0.4 to 2.0 years</w:t>
            </w:r>
          </w:p>
        </w:tc>
        <w:tc>
          <w:tcPr>
            <w:tcW w:w="360" w:type="dxa"/>
            <w:vAlign w:val="bottom"/>
            <w:shd w:val="clear" w:color="auto" w:fill="CFF0FC"/>
          </w:tcPr>
          <w:p>
            <w:pPr>
              <w:spacing w:after="0"/>
              <w:rPr>
                <w:sz w:val="16"/>
                <w:szCs w:val="16"/>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1.1 years</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640" w:type="dxa"/>
            <w:vAlign w:val="bottom"/>
          </w:tcPr>
          <w:p>
            <w:pPr>
              <w:jc w:val="center"/>
              <w:spacing w:after="0"/>
              <w:rPr>
                <w:sz w:val="20"/>
                <w:szCs w:val="20"/>
                <w:color w:val="auto"/>
              </w:rPr>
            </w:pPr>
            <w:r>
              <w:rPr>
                <w:rFonts w:ascii="Arial" w:cs="Arial" w:eastAsia="Arial" w:hAnsi="Arial"/>
                <w:sz w:val="16"/>
                <w:szCs w:val="16"/>
                <w:color w:val="auto"/>
                <w:w w:val="93"/>
              </w:rPr>
              <w:t>0.0%</w:t>
            </w:r>
          </w:p>
        </w:tc>
        <w:tc>
          <w:tcPr>
            <w:tcW w:w="214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0.0%</w:t>
            </w:r>
          </w:p>
        </w:tc>
        <w:tc>
          <w:tcPr>
            <w:tcW w:w="1780" w:type="dxa"/>
            <w:vAlign w:val="bottom"/>
            <w:gridSpan w:val="2"/>
          </w:tcPr>
          <w:p>
            <w:pPr>
              <w:jc w:val="right"/>
              <w:ind w:right="579"/>
              <w:spacing w:after="0"/>
              <w:rPr>
                <w:sz w:val="20"/>
                <w:szCs w:val="20"/>
                <w:color w:val="auto"/>
              </w:rPr>
            </w:pPr>
            <w:r>
              <w:rPr>
                <w:rFonts w:ascii="Arial" w:cs="Arial" w:eastAsia="Arial" w:hAnsi="Arial"/>
                <w:sz w:val="16"/>
                <w:szCs w:val="16"/>
                <w:color w:val="auto"/>
              </w:rPr>
              <w:t>0.0%</w:t>
            </w:r>
          </w:p>
        </w:tc>
        <w:tc>
          <w:tcPr>
            <w:tcW w:w="2140" w:type="dxa"/>
            <w:vAlign w:val="bottom"/>
            <w:gridSpan w:val="2"/>
          </w:tcPr>
          <w:p>
            <w:pPr>
              <w:jc w:val="center"/>
              <w:ind w:left="279"/>
              <w:spacing w:after="0"/>
              <w:rPr>
                <w:sz w:val="20"/>
                <w:szCs w:val="20"/>
                <w:color w:val="auto"/>
              </w:rPr>
            </w:pPr>
            <w:r>
              <w:rPr>
                <w:rFonts w:ascii="Arial" w:cs="Arial" w:eastAsia="Arial" w:hAnsi="Arial"/>
                <w:sz w:val="16"/>
                <w:szCs w:val="16"/>
                <w:color w:val="auto"/>
                <w:w w:val="93"/>
              </w:rPr>
              <w:t>0.0%</w:t>
            </w:r>
          </w:p>
        </w:tc>
        <w:tc>
          <w:tcPr>
            <w:tcW w:w="0" w:type="dxa"/>
            <w:vAlign w:val="bottom"/>
          </w:tcPr>
          <w:p>
            <w:pPr>
              <w:spacing w:after="0"/>
              <w:rPr>
                <w:sz w:val="1"/>
                <w:szCs w:val="1"/>
                <w:color w:val="auto"/>
              </w:rPr>
            </w:pPr>
          </w:p>
        </w:tc>
      </w:tr>
      <w:tr>
        <w:trPr>
          <w:trHeight w:val="189"/>
        </w:trPr>
        <w:tc>
          <w:tcPr>
            <w:tcW w:w="2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Grant date fair value</w:t>
            </w: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$12.08 to $19.94</w:t>
            </w:r>
          </w:p>
        </w:tc>
        <w:tc>
          <w:tcPr>
            <w:tcW w:w="214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89"/>
              </w:rPr>
              <w:t>$15.02</w:t>
            </w:r>
          </w:p>
        </w:tc>
        <w:tc>
          <w:tcPr>
            <w:tcW w:w="1780" w:type="dxa"/>
            <w:vAlign w:val="bottom"/>
            <w:gridSpan w:val="2"/>
            <w:shd w:val="clear" w:color="auto" w:fill="CFF0FC"/>
          </w:tcPr>
          <w:p>
            <w:pPr>
              <w:jc w:val="right"/>
              <w:ind w:right="579"/>
              <w:spacing w:after="0"/>
              <w:rPr>
                <w:sz w:val="20"/>
                <w:szCs w:val="20"/>
                <w:color w:val="auto"/>
              </w:rPr>
            </w:pPr>
            <w:r>
              <w:rPr>
                <w:rFonts w:ascii="Arial" w:cs="Arial" w:eastAsia="Arial" w:hAnsi="Arial"/>
                <w:sz w:val="16"/>
                <w:szCs w:val="16"/>
                <w:color w:val="auto"/>
              </w:rPr>
              <w:t>$0.81</w:t>
            </w:r>
          </w:p>
        </w:tc>
        <w:tc>
          <w:tcPr>
            <w:tcW w:w="214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w w:val="94"/>
              </w:rPr>
              <w:t>$0.81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374"/>
        <w:spacing w:after="0" w:line="324" w:lineRule="auto"/>
        <w:rPr>
          <w:sz w:val="20"/>
          <w:szCs w:val="20"/>
          <w:color w:val="auto"/>
        </w:rPr>
      </w:pPr>
      <w:r>
        <w:rPr>
          <w:rFonts w:ascii="Arial" w:cs="Arial" w:eastAsia="Arial" w:hAnsi="Arial"/>
          <w:sz w:val="16"/>
          <w:szCs w:val="16"/>
          <w:color w:val="auto"/>
        </w:rPr>
        <w:t>On July 30, 2021, the Board of Directors approved the issuance of 640,567 equity awards to the Company's named executive officers and certain non-employee directors, consisting of 17,577 restricted stock units and 622,990 stock option awards. The awards will vest over one to four years of service.</w:t>
      </w:r>
    </w:p>
    <w:p>
      <w:pPr>
        <w:spacing w:after="0" w:line="43" w:lineRule="exact"/>
        <w:rPr>
          <w:sz w:val="20"/>
          <w:szCs w:val="20"/>
          <w:color w:val="auto"/>
        </w:rPr>
      </w:pPr>
    </w:p>
    <w:p>
      <w:pPr>
        <w:ind w:right="160" w:firstLine="374"/>
        <w:spacing w:after="0" w:line="261" w:lineRule="auto"/>
        <w:rPr>
          <w:sz w:val="20"/>
          <w:szCs w:val="20"/>
          <w:color w:val="auto"/>
        </w:rPr>
      </w:pPr>
      <w:r>
        <w:rPr>
          <w:rFonts w:ascii="Arial" w:cs="Arial" w:eastAsia="Arial" w:hAnsi="Arial"/>
          <w:sz w:val="18"/>
          <w:szCs w:val="18"/>
          <w:color w:val="auto"/>
        </w:rPr>
        <w:t>On August 3, 2021, the Board of Directors approved the issuance of equity awards to certain non-employee directors, consisting of 40,134 restricted stock units. The awards will vest over one to three years of service.</w:t>
      </w:r>
    </w:p>
    <w:p>
      <w:pPr>
        <w:spacing w:after="0" w:line="103" w:lineRule="exact"/>
        <w:rPr>
          <w:sz w:val="20"/>
          <w:szCs w:val="20"/>
          <w:color w:val="auto"/>
        </w:rPr>
      </w:pPr>
    </w:p>
    <w:p>
      <w:pPr>
        <w:ind w:right="300" w:firstLine="419"/>
        <w:spacing w:after="0" w:line="261" w:lineRule="auto"/>
        <w:rPr>
          <w:sz w:val="20"/>
          <w:szCs w:val="20"/>
          <w:color w:val="auto"/>
        </w:rPr>
      </w:pPr>
      <w:r>
        <w:rPr>
          <w:rFonts w:ascii="Arial" w:cs="Arial" w:eastAsia="Arial" w:hAnsi="Arial"/>
          <w:sz w:val="18"/>
          <w:szCs w:val="18"/>
          <w:color w:val="auto"/>
        </w:rPr>
        <w:t>On January 3, 2022, the Board of Directors approved the issuance of 19,196 restricted stock units to a non-employee director. The award will vest over three years of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(loss) income before income taxes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19"/>
                <w:szCs w:val="19"/>
                <w:color w:val="auto"/>
              </w:rPr>
            </w:pPr>
          </w:p>
        </w:tc>
        <w:tc>
          <w:tcPr>
            <w:tcW w:w="35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(loss) income before taxes</w:t>
            </w:r>
          </w:p>
        </w:tc>
        <w:tc>
          <w:tcPr>
            <w:tcW w:w="164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ind w:right="11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(48,694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27,577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Foreign income before taxes</w:t>
            </w:r>
          </w:p>
        </w:tc>
        <w:tc>
          <w:tcPr>
            <w:tcW w:w="164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16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1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(48,680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27,632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880" w:type="dxa"/>
            <w:vAlign w:val="bottom"/>
            <w:gridSpan w:val="8"/>
          </w:tcPr>
          <w:p>
            <w:pPr>
              <w:ind w:left="380"/>
              <w:spacing w:after="0"/>
              <w:rPr>
                <w:sz w:val="20"/>
                <w:szCs w:val="20"/>
                <w:color w:val="auto"/>
              </w:rPr>
            </w:pPr>
            <w:r>
              <w:rPr>
                <w:rFonts w:ascii="Arial" w:cs="Arial" w:eastAsia="Arial" w:hAnsi="Arial"/>
                <w:sz w:val="18"/>
                <w:szCs w:val="18"/>
                <w:color w:val="auto"/>
                <w:w w:val="95"/>
              </w:rPr>
              <w:t>Income tax expense for the years ended December 31, 2021 and 2020 consists of the following (in thousands):</w:t>
            </w: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20" w:type="dxa"/>
            <w:vAlign w:val="bottom"/>
            <w:gridSpan w:val="8"/>
          </w:tcPr>
          <w:p>
            <w:pPr>
              <w:jc w:val="right"/>
              <w:ind w:right="12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1"/>
        </w:trPr>
        <w:tc>
          <w:tcPr>
            <w:tcW w:w="402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3500" w:type="dxa"/>
            <w:vAlign w:val="bottom"/>
            <w:gridSpan w:val="3"/>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State</w:t>
            </w: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16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w:t>
            </w:r>
          </w:p>
        </w:tc>
        <w:tc>
          <w:tcPr>
            <w:tcW w:w="16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(9,950 )</w:t>
            </w:r>
          </w:p>
        </w:tc>
        <w:tc>
          <w:tcPr>
            <w:tcW w:w="600" w:type="dxa"/>
            <w:vAlign w:val="bottom"/>
          </w:tcPr>
          <w:p>
            <w:pPr>
              <w:spacing w:after="0"/>
              <w:rPr>
                <w:sz w:val="17"/>
                <w:szCs w:val="17"/>
                <w:color w:val="auto"/>
              </w:rPr>
            </w:pPr>
          </w:p>
        </w:tc>
        <w:tc>
          <w:tcPr>
            <w:tcW w:w="17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(7,179 )</w:t>
            </w:r>
          </w:p>
        </w:tc>
        <w:tc>
          <w:tcPr>
            <w:tcW w:w="0" w:type="dxa"/>
            <w:vAlign w:val="bottom"/>
          </w:tcPr>
          <w:p>
            <w:pPr>
              <w:spacing w:after="0"/>
              <w:rPr>
                <w:sz w:val="1"/>
                <w:szCs w:val="1"/>
                <w:color w:val="auto"/>
              </w:rPr>
            </w:pPr>
          </w:p>
        </w:tc>
      </w:tr>
      <w:tr>
        <w:trPr>
          <w:trHeight w:val="203"/>
        </w:trPr>
        <w:tc>
          <w:tcPr>
            <w:tcW w:w="4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16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6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(3,241 )</w:t>
            </w:r>
          </w:p>
        </w:tc>
        <w:tc>
          <w:tcPr>
            <w:tcW w:w="600" w:type="dxa"/>
            <w:vAlign w:val="bottom"/>
            <w:shd w:val="clear" w:color="auto" w:fill="CFF0FC"/>
          </w:tcPr>
          <w:p>
            <w:pPr>
              <w:spacing w:after="0"/>
              <w:rPr>
                <w:sz w:val="17"/>
                <w:szCs w:val="17"/>
                <w:color w:val="auto"/>
              </w:rPr>
            </w:pPr>
          </w:p>
        </w:tc>
        <w:tc>
          <w:tcPr>
            <w:tcW w:w="17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(2,642 )</w:t>
            </w:r>
          </w:p>
        </w:tc>
        <w:tc>
          <w:tcPr>
            <w:tcW w:w="0" w:type="dxa"/>
            <w:vAlign w:val="bottom"/>
          </w:tcPr>
          <w:p>
            <w:pPr>
              <w:spacing w:after="0"/>
              <w:rPr>
                <w:sz w:val="1"/>
                <w:szCs w:val="1"/>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(13,191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(9,821</w:t>
            </w:r>
          </w:p>
        </w:tc>
        <w:tc>
          <w:tcPr>
            <w:tcW w:w="10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020" w:type="dxa"/>
            <w:vAlign w:val="bottom"/>
          </w:tcPr>
          <w:p>
            <w:pPr>
              <w:ind w:left="200"/>
              <w:spacing w:after="0" w:line="196" w:lineRule="exact"/>
              <w:rPr>
                <w:sz w:val="20"/>
                <w:szCs w:val="20"/>
                <w:color w:val="auto"/>
              </w:rPr>
            </w:pPr>
            <w:r>
              <w:rPr>
                <w:rFonts w:ascii="Arial" w:cs="Arial" w:eastAsia="Arial" w:hAnsi="Arial"/>
                <w:sz w:val="18"/>
                <w:szCs w:val="18"/>
                <w:color w:val="auto"/>
              </w:rPr>
              <w:t>Change in valuation allowance</w:t>
            </w: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13,191</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2960" w:type="dxa"/>
            <w:vAlign w:val="bottom"/>
            <w:tcBorders>
              <w:bottom w:val="single" w:sz="8" w:color="CFF0FC"/>
            </w:tcBorders>
            <w:gridSpan w:val="2"/>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020" w:type="dxa"/>
            <w:vAlign w:val="bottom"/>
          </w:tcPr>
          <w:p>
            <w:pPr>
              <w:spacing w:after="0"/>
              <w:rPr>
                <w:sz w:val="24"/>
                <w:szCs w:val="24"/>
                <w:color w:val="auto"/>
              </w:rPr>
            </w:pPr>
          </w:p>
        </w:tc>
        <w:tc>
          <w:tcPr>
            <w:tcW w:w="2960" w:type="dxa"/>
            <w:vAlign w:val="bottom"/>
            <w:gridSpan w:val="2"/>
          </w:tcPr>
          <w:p>
            <w:pPr>
              <w:jc w:val="right"/>
              <w:ind w:right="1130"/>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-2588260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-2571115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-2588260</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-2571115</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-1496695</wp:posOffset>
            </wp:positionV>
            <wp:extent cx="5969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-1496695</wp:posOffset>
            </wp:positionV>
            <wp:extent cx="5969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-699135</wp:posOffset>
            </wp:positionV>
            <wp:extent cx="5969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-699135</wp:posOffset>
            </wp:positionV>
            <wp:extent cx="5969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-427990</wp:posOffset>
            </wp:positionV>
            <wp:extent cx="596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-410845</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-427990</wp:posOffset>
            </wp:positionV>
            <wp:extent cx="596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-410845</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5" w:name="page146"/>
    <w:bookmarkEnd w:id="145"/>
    <w:p>
      <w:pPr>
        <w:ind w:left="380"/>
        <w:spacing w:after="0"/>
        <w:rPr>
          <w:sz w:val="20"/>
          <w:szCs w:val="20"/>
          <w:color w:val="auto"/>
        </w:rPr>
      </w:pPr>
      <w:r>
        <w:rPr>
          <w:rFonts w:ascii="Arial" w:cs="Arial" w:eastAsia="Arial" w:hAnsi="Arial"/>
          <w:sz w:val="18"/>
          <w:szCs w:val="18"/>
          <w:color w:val="auto"/>
        </w:rPr>
        <w:t>The significant components that comprised the Company’s net deferred taxes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6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Year ended December 31,</w:t>
            </w:r>
          </w:p>
        </w:tc>
      </w:tr>
      <w:tr>
        <w:trPr>
          <w:trHeight w:val="221"/>
        </w:trPr>
        <w:tc>
          <w:tcPr>
            <w:tcW w:w="69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6980" w:type="dxa"/>
            <w:vAlign w:val="bottom"/>
          </w:tcPr>
          <w:p>
            <w:pPr>
              <w:ind w:left="120"/>
              <w:spacing w:after="0" w:line="196" w:lineRule="exact"/>
              <w:rPr>
                <w:sz w:val="20"/>
                <w:szCs w:val="20"/>
                <w:color w:val="auto"/>
              </w:rPr>
            </w:pPr>
            <w:r>
              <w:rPr>
                <w:rFonts w:ascii="Arial" w:cs="Arial" w:eastAsia="Arial" w:hAnsi="Arial"/>
                <w:sz w:val="18"/>
                <w:szCs w:val="18"/>
                <w:color w:val="auto"/>
              </w:rPr>
              <w:t>Net operating loss</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62,347</w:t>
            </w:r>
          </w:p>
        </w:tc>
        <w:tc>
          <w:tcPr>
            <w:tcW w:w="100" w:type="dxa"/>
            <w:vAlign w:val="bottom"/>
          </w:tcPr>
          <w:p>
            <w:pPr>
              <w:spacing w:after="0"/>
              <w:rPr>
                <w:sz w:val="17"/>
                <w:szCs w:val="17"/>
                <w:color w:val="auto"/>
              </w:rPr>
            </w:pPr>
          </w:p>
        </w:tc>
        <w:tc>
          <w:tcPr>
            <w:tcW w:w="8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52,127</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Amortization</w:t>
            </w: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2,829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2,297</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Research and development credit</w:t>
            </w: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7,902</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6,663</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Right-of-use liability</w:t>
            </w: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1,290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1,585</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Depreciation</w:t>
            </w: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1,745</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w:t>
            </w:r>
          </w:p>
        </w:tc>
        <w:tc>
          <w:tcPr>
            <w:tcW w:w="100" w:type="dxa"/>
            <w:vAlign w:val="bottom"/>
          </w:tcPr>
          <w:p>
            <w:pPr>
              <w:spacing w:after="0"/>
              <w:rPr>
                <w:sz w:val="17"/>
                <w:szCs w:val="17"/>
                <w:color w:val="auto"/>
              </w:rPr>
            </w:pPr>
          </w:p>
        </w:tc>
      </w:tr>
      <w:tr>
        <w:trPr>
          <w:trHeight w:val="196"/>
        </w:trPr>
        <w:tc>
          <w:tcPr>
            <w:tcW w:w="69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deferred tax assets</w:t>
            </w: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76,766</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120"/>
              <w:spacing w:after="0" w:line="196" w:lineRule="exact"/>
              <w:rPr>
                <w:sz w:val="20"/>
                <w:szCs w:val="20"/>
                <w:color w:val="auto"/>
              </w:rPr>
            </w:pPr>
            <w:r>
              <w:rPr>
                <w:rFonts w:ascii="Arial" w:cs="Arial" w:eastAsia="Arial" w:hAnsi="Arial"/>
                <w:sz w:val="18"/>
                <w:szCs w:val="18"/>
                <w:color w:val="auto"/>
              </w:rPr>
              <w:t>Less: valuation allowance</w:t>
            </w:r>
          </w:p>
        </w:tc>
        <w:tc>
          <w:tcPr>
            <w:tcW w:w="400" w:type="dxa"/>
            <w:vAlign w:val="bottom"/>
          </w:tcPr>
          <w:p>
            <w:pPr>
              <w:spacing w:after="0"/>
              <w:rPr>
                <w:sz w:val="17"/>
                <w:szCs w:val="17"/>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(75,546 )</w:t>
            </w:r>
          </w:p>
        </w:tc>
        <w:tc>
          <w:tcPr>
            <w:tcW w:w="800" w:type="dxa"/>
            <w:vAlign w:val="bottom"/>
          </w:tcPr>
          <w:p>
            <w:pPr>
              <w:spacing w:after="0"/>
              <w:rPr>
                <w:sz w:val="17"/>
                <w:szCs w:val="17"/>
                <w:color w:val="auto"/>
              </w:rPr>
            </w:pP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(62,355 )</w:t>
            </w:r>
          </w:p>
        </w:tc>
      </w:tr>
      <w:tr>
        <w:trPr>
          <w:trHeight w:val="236"/>
        </w:trPr>
        <w:tc>
          <w:tcPr>
            <w:tcW w:w="6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net deferred tax assets</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1,220</w:t>
            </w:r>
          </w:p>
        </w:tc>
        <w:tc>
          <w:tcPr>
            <w:tcW w:w="1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980" w:type="dxa"/>
            <w:vAlign w:val="bottom"/>
          </w:tcPr>
          <w:p>
            <w:pPr>
              <w:ind w:left="20"/>
              <w:spacing w:after="0" w:line="183" w:lineRule="exact"/>
              <w:rPr>
                <w:sz w:val="20"/>
                <w:szCs w:val="20"/>
                <w:color w:val="auto"/>
              </w:rPr>
            </w:pPr>
            <w:r>
              <w:rPr>
                <w:rFonts w:ascii="Arial" w:cs="Arial" w:eastAsia="Arial" w:hAnsi="Arial"/>
                <w:sz w:val="18"/>
                <w:szCs w:val="18"/>
                <w:color w:val="auto"/>
              </w:rPr>
              <w:t>Deferred tax liabilities:</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98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Right-of-use asset</w:t>
            </w: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9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400" w:type="dxa"/>
            <w:vAlign w:val="bottom"/>
          </w:tcPr>
          <w:p>
            <w:pPr>
              <w:spacing w:after="0"/>
              <w:rPr>
                <w:sz w:val="17"/>
                <w:szCs w:val="17"/>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(1,220 )</w:t>
            </w:r>
          </w:p>
        </w:tc>
        <w:tc>
          <w:tcPr>
            <w:tcW w:w="800" w:type="dxa"/>
            <w:vAlign w:val="bottom"/>
          </w:tcPr>
          <w:p>
            <w:pPr>
              <w:spacing w:after="0"/>
              <w:rPr>
                <w:sz w:val="17"/>
                <w:szCs w:val="17"/>
                <w:color w:val="auto"/>
              </w:rPr>
            </w:pP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(1,489 )</w:t>
            </w:r>
          </w:p>
        </w:tc>
      </w:tr>
      <w:tr>
        <w:trPr>
          <w:trHeight w:val="236"/>
        </w:trPr>
        <w:tc>
          <w:tcPr>
            <w:tcW w:w="6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-862330</wp:posOffset>
            </wp:positionV>
            <wp:extent cx="5969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-862330</wp:posOffset>
            </wp:positionV>
            <wp:extent cx="5969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-591185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-574040</wp:posOffset>
            </wp:positionV>
            <wp:extent cx="596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-591185</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-574040</wp:posOffset>
            </wp:positionV>
            <wp:extent cx="596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-296545</wp:posOffset>
            </wp:positionV>
            <wp:extent cx="5969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A reconciliation of the provision for income taxes with the expected income tax computed by applying the federal statutory income tax rate to loss before provision for income taxes was calculated as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240" w:type="dxa"/>
            <w:vAlign w:val="bottom"/>
            <w:gridSpan w:val="5"/>
          </w:tcPr>
          <w:p>
            <w:pPr>
              <w:jc w:val="right"/>
              <w:ind w:right="861"/>
              <w:spacing w:after="0"/>
              <w:rPr>
                <w:sz w:val="20"/>
                <w:szCs w:val="20"/>
                <w:color w:val="auto"/>
              </w:rPr>
            </w:pPr>
            <w:r>
              <w:rPr>
                <w:rFonts w:ascii="Arial" w:cs="Arial" w:eastAsia="Arial" w:hAnsi="Arial"/>
                <w:sz w:val="18"/>
                <w:szCs w:val="18"/>
                <w:b w:val="1"/>
                <w:bCs w:val="1"/>
                <w:color w:val="auto"/>
              </w:rPr>
              <w:t>December 31, 2021</w:t>
            </w:r>
          </w:p>
        </w:tc>
        <w:tc>
          <w:tcPr>
            <w:tcW w:w="28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December 31, 2020</w:t>
            </w:r>
          </w:p>
        </w:tc>
      </w:tr>
      <w:tr>
        <w:trPr>
          <w:trHeight w:val="221"/>
        </w:trPr>
        <w:tc>
          <w:tcPr>
            <w:tcW w:w="5040" w:type="dxa"/>
            <w:vAlign w:val="bottom"/>
          </w:tcPr>
          <w:p>
            <w:pPr>
              <w:spacing w:after="0"/>
              <w:rPr>
                <w:sz w:val="19"/>
                <w:szCs w:val="19"/>
                <w:color w:val="auto"/>
              </w:rPr>
            </w:pPr>
          </w:p>
        </w:tc>
        <w:tc>
          <w:tcPr>
            <w:tcW w:w="14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Rate</w:t>
            </w:r>
          </w:p>
        </w:tc>
        <w:tc>
          <w:tcPr>
            <w:tcW w:w="520" w:type="dxa"/>
            <w:vAlign w:val="bottom"/>
          </w:tcPr>
          <w:p>
            <w:pPr>
              <w:spacing w:after="0"/>
              <w:rPr>
                <w:sz w:val="19"/>
                <w:szCs w:val="19"/>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Amount</w:t>
            </w:r>
          </w:p>
        </w:tc>
        <w:tc>
          <w:tcPr>
            <w:tcW w:w="17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Rate</w:t>
            </w:r>
          </w:p>
        </w:tc>
        <w:tc>
          <w:tcPr>
            <w:tcW w:w="1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Amount</w:t>
            </w:r>
          </w:p>
        </w:tc>
      </w:tr>
      <w:tr>
        <w:trPr>
          <w:trHeight w:val="210"/>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 at the federal statutory tax rate</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4.1 %</w:t>
            </w:r>
          </w:p>
        </w:tc>
        <w:tc>
          <w:tcPr>
            <w:tcW w:w="5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(1,989 )</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(5.3 )%</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(1,468 )</w:t>
            </w:r>
          </w:p>
        </w:tc>
      </w:tr>
      <w:tr>
        <w:trPr>
          <w:trHeight w:val="21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credits</w:t>
            </w: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2.6 %</w:t>
            </w: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(1,241 )</w:t>
            </w:r>
          </w:p>
        </w:tc>
        <w:tc>
          <w:tcPr>
            <w:tcW w:w="1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(1,306 )</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(1.4 )%</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non-deductible permanent items</w:t>
            </w: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2.6 %</w:t>
            </w: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(1,252 )</w:t>
            </w:r>
          </w:p>
        </w:tc>
        <w:tc>
          <w:tcPr>
            <w:tcW w:w="1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(47.9 )%</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(13,204 )</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Expired tax attributes</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(2.0 )%</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0.2 %</w:t>
            </w: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1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(0.5 )%</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(127 )</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(27.1 )%</w:t>
            </w:r>
          </w:p>
        </w:tc>
        <w:tc>
          <w:tcPr>
            <w:tcW w:w="5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13,189</w:t>
            </w:r>
          </w:p>
        </w:tc>
        <w:tc>
          <w:tcPr>
            <w:tcW w:w="100" w:type="dxa"/>
            <w:vAlign w:val="bottom"/>
          </w:tcPr>
          <w:p>
            <w:pPr>
              <w:spacing w:after="0"/>
              <w:rPr>
                <w:sz w:val="17"/>
                <w:szCs w:val="17"/>
                <w:color w:val="auto"/>
              </w:rPr>
            </w:pPr>
          </w:p>
        </w:tc>
        <w:tc>
          <w:tcPr>
            <w:tcW w:w="17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35.6 %</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9,821</w:t>
            </w:r>
          </w:p>
        </w:tc>
        <w:tc>
          <w:tcPr>
            <w:tcW w:w="100" w:type="dxa"/>
            <w:vAlign w:val="bottom"/>
          </w:tcPr>
          <w:p>
            <w:pPr>
              <w:spacing w:after="0"/>
              <w:rPr>
                <w:sz w:val="17"/>
                <w:szCs w:val="17"/>
                <w:color w:val="auto"/>
              </w:rPr>
            </w:pPr>
          </w:p>
        </w:tc>
      </w:tr>
      <w:tr>
        <w:trPr>
          <w:trHeight w:val="236"/>
        </w:trPr>
        <w:tc>
          <w:tcPr>
            <w:tcW w:w="50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Income tax expense</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w:t>
            </w:r>
          </w:p>
        </w:tc>
        <w:tc>
          <w:tcPr>
            <w:tcW w:w="36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0.1</w:t>
            </w:r>
          </w:p>
        </w:tc>
        <w:tc>
          <w:tcPr>
            <w:tcW w:w="36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-1259840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2311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2311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2228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2228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80" w:firstLine="374"/>
        <w:spacing w:after="0" w:line="279" w:lineRule="auto"/>
        <w:rPr>
          <w:sz w:val="20"/>
          <w:szCs w:val="20"/>
          <w:color w:val="auto"/>
        </w:rPr>
      </w:pPr>
      <w:r>
        <w:rPr>
          <w:rFonts w:ascii="Arial" w:cs="Arial" w:eastAsia="Arial" w:hAnsi="Arial"/>
          <w:sz w:val="16"/>
          <w:szCs w:val="16"/>
          <w:color w:val="auto"/>
        </w:rPr>
        <w:t>The tax effects of items that give rise to significant portions of deferred tax assets are primarily net operating loss carryforwards. The Company evaluates the recoverability of deferred tax assets and assesses all available positive and negative evidence to estimate if sufficient future taxable income will be generated to use the existing deferred tax assets. Based on the weight of all the evidence, including a history of operating losses and the Company’s ability to generate future taxable income to realize these assets, a full valuation allowance has been recorded to offset the net deferred tax asset as realization of such asset is uncertain. The Company’s valuation allowance increased by $13.2 million and $9.8 million in 2021 and 2020, respectively.</w:t>
      </w:r>
    </w:p>
    <w:p>
      <w:pPr>
        <w:spacing w:after="0" w:line="92"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color w:val="auto"/>
        </w:rPr>
        <w:t>As of December 31, 2021, the Company had federal net operating loss carryforwards of $270.4 million and state net operating loss carryforwards of $100.2 million which may be available to offset future taxable income for tax purposes. Of the $270.4 million in federal NOLs, $154.0 million will not expire and will be able to offset 80% of taxable income in future years. Of the $100.2 million in state NOLs, $17.8 million will not expire and will be able to offset 80% of taxable income in future years. The remaining federal NOL carryforwards will expire between 2022 and 2037, and the remaining state NOL carryforwards will expire between 2028 and 2041. In addition, the Company also had federal credit carry forwards of $7.3 million and state credit carry forwards of $7.2 million as of December 31, 2021, which may be available to offset future tax liabilities. The federal credits will expire between 2037 and 2041, and the state credits do not expire.</w:t>
      </w:r>
    </w:p>
    <w:p>
      <w:pPr>
        <w:spacing w:after="0" w:line="123" w:lineRule="exact"/>
        <w:rPr>
          <w:sz w:val="20"/>
          <w:szCs w:val="20"/>
          <w:color w:val="auto"/>
        </w:rPr>
      </w:pPr>
    </w:p>
    <w:p>
      <w:pPr>
        <w:ind w:right="200" w:firstLine="374"/>
        <w:spacing w:after="0" w:line="261"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6" w:name="page147"/>
    <w:bookmarkEnd w:id="146"/>
    <w:p>
      <w:pPr>
        <w:ind w:right="80"/>
        <w:spacing w:after="0" w:line="294" w:lineRule="auto"/>
        <w:rPr>
          <w:sz w:val="20"/>
          <w:szCs w:val="20"/>
          <w:color w:val="auto"/>
        </w:rPr>
      </w:pPr>
      <w:r>
        <w:rPr>
          <w:rFonts w:ascii="Arial" w:cs="Arial" w:eastAsia="Arial" w:hAnsi="Arial"/>
          <w:sz w:val="16"/>
          <w:szCs w:val="16"/>
          <w:color w:val="auto"/>
        </w:rPr>
        <w:t>carrybacks to offset 100% of taxable income for taxable years beginning before 2021. In addition, the CARES Act allows NOLs incurred in 2018, 2019 and 2020 to be carried back to each of the five preceding taxable years to generate a refund of previously paid income taxes. Due to the Company’s history of net operating losses, the CARES Act is not expected to have a material impact on the Company’s consolidated financial statements.</w:t>
      </w:r>
    </w:p>
    <w:p>
      <w:pPr>
        <w:spacing w:after="0" w:line="80" w:lineRule="exact"/>
        <w:rPr>
          <w:sz w:val="20"/>
          <w:szCs w:val="20"/>
          <w:color w:val="auto"/>
        </w:rPr>
      </w:pPr>
    </w:p>
    <w:p>
      <w:pPr>
        <w:ind w:right="160" w:firstLine="374"/>
        <w:spacing w:after="0" w:line="262" w:lineRule="auto"/>
        <w:rPr>
          <w:sz w:val="20"/>
          <w:szCs w:val="20"/>
          <w:color w:val="auto"/>
        </w:rPr>
      </w:pPr>
      <w:r>
        <w:rPr>
          <w:rFonts w:ascii="Arial" w:cs="Arial" w:eastAsia="Arial" w:hAnsi="Arial"/>
          <w:sz w:val="17"/>
          <w:szCs w:val="17"/>
          <w:color w:val="auto"/>
        </w:rPr>
        <w:t>On December 27, 2020, the United States enacted the Consolidated Appropriations Act, 2021 (the “Appropriations Act”). Included in the tax provisions are a number of items directly related to COVID-19 relief such as a provision allowing recipients of Paycheck Protection Program (the “PPP”) loans to deduct associated costs and an extension and significant expansion of the employee retention credit originally enacted in the CARES Act. There was no material impact to the Company from the provisions of the Appropriations Act in 2021 and 2020.</w:t>
      </w:r>
    </w:p>
    <w:p>
      <w:pPr>
        <w:spacing w:after="0" w:line="91" w:lineRule="exact"/>
        <w:rPr>
          <w:sz w:val="20"/>
          <w:szCs w:val="20"/>
          <w:color w:val="auto"/>
        </w:rPr>
      </w:pPr>
    </w:p>
    <w:p>
      <w:pPr>
        <w:ind w:right="120" w:firstLine="374"/>
        <w:spacing w:after="0" w:line="248" w:lineRule="auto"/>
        <w:rPr>
          <w:sz w:val="20"/>
          <w:szCs w:val="20"/>
          <w:color w:val="auto"/>
        </w:rPr>
      </w:pPr>
      <w:r>
        <w:rPr>
          <w:rFonts w:ascii="Arial" w:cs="Arial" w:eastAsia="Arial" w:hAnsi="Arial"/>
          <w:sz w:val="18"/>
          <w:szCs w:val="18"/>
          <w:color w:val="auto"/>
        </w:rPr>
        <w:t>On June 29, 2020, the state of California enacted Assembly Bill No. 85 (AB 85) suspending California net operating loss utilization and imposing a cap on the amount of business incentive tax credits companies can utilize, effective for tax years 2020, 2021 and 2022. There was no material impact from the provisions of AB 85 in 2021 and 2020.</w:t>
      </w:r>
    </w:p>
    <w:p>
      <w:pPr>
        <w:spacing w:after="0" w:line="114"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Utilization of the net operating loss carryforwards may be subject to substantial annual limitation due to ownership change limitations that may have occurred or that could occur in the future, as required by Section 382 of the Internal Revenue Code of 1986, as amended (the “Code”), as well as similar state provisions. These ownership changes may limit the amount of net operating loss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22"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R&amp;D credit carryforwards may be limited in the event a cumulative change in ownership of more than 50% occurs within a three-year period. The Company has not completed an IRC Sections 382 and 383 analysis regarding the limitation of net operating loss and R&amp;D credit carryforwards as of December 31, 2021. The Company has not completed a formal R&amp;D study but has estimated the federal and California credit for purposes of the tax footnote as of December 31, 2021. However, the Company has not reflected a benefit in the consolidated financial statements due to the recorded valuation allowance.</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changes occurred in the amount of unrecognized tax benefits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89"/>
              </w:rPr>
              <w:t>Year ended December 31,</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6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Pr>
          <w:p>
            <w:pPr>
              <w:spacing w:after="0"/>
              <w:rPr>
                <w:sz w:val="19"/>
                <w:szCs w:val="19"/>
                <w:color w:val="auto"/>
              </w:rPr>
            </w:pPr>
          </w:p>
        </w:tc>
        <w:tc>
          <w:tcPr>
            <w:tcW w:w="17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 of unrecognized tax benefits</w:t>
            </w:r>
          </w:p>
        </w:tc>
        <w:tc>
          <w:tcPr>
            <w:tcW w:w="110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2,554</w:t>
            </w:r>
          </w:p>
        </w:tc>
        <w:tc>
          <w:tcPr>
            <w:tcW w:w="80" w:type="dxa"/>
            <w:vAlign w:val="bottom"/>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jc w:val="right"/>
              <w:ind w:right="113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2,056</w:t>
            </w:r>
          </w:p>
        </w:tc>
        <w:tc>
          <w:tcPr>
            <w:tcW w:w="6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Additions for current year tax positions</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60" w:type="dxa"/>
            <w:vAlign w:val="bottom"/>
          </w:tcPr>
          <w:p>
            <w:pPr>
              <w:spacing w:after="0"/>
              <w:rPr>
                <w:sz w:val="17"/>
                <w:szCs w:val="17"/>
                <w:color w:val="auto"/>
              </w:rPr>
            </w:pPr>
          </w:p>
        </w:tc>
      </w:tr>
      <w:tr>
        <w:trPr>
          <w:trHeight w:val="203"/>
        </w:trPr>
        <w:tc>
          <w:tcPr>
            <w:tcW w:w="69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Reductions for prior year tax positions</w:t>
            </w:r>
          </w:p>
        </w:tc>
        <w:tc>
          <w:tcPr>
            <w:tcW w:w="1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100" w:type="dxa"/>
            <w:vAlign w:val="bottom"/>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3,013</w:t>
            </w:r>
          </w:p>
        </w:tc>
        <w:tc>
          <w:tcPr>
            <w:tcW w:w="1780" w:type="dxa"/>
            <w:vAlign w:val="bottom"/>
            <w:gridSpan w:val="2"/>
          </w:tcPr>
          <w:p>
            <w:pPr>
              <w:jc w:val="right"/>
              <w:ind w:right="1130"/>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2,554</w:t>
            </w:r>
          </w:p>
        </w:tc>
        <w:tc>
          <w:tcPr>
            <w:tcW w:w="6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-159385</wp:posOffset>
            </wp:positionV>
            <wp:extent cx="5143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76" w:lineRule="exact"/>
        <w:rPr>
          <w:sz w:val="20"/>
          <w:szCs w:val="20"/>
          <w:color w:val="auto"/>
        </w:rPr>
      </w:pPr>
    </w:p>
    <w:p>
      <w:pPr>
        <w:ind w:right="380" w:firstLine="374"/>
        <w:spacing w:after="0" w:line="241" w:lineRule="auto"/>
        <w:rPr>
          <w:sz w:val="20"/>
          <w:szCs w:val="20"/>
          <w:color w:val="auto"/>
        </w:rPr>
      </w:pPr>
      <w:r>
        <w:rPr>
          <w:rFonts w:ascii="Arial" w:cs="Arial" w:eastAsia="Arial" w:hAnsi="Arial"/>
          <w:sz w:val="18"/>
          <w:szCs w:val="18"/>
          <w:color w:val="auto"/>
        </w:rPr>
        <w:t>None of the unrecognized tax benefits, if recognized, would impact the annual effective rate, due to the valuation allowance. The Company’s unrecognized tax benefits are recorded as a reduction in deferred tax assets. The Company does not expect any significant increases or decreases to the Company’s unrecognized tax benefits within the next 12 months. Due to the existence of the valuation allowance, future changes in the Company's unrecognized tax benefits will not impact the Company's effective tax rate. The Company has not incurred any material interest or penalties as of the current reporting date with respect to income tax matters.</w:t>
      </w:r>
    </w:p>
    <w:p>
      <w:pPr>
        <w:spacing w:after="0" w:line="122" w:lineRule="exact"/>
        <w:rPr>
          <w:sz w:val="20"/>
          <w:szCs w:val="20"/>
          <w:color w:val="auto"/>
        </w:rPr>
      </w:pPr>
    </w:p>
    <w:p>
      <w:pPr>
        <w:ind w:right="120" w:firstLine="374"/>
        <w:spacing w:after="0" w:line="279" w:lineRule="auto"/>
        <w:rPr>
          <w:sz w:val="20"/>
          <w:szCs w:val="20"/>
          <w:color w:val="auto"/>
        </w:rPr>
      </w:pPr>
      <w:r>
        <w:rPr>
          <w:rFonts w:ascii="Arial" w:cs="Arial" w:eastAsia="Arial" w:hAnsi="Arial"/>
          <w:sz w:val="16"/>
          <w:szCs w:val="16"/>
          <w:color w:val="auto"/>
        </w:rPr>
        <w:t>The Company is subject to U.S. federal and various states' income taxes. The federal returns for tax years 2018 through 2021 remain open to examination and the state returns remain subject to examination for tax years 2017 through 2021. Carryforward attributes that were generated in years where the statute of limitations is closed may still be adjusted upon examination by the Internal Revenue Service or other respective tax authorities. All other state jurisdictions remain open to examination. There are no cumulative earnings in our foreign subsidiaries as of December 31, 2021 and 2020 that would be subject to U.S. income tax or foreign withholding tax. The Company plans to indefinitely reinvest any future earnings of its foreign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Note 14 – Notes Receivable for Redeemable Common Stock</w:t>
      </w:r>
    </w:p>
    <w:p>
      <w:pPr>
        <w:spacing w:after="0" w:line="108" w:lineRule="exact"/>
        <w:rPr>
          <w:sz w:val="20"/>
          <w:szCs w:val="20"/>
          <w:color w:val="auto"/>
        </w:rPr>
      </w:pPr>
    </w:p>
    <w:p>
      <w:pPr>
        <w:jc w:val="both"/>
        <w:ind w:right="100" w:firstLine="374"/>
        <w:spacing w:after="0" w:line="271" w:lineRule="auto"/>
        <w:rPr>
          <w:sz w:val="20"/>
          <w:szCs w:val="20"/>
          <w:color w:val="auto"/>
        </w:rPr>
      </w:pPr>
      <w:r>
        <w:rPr>
          <w:rFonts w:ascii="Arial" w:cs="Arial" w:eastAsia="Arial" w:hAnsi="Arial"/>
          <w:sz w:val="16"/>
          <w:szCs w:val="16"/>
          <w:color w:val="auto"/>
        </w:rPr>
        <w:t>During 2016 and 2017, the Company entered into or renewed full recourse promissory notes with former or current Board Members and certain other parties with an aggregate principal of $693,000, which included unpaid principal and accrued interest thereon. The notes bore interest at 7%, compounded annually. The initial maturity of the notes was amended to extend the maturity dates into 2021 and 2022 in exchange for payments totaling $105,000.</w:t>
      </w:r>
    </w:p>
    <w:p>
      <w:pPr>
        <w:ind w:right="360"/>
        <w:spacing w:after="0" w:line="243" w:lineRule="auto"/>
        <w:rPr>
          <w:sz w:val="20"/>
          <w:szCs w:val="20"/>
          <w:color w:val="auto"/>
        </w:rPr>
      </w:pPr>
      <w:r>
        <w:rPr>
          <w:rFonts w:ascii="Arial" w:cs="Arial" w:eastAsia="Arial" w:hAnsi="Arial"/>
          <w:sz w:val="18"/>
          <w:szCs w:val="18"/>
          <w:color w:val="auto"/>
        </w:rPr>
        <w:t>Common stock was originally issued as consideration for the promissory notes and was held as collateral. As of December 31, 2021 and 2020, accrued interest was $0 and $110,000, respectively.</w:t>
      </w:r>
    </w:p>
    <w:p>
      <w:pPr>
        <w:spacing w:after="0" w:line="118"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On July 29, 2021, the Company completed its IPO and immediately prior to the completion of the IPO, 11,011 outstanding shares of the Company's common stock were surrendered to satisfy the promissory note and accrued interest. The promissory notes and outstanding interest thereon were reported as a component of temporary equity in the accompanying consolidated balance sheets and statements of redeemable common stock, stock options, preferred stock and stockholders’ deficit as of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w:t>
      </w:r>
    </w:p>
    <w:p>
      <w:pPr>
        <w:spacing w:after="0" w:line="108" w:lineRule="exact"/>
        <w:rPr>
          <w:sz w:val="20"/>
          <w:szCs w:val="20"/>
          <w:color w:val="auto"/>
        </w:rPr>
      </w:pPr>
    </w:p>
    <w:p>
      <w:pPr>
        <w:ind w:right="200" w:firstLine="374"/>
        <w:spacing w:after="0" w:line="248" w:lineRule="auto"/>
        <w:rPr>
          <w:sz w:val="20"/>
          <w:szCs w:val="20"/>
          <w:color w:val="auto"/>
        </w:rPr>
      </w:pPr>
      <w:r>
        <w:rPr>
          <w:rFonts w:ascii="Arial" w:cs="Arial" w:eastAsia="Arial" w:hAnsi="Arial"/>
          <w:sz w:val="18"/>
          <w:szCs w:val="18"/>
          <w:color w:val="auto"/>
        </w:rPr>
        <w:t>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w:t>
      </w:r>
    </w:p>
    <w:p>
      <w:pPr>
        <w:spacing w:after="0" w:line="101" w:lineRule="exact"/>
        <w:rPr>
          <w:sz w:val="20"/>
          <w:szCs w:val="20"/>
          <w:color w:val="auto"/>
        </w:rPr>
      </w:pPr>
    </w:p>
    <w:p>
      <w:pPr>
        <w:ind w:right="120" w:firstLine="374"/>
        <w:spacing w:after="0" w:line="243" w:lineRule="auto"/>
        <w:rPr>
          <w:sz w:val="20"/>
          <w:szCs w:val="20"/>
          <w:color w:val="auto"/>
        </w:rPr>
      </w:pPr>
      <w:r>
        <w:rPr>
          <w:rFonts w:ascii="Arial" w:cs="Arial" w:eastAsia="Arial" w:hAnsi="Arial"/>
          <w:sz w:val="18"/>
          <w:szCs w:val="18"/>
          <w:color w:val="auto"/>
        </w:rPr>
        <w:t>The Company’s leases have remaining non-cancelable lease terms of approximately 1 year to 4 years, some of which include options to extend the leases for up to 10 years. The exercise of lease renewal options is at the Company’s sole discretion. The Company recognizes rent expense for minimum lease payments on a straight-line basis over the expected lease term, including rent holidays, rent escalation clause and/or cancelable option periods where failure to exercise such options would result in an economic penalty.</w:t>
      </w:r>
    </w:p>
    <w:p>
      <w:pPr>
        <w:spacing w:after="0" w:line="120" w:lineRule="exact"/>
        <w:rPr>
          <w:sz w:val="20"/>
          <w:szCs w:val="20"/>
          <w:color w:val="auto"/>
        </w:rPr>
      </w:pPr>
    </w:p>
    <w:p>
      <w:pPr>
        <w:jc w:val="both"/>
        <w:ind w:right="100" w:firstLine="374"/>
        <w:spacing w:after="0" w:line="248" w:lineRule="auto"/>
        <w:rPr>
          <w:sz w:val="20"/>
          <w:szCs w:val="20"/>
          <w:color w:val="auto"/>
        </w:rPr>
      </w:pPr>
      <w:r>
        <w:rPr>
          <w:rFonts w:ascii="Arial" w:cs="Arial" w:eastAsia="Arial" w:hAnsi="Arial"/>
          <w:sz w:val="18"/>
          <w:szCs w:val="18"/>
          <w:color w:val="auto"/>
        </w:rPr>
        <w:t>As of December 31, 2021 and 2020, the Company held three leases for office, manufacturing and warehouse facilities in Aliso Viejo, California. The three leases are for 19,680, 42,106 and 48,036 square feet and expire on June 30, 2023, September 30, 2024 and January 31, 2026, respectively. For one of the facilities operating leases, the lessor provided $900,000 in tenant allowances.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lease balances within the consolidated balance sheets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17"/>
                <w:szCs w:val="17"/>
                <w:color w:val="auto"/>
              </w:rPr>
            </w:pPr>
          </w:p>
        </w:tc>
      </w:tr>
      <w:tr>
        <w:trPr>
          <w:trHeight w:val="22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Leases</w:t>
            </w:r>
          </w:p>
        </w:tc>
        <w:tc>
          <w:tcPr>
            <w:tcW w:w="200" w:type="dxa"/>
            <w:vAlign w:val="bottom"/>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196"/>
        </w:trPr>
        <w:tc>
          <w:tcPr>
            <w:tcW w:w="3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17"/>
                <w:szCs w:val="17"/>
                <w:color w:val="auto"/>
              </w:rPr>
            </w:pPr>
          </w:p>
        </w:tc>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 right-of-use assets</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5,319</w:t>
            </w:r>
          </w:p>
        </w:tc>
        <w:tc>
          <w:tcPr>
            <w:tcW w:w="60" w:type="dxa"/>
            <w:vAlign w:val="bottom"/>
            <w:shd w:val="clear" w:color="auto" w:fill="CFF0FC"/>
          </w:tcPr>
          <w:p>
            <w:pPr>
              <w:spacing w:after="0"/>
              <w:rPr>
                <w:sz w:val="17"/>
                <w:szCs w:val="17"/>
                <w:color w:val="auto"/>
              </w:rPr>
            </w:pPr>
          </w:p>
        </w:tc>
      </w:tr>
      <w:tr>
        <w:trPr>
          <w:trHeight w:val="202"/>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60" w:type="dxa"/>
            <w:vAlign w:val="bottom"/>
          </w:tcPr>
          <w:p>
            <w:pPr>
              <w:spacing w:after="0"/>
              <w:rPr>
                <w:sz w:val="17"/>
                <w:szCs w:val="17"/>
                <w:color w:val="auto"/>
              </w:rPr>
            </w:pPr>
          </w:p>
        </w:tc>
      </w:tr>
      <w:tr>
        <w:trPr>
          <w:trHeight w:val="236"/>
        </w:trPr>
        <w:tc>
          <w:tcPr>
            <w:tcW w:w="33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assets</w:t>
            </w:r>
          </w:p>
        </w:tc>
        <w:tc>
          <w:tcPr>
            <w:tcW w:w="200" w:type="dxa"/>
            <w:vAlign w:val="bottom"/>
            <w:tcBorders>
              <w:bottom w:val="single" w:sz="8" w:color="CFF0FC"/>
            </w:tcBorders>
            <w:shd w:val="clear" w:color="auto" w:fill="CFF0FC"/>
          </w:tcPr>
          <w:p>
            <w:pPr>
              <w:spacing w:after="0"/>
              <w:rPr>
                <w:sz w:val="20"/>
                <w:szCs w:val="20"/>
                <w:color w:val="auto"/>
              </w:rPr>
            </w:pPr>
          </w:p>
        </w:tc>
        <w:tc>
          <w:tcPr>
            <w:tcW w:w="40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4,317</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5,377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33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17"/>
                <w:szCs w:val="17"/>
                <w:color w:val="auto"/>
              </w:rPr>
            </w:pPr>
          </w:p>
        </w:tc>
        <w:tc>
          <w:tcPr>
            <w:tcW w:w="4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1,247</w:t>
            </w:r>
          </w:p>
        </w:tc>
        <w:tc>
          <w:tcPr>
            <w:tcW w:w="60" w:type="dxa"/>
            <w:vAlign w:val="bottom"/>
          </w:tcPr>
          <w:p>
            <w:pPr>
              <w:spacing w:after="0"/>
              <w:rPr>
                <w:sz w:val="17"/>
                <w:szCs w:val="17"/>
                <w:color w:val="auto"/>
              </w:rPr>
            </w:pPr>
          </w:p>
        </w:tc>
      </w:tr>
      <w:tr>
        <w:trPr>
          <w:trHeight w:val="203"/>
        </w:trPr>
        <w:tc>
          <w:tcPr>
            <w:tcW w:w="3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w:t>
            </w:r>
          </w:p>
        </w:tc>
        <w:tc>
          <w:tcPr>
            <w:tcW w:w="200" w:type="dxa"/>
            <w:vAlign w:val="bottom"/>
            <w:shd w:val="clear" w:color="auto" w:fill="CFF0FC"/>
          </w:tcPr>
          <w:p>
            <w:pPr>
              <w:spacing w:after="0"/>
              <w:rPr>
                <w:sz w:val="17"/>
                <w:szCs w:val="17"/>
                <w:color w:val="auto"/>
              </w:rPr>
            </w:pPr>
          </w:p>
        </w:tc>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7"/>
                <w:szCs w:val="17"/>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17"/>
                <w:szCs w:val="17"/>
                <w:color w:val="auto"/>
              </w:rPr>
            </w:pPr>
          </w:p>
        </w:tc>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5,042</w:t>
            </w:r>
          </w:p>
        </w:tc>
        <w:tc>
          <w:tcPr>
            <w:tcW w:w="60" w:type="dxa"/>
            <w:vAlign w:val="bottom"/>
            <w:shd w:val="clear" w:color="auto" w:fill="CFF0FC"/>
          </w:tcPr>
          <w:p>
            <w:pPr>
              <w:spacing w:after="0"/>
              <w:rPr>
                <w:sz w:val="17"/>
                <w:szCs w:val="17"/>
                <w:color w:val="auto"/>
              </w:rPr>
            </w:pPr>
          </w:p>
        </w:tc>
      </w:tr>
      <w:tr>
        <w:trPr>
          <w:trHeight w:val="203"/>
        </w:trPr>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r>
      <w:tr>
        <w:trPr>
          <w:trHeight w:val="236"/>
        </w:trPr>
        <w:tc>
          <w:tcPr>
            <w:tcW w:w="33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FF0FC"/>
            </w:tcBorders>
            <w:shd w:val="clear" w:color="auto" w:fill="CFF0FC"/>
          </w:tcPr>
          <w:p>
            <w:pPr>
              <w:spacing w:after="0"/>
              <w:rPr>
                <w:sz w:val="20"/>
                <w:szCs w:val="20"/>
                <w:color w:val="auto"/>
              </w:rPr>
            </w:pPr>
          </w:p>
        </w:tc>
        <w:tc>
          <w:tcPr>
            <w:tcW w:w="40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5,171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6,353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-1087755</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-1070610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-1087755</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-1070610</wp:posOffset>
            </wp:positionV>
            <wp:extent cx="431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460" w:firstLine="374"/>
        <w:spacing w:after="0" w:line="261" w:lineRule="auto"/>
        <w:rPr>
          <w:sz w:val="20"/>
          <w:szCs w:val="20"/>
          <w:color w:val="auto"/>
        </w:rPr>
      </w:pPr>
      <w:r>
        <w:rPr>
          <w:rFonts w:ascii="Arial" w:cs="Arial" w:eastAsia="Arial" w:hAnsi="Arial"/>
          <w:sz w:val="18"/>
          <w:szCs w:val="18"/>
          <w:color w:val="auto"/>
        </w:rPr>
        <w:t>As the implicit rates in the Company’s leases were not readily available, the incremental borrowing rate was determined based upon information available at the lease commencement date in determining the present value of future lease payments.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8" w:name="page149"/>
    <w:bookmarkEnd w:id="148"/>
    <w:p>
      <w:pPr>
        <w:ind w:left="420"/>
        <w:spacing w:after="0"/>
        <w:rPr>
          <w:sz w:val="20"/>
          <w:szCs w:val="20"/>
          <w:color w:val="auto"/>
        </w:rPr>
      </w:pPr>
      <w:r>
        <w:rPr>
          <w:rFonts w:ascii="Arial" w:cs="Arial" w:eastAsia="Arial" w:hAnsi="Arial"/>
          <w:sz w:val="17"/>
          <w:szCs w:val="17"/>
          <w:color w:val="auto"/>
        </w:rPr>
        <w:t>For the years ended December 31, 2021 and 2020, the components of operating and finance lease expenses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 Cost</w:t>
            </w:r>
          </w:p>
        </w:tc>
        <w:tc>
          <w:tcPr>
            <w:tcW w:w="180" w:type="dxa"/>
            <w:vAlign w:val="bottom"/>
          </w:tcPr>
          <w:p>
            <w:pPr>
              <w:spacing w:after="0"/>
              <w:rPr>
                <w:sz w:val="19"/>
                <w:szCs w:val="19"/>
                <w:color w:val="auto"/>
              </w:rPr>
            </w:pPr>
          </w:p>
        </w:tc>
        <w:tc>
          <w:tcPr>
            <w:tcW w:w="3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vMerge w:val="restart"/>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180" w:type="dxa"/>
            <w:vAlign w:val="bottom"/>
          </w:tcPr>
          <w:p>
            <w:pPr>
              <w:spacing w:after="0"/>
              <w:rPr>
                <w:sz w:val="17"/>
                <w:szCs w:val="17"/>
                <w:color w:val="auto"/>
              </w:rPr>
            </w:pPr>
          </w:p>
        </w:tc>
        <w:tc>
          <w:tcPr>
            <w:tcW w:w="3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sales</w:t>
            </w: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14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7"/>
                <w:szCs w:val="17"/>
                <w:color w:val="auto"/>
              </w:rPr>
            </w:pPr>
          </w:p>
        </w:tc>
        <w:tc>
          <w:tcPr>
            <w:tcW w:w="3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8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the Company’s operating and finance lease liabilities as of December 31, 2021,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Operating</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Finance</w:t>
            </w:r>
          </w:p>
        </w:tc>
        <w:tc>
          <w:tcPr>
            <w:tcW w:w="60" w:type="dxa"/>
            <w:vAlign w:val="bottom"/>
          </w:tcPr>
          <w:p>
            <w:pPr>
              <w:spacing w:after="0"/>
              <w:rPr>
                <w:sz w:val="17"/>
                <w:szCs w:val="17"/>
                <w:color w:val="auto"/>
              </w:rPr>
            </w:pPr>
          </w:p>
        </w:tc>
      </w:tr>
      <w:tr>
        <w:trPr>
          <w:trHeight w:val="221"/>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Leases</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Leases</w:t>
            </w:r>
          </w:p>
        </w:tc>
        <w:tc>
          <w:tcPr>
            <w:tcW w:w="60" w:type="dxa"/>
            <w:vAlign w:val="bottom"/>
          </w:tcPr>
          <w:p>
            <w:pPr>
              <w:spacing w:after="0"/>
              <w:rPr>
                <w:sz w:val="19"/>
                <w:szCs w:val="19"/>
                <w:color w:val="auto"/>
              </w:rPr>
            </w:pPr>
          </w:p>
        </w:tc>
      </w:tr>
      <w:tr>
        <w:trPr>
          <w:trHeight w:val="196"/>
        </w:trPr>
        <w:tc>
          <w:tcPr>
            <w:tcW w:w="7520" w:type="dxa"/>
            <w:vAlign w:val="bottom"/>
            <w:shd w:val="clear" w:color="auto" w:fill="CFF0FC"/>
          </w:tcPr>
          <w:p>
            <w:pPr>
              <w:jc w:val="right"/>
              <w:ind w:right="6690"/>
              <w:spacing w:after="0" w:line="196"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jc w:val="right"/>
              <w:ind w:right="6690"/>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1,683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r>
      <w:tr>
        <w:trPr>
          <w:trHeight w:val="203"/>
        </w:trPr>
        <w:tc>
          <w:tcPr>
            <w:tcW w:w="7520" w:type="dxa"/>
            <w:vAlign w:val="bottom"/>
            <w:shd w:val="clear" w:color="auto" w:fill="CFF0FC"/>
          </w:tcPr>
          <w:p>
            <w:pPr>
              <w:jc w:val="right"/>
              <w:ind w:right="6690"/>
              <w:spacing w:after="0" w:line="202"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jc w:val="right"/>
              <w:ind w:right="6690"/>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jc w:val="right"/>
              <w:ind w:right="6690"/>
              <w:spacing w:after="0" w:line="202" w:lineRule="exact"/>
              <w:rPr>
                <w:sz w:val="20"/>
                <w:szCs w:val="20"/>
                <w:color w:val="auto"/>
              </w:rPr>
            </w:pPr>
            <w:r>
              <w:rPr>
                <w:rFonts w:ascii="Arial" w:cs="Arial" w:eastAsia="Arial" w:hAnsi="Arial"/>
                <w:sz w:val="18"/>
                <w:szCs w:val="18"/>
                <w:color w:val="auto"/>
              </w:rPr>
              <w:t>2026</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6,145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jc w:val="right"/>
              <w:ind w:right="5630"/>
              <w:spacing w:after="0" w:line="202" w:lineRule="exact"/>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1,011</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4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5,134</w:t>
            </w:r>
          </w:p>
        </w:tc>
        <w:tc>
          <w:tcPr>
            <w:tcW w:w="5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-424815</wp:posOffset>
            </wp:positionV>
            <wp:extent cx="5143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-424815</wp:posOffset>
            </wp:positionV>
            <wp:extent cx="431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5143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76"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The weighted average remaining lease term and weighted average discount rate used to determine lease liabilities related to the Company’s operating and finance leases as of December 31, 2021 and 2020 were: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2420" w:type="dxa"/>
            <w:vAlign w:val="bottom"/>
          </w:tcPr>
          <w:p>
            <w:pPr>
              <w:ind w:left="6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4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2021</w:t>
            </w:r>
          </w:p>
        </w:tc>
        <w:tc>
          <w:tcPr>
            <w:tcW w:w="26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2020</w:t>
            </w:r>
          </w:p>
        </w:tc>
      </w:tr>
      <w:tr>
        <w:trPr>
          <w:trHeight w:val="196"/>
        </w:trPr>
        <w:tc>
          <w:tcPr>
            <w:tcW w:w="62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180" w:type="dxa"/>
            <w:vAlign w:val="bottom"/>
            <w:shd w:val="clear" w:color="auto" w:fill="CFF0FC"/>
          </w:tcPr>
          <w:p>
            <w:pPr>
              <w:spacing w:after="0"/>
              <w:rPr>
                <w:sz w:val="17"/>
                <w:szCs w:val="17"/>
                <w:color w:val="auto"/>
              </w:rPr>
            </w:pPr>
          </w:p>
        </w:tc>
        <w:tc>
          <w:tcPr>
            <w:tcW w:w="22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20" w:type="dxa"/>
            <w:vAlign w:val="bottom"/>
            <w:tcBorders>
              <w:top w:val="single" w:sz="8" w:color="auto"/>
            </w:tcBorders>
            <w:shd w:val="clear" w:color="auto" w:fill="CFF0FC"/>
          </w:tcPr>
          <w:p>
            <w:pPr>
              <w:spacing w:after="0"/>
              <w:rPr>
                <w:sz w:val="17"/>
                <w:szCs w:val="17"/>
                <w:color w:val="auto"/>
              </w:rPr>
            </w:pPr>
          </w:p>
        </w:tc>
      </w:tr>
      <w:tr>
        <w:trPr>
          <w:trHeight w:val="203"/>
        </w:trPr>
        <w:tc>
          <w:tcPr>
            <w:tcW w:w="622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242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1"/>
              </w:rPr>
              <w:t>3.30</w:t>
            </w:r>
          </w:p>
        </w:tc>
        <w:tc>
          <w:tcPr>
            <w:tcW w:w="260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5"/>
              </w:rPr>
              <w:t>4.21</w:t>
            </w:r>
          </w:p>
        </w:tc>
      </w:tr>
      <w:tr>
        <w:trPr>
          <w:trHeight w:val="203"/>
        </w:trPr>
        <w:tc>
          <w:tcPr>
            <w:tcW w:w="6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24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1"/>
              </w:rPr>
              <w:t>1.72</w:t>
            </w:r>
          </w:p>
        </w:tc>
        <w:tc>
          <w:tcPr>
            <w:tcW w:w="260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5"/>
              </w:rPr>
              <w:t>2.42</w:t>
            </w: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6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24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3"/>
              </w:rPr>
              <w:t>10.5%</w:t>
            </w:r>
          </w:p>
        </w:tc>
        <w:tc>
          <w:tcPr>
            <w:tcW w:w="260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0"/>
              </w:rPr>
              <w:t>10.5%</w:t>
            </w:r>
          </w:p>
        </w:tc>
      </w:tr>
      <w:tr>
        <w:trPr>
          <w:trHeight w:val="230"/>
        </w:trPr>
        <w:tc>
          <w:tcPr>
            <w:tcW w:w="622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242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10.5%</w:t>
            </w:r>
          </w:p>
        </w:tc>
        <w:tc>
          <w:tcPr>
            <w:tcW w:w="26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10.5%</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a standby letter of credit, expiring September 30, 2024, issued by a financial institution as required security for one operating lease.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letter of credit was $310,000 and $360,000 as of December 31, 2021 and 2020, respectively.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Legal matters</w:t>
      </w:r>
    </w:p>
    <w:p>
      <w:pPr>
        <w:spacing w:after="0" w:line="104" w:lineRule="exact"/>
        <w:rPr>
          <w:sz w:val="20"/>
          <w:szCs w:val="20"/>
          <w:color w:val="auto"/>
        </w:rPr>
      </w:pPr>
    </w:p>
    <w:p>
      <w:pPr>
        <w:ind w:right="180" w:firstLine="374"/>
        <w:spacing w:after="0" w:line="294" w:lineRule="auto"/>
        <w:rPr>
          <w:sz w:val="20"/>
          <w:szCs w:val="20"/>
          <w:color w:val="auto"/>
        </w:rPr>
      </w:pPr>
      <w:r>
        <w:rPr>
          <w:rFonts w:ascii="Arial" w:cs="Arial" w:eastAsia="Arial" w:hAnsi="Arial"/>
          <w:sz w:val="16"/>
          <w:szCs w:val="16"/>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9" w:name="page150"/>
    <w:bookmarkEnd w:id="149"/>
    <w:p>
      <w:pPr>
        <w:spacing w:after="0" w:line="274" w:lineRule="auto"/>
        <w:rPr>
          <w:sz w:val="20"/>
          <w:szCs w:val="20"/>
          <w:color w:val="auto"/>
        </w:rPr>
      </w:pPr>
      <w:r>
        <w:rPr>
          <w:rFonts w:ascii="Arial" w:cs="Arial" w:eastAsia="Arial" w:hAnsi="Arial"/>
          <w:sz w:val="16"/>
          <w:szCs w:val="16"/>
          <w:color w:val="auto"/>
        </w:rPr>
        <w:t>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December 31, 2021 and 2020,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Employee benefit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04" w:lineRule="exact"/>
        <w:rPr>
          <w:sz w:val="20"/>
          <w:szCs w:val="20"/>
          <w:color w:val="auto"/>
        </w:rPr>
      </w:pPr>
    </w:p>
    <w:p>
      <w:pPr>
        <w:ind w:right="20" w:firstLine="374"/>
        <w:spacing w:after="0" w:line="254" w:lineRule="auto"/>
        <w:rPr>
          <w:sz w:val="20"/>
          <w:szCs w:val="20"/>
          <w:color w:val="auto"/>
        </w:rPr>
      </w:pPr>
      <w:r>
        <w:rPr>
          <w:rFonts w:ascii="Arial" w:cs="Arial" w:eastAsia="Arial" w:hAnsi="Arial"/>
          <w:sz w:val="17"/>
          <w:szCs w:val="17"/>
          <w:color w:val="auto"/>
        </w:rPr>
        <w:t>The Company maintains a defined contribution 401(k) retirement savings plan for the benefit of its employees, including its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In July 2021, the Company began making matching contributions of up to 2% of eligible compensation, as contributed by eligible participating employees. Employer matching contributions vest 25% per year over four years. The Company contributed $228,000, net of forfeitures, to the 401(k) plan for the year ended December 31,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08"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On March 7, 2022, the Company (Lessee) entered into a twenty-eight-month lease agreement with BML Management, LLC (Lessor) for 125 Columbia, Suite B in Aliso Viejo, CA. The lease commencement date is May 1, 2022 and will expire on August 31, 2024. The base rent payable is $15,738 per month.</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8"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44" w:lineRule="exact"/>
        <w:rPr>
          <w:sz w:val="20"/>
          <w:szCs w:val="20"/>
          <w:color w:val="auto"/>
        </w:rPr>
      </w:pPr>
    </w:p>
    <w:p>
      <w:pPr>
        <w:ind w:right="40" w:firstLine="374"/>
        <w:spacing w:after="0" w:line="270" w:lineRule="auto"/>
        <w:rPr>
          <w:sz w:val="20"/>
          <w:szCs w:val="20"/>
          <w:color w:val="auto"/>
        </w:rPr>
      </w:pPr>
      <w:r>
        <w:rPr>
          <w:rFonts w:ascii="Arial" w:cs="Arial" w:eastAsia="Arial" w:hAnsi="Arial"/>
          <w:sz w:val="16"/>
          <w:szCs w:val="16"/>
          <w:color w:val="auto"/>
        </w:rPr>
        <w:t>As of December 31, 2021,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31"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ind w:right="240" w:firstLine="374"/>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144"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On March 3, 2022, the compensation committee (the “Compensation Committee”) of the board of directors approved increases in the base salaries and annual target cash incentive payments (the “Target Bonuses”) for each of our named executive officers for the fiscal year 2022, effective March 1, 2022. The Compensation Committee approved (i) an increase in the base salary of each of Eric Weinberg, Ilya Goldshleger and Shelley Thunen from $375,000 to $425,000 and (ii) an increase in the Target Bonuses of each of Mr. Weinberg, Dr. Goldshleger, and Ms. Thunen from 50% to 55% of each of their base salaries. The Compensation Committee also approved, effective March 1, 2022 (i) an increase in the base salary of our Chief Executive Officer, Ron Kurtz, from $500,000 to $575,000 and (ii) an increase in Mr. Kurtz’s Target Bonus from 75% of his salary to 85% of his salary.</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disclosure is provided in this Part II, Item 9B in lieu of disclosure under Item 5.02(e) of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2" w:name="page153"/>
    <w:bookmarkEnd w:id="152"/>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The information called for by this item will be set forth in our Proxy Statement for the Annual Meeting of Stockholders to be filed with the SEC within 120 days of the fiscal year ended December 31, 2021 (the “Proxy Statement”) and is incorporated herein by reference.</w:t>
      </w:r>
    </w:p>
    <w:p>
      <w:pPr>
        <w:spacing w:after="0" w:line="3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July 2021, our Board of Directors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https://investors.rxsight.com/corporate-governance/governance-overview. We will post any amendments to our code of business conduct and ethics, or waivers of its requirements, on our website.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10"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“Board of Directors and Corporate Governance”, and “Executive Compensation” which will be included in our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“Security Ownership of Certain Beneficial Owners and Management” which will be included in our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“Certain Relationships and Related Party Transactions” and “Board of Directors and Corporate Governance” which will be included in our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“Ratification of Independent Registered Public Accounting Firm” which will be included in our Proxy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4" w:right="55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300" w:hanging="292"/>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this Annual Report on Form 10-K:</w:t>
      </w:r>
    </w:p>
    <w:p>
      <w:pPr>
        <w:spacing w:after="0" w:line="198" w:lineRule="exact"/>
        <w:rPr>
          <w:rFonts w:ascii="Arial" w:cs="Arial" w:eastAsia="Arial" w:hAnsi="Arial"/>
          <w:sz w:val="18"/>
          <w:szCs w:val="18"/>
          <w:color w:val="auto"/>
        </w:rPr>
      </w:pPr>
    </w:p>
    <w:p>
      <w:pPr>
        <w:ind w:left="1020" w:right="220" w:hanging="503"/>
        <w:spacing w:after="0" w:line="261"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Financial Statements: The financial statements included in Part II, Item 8 of this document are filed as part of this Annual Report on Form 10-K.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Financial Statement Schedules: Schedule II – Valuation and Qualifying Accounts and Reserves.</w:t>
      </w:r>
    </w:p>
    <w:p>
      <w:pPr>
        <w:spacing w:after="0" w:line="103" w:lineRule="exact"/>
        <w:rPr>
          <w:rFonts w:ascii="Arial" w:cs="Arial" w:eastAsia="Arial" w:hAnsi="Arial"/>
          <w:sz w:val="18"/>
          <w:szCs w:val="18"/>
          <w:color w:val="auto"/>
        </w:rPr>
      </w:pPr>
    </w:p>
    <w:p>
      <w:pPr>
        <w:ind w:left="1020" w:right="280"/>
        <w:spacing w:after="0" w:line="261" w:lineRule="auto"/>
        <w:rPr>
          <w:rFonts w:ascii="Arial" w:cs="Arial" w:eastAsia="Arial" w:hAnsi="Arial"/>
          <w:sz w:val="18"/>
          <w:szCs w:val="18"/>
          <w:color w:val="auto"/>
        </w:rPr>
      </w:pPr>
      <w:r>
        <w:rPr>
          <w:rFonts w:ascii="Arial" w:cs="Arial" w:eastAsia="Arial" w:hAnsi="Arial"/>
          <w:sz w:val="18"/>
          <w:szCs w:val="18"/>
          <w:color w:val="auto"/>
        </w:rPr>
        <w:t>All other schedules have been omitted because the information either has been shown in the financial statements or notes thereto, or is not applicable or required under this section.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exhibits listed in the following Exhibit Index are filed or incorporated by reference as part of this Annual Report on Form 10-K.</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14"/>
          </w:tcPr>
          <w:p>
            <w:pPr>
              <w:ind w:left="40"/>
              <w:spacing w:after="0"/>
              <w:rPr>
                <w:sz w:val="20"/>
                <w:szCs w:val="20"/>
                <w:color w:val="auto"/>
              </w:rPr>
            </w:pPr>
            <w:r>
              <w:rPr>
                <w:rFonts w:ascii="Arial" w:cs="Arial" w:eastAsia="Arial" w:hAnsi="Arial"/>
                <w:sz w:val="18"/>
                <w:szCs w:val="18"/>
                <w:b w:val="1"/>
                <w:bCs w:val="1"/>
                <w:color w:val="auto"/>
              </w:rPr>
              <w:t>Exhibit Index</w:t>
            </w:r>
          </w:p>
        </w:tc>
        <w:tc>
          <w:tcPr>
            <w:tcW w:w="400" w:type="dxa"/>
            <w:vAlign w:val="bottom"/>
          </w:tcPr>
          <w:p>
            <w:pPr>
              <w:spacing w:after="0"/>
              <w:rPr>
                <w:sz w:val="20"/>
                <w:szCs w:val="20"/>
                <w:color w:val="auto"/>
              </w:rPr>
            </w:pPr>
          </w:p>
        </w:tc>
        <w:tc>
          <w:tcPr>
            <w:tcW w:w="2500" w:type="dxa"/>
            <w:vAlign w:val="bottom"/>
            <w:gridSpan w:val="6"/>
            <w:vMerge w:val="restart"/>
          </w:tcPr>
          <w:p>
            <w:pPr>
              <w:ind w:left="400"/>
              <w:spacing w:after="0"/>
              <w:rPr>
                <w:sz w:val="20"/>
                <w:szCs w:val="20"/>
                <w:color w:val="auto"/>
              </w:rPr>
            </w:pPr>
            <w:r>
              <w:rPr>
                <w:rFonts w:ascii="Arial" w:cs="Arial" w:eastAsia="Arial" w:hAnsi="Arial"/>
                <w:sz w:val="18"/>
                <w:szCs w:val="18"/>
                <w:b w:val="1"/>
                <w:bCs w:val="1"/>
                <w:color w:val="auto"/>
                <w:w w:val="91"/>
              </w:rPr>
              <w:t>Incorporated by Reference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gridSpan w:val="6"/>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Number</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0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Form</w:t>
            </w:r>
          </w:p>
        </w:tc>
        <w:tc>
          <w:tcPr>
            <w:tcW w:w="40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File No.</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Filing Date</w:t>
            </w:r>
          </w:p>
        </w:tc>
        <w:tc>
          <w:tcPr>
            <w:tcW w:w="0" w:type="dxa"/>
            <w:vAlign w:val="bottom"/>
          </w:tcPr>
          <w:p>
            <w:pPr>
              <w:spacing w:after="0"/>
              <w:rPr>
                <w:sz w:val="1"/>
                <w:szCs w:val="1"/>
                <w:color w:val="auto"/>
              </w:rPr>
            </w:pPr>
          </w:p>
        </w:tc>
      </w:tr>
      <w:tr>
        <w:trPr>
          <w:trHeight w:val="20"/>
        </w:trPr>
        <w:tc>
          <w:tcPr>
            <w:tcW w:w="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0" w:type="dxa"/>
            <w:vAlign w:val="bottom"/>
          </w:tcPr>
          <w:p>
            <w:pPr>
              <w:ind w:left="20"/>
              <w:spacing w:after="0"/>
              <w:rPr>
                <w:sz w:val="20"/>
                <w:szCs w:val="20"/>
                <w:color w:val="auto"/>
              </w:rPr>
            </w:pPr>
            <w:r>
              <w:rPr>
                <w:rFonts w:ascii="Arial" w:cs="Arial" w:eastAsia="Arial" w:hAnsi="Arial"/>
                <w:sz w:val="18"/>
                <w:szCs w:val="18"/>
                <w:color w:val="auto"/>
                <w:w w:val="95"/>
              </w:rPr>
              <w:t>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gridSpan w:val="25"/>
          </w:tcPr>
          <w:p>
            <w:pPr>
              <w:spacing w:after="0"/>
              <w:rPr>
                <w:rFonts w:ascii="Arial" w:cs="Arial" w:eastAsia="Arial" w:hAnsi="Arial"/>
                <w:sz w:val="18"/>
                <w:szCs w:val="18"/>
                <w:color w:val="0000FF"/>
              </w:rPr>
            </w:pPr>
            <w:hyperlink r:id="rId374">
              <w:r>
                <w:rPr>
                  <w:rFonts w:ascii="Arial" w:cs="Arial" w:eastAsia="Arial" w:hAnsi="Arial"/>
                  <w:sz w:val="18"/>
                  <w:szCs w:val="18"/>
                  <w:color w:val="0000FF"/>
                </w:rPr>
                <w:t>Amended and Restated Certificate of Incorporation of the</w:t>
              </w:r>
            </w:hyperlink>
          </w:p>
        </w:tc>
        <w:tc>
          <w:tcPr>
            <w:tcW w:w="60" w:type="dxa"/>
            <w:vAlign w:val="bottom"/>
          </w:tcPr>
          <w:p>
            <w:pPr>
              <w:spacing w:after="0"/>
              <w:rPr>
                <w:sz w:val="24"/>
                <w:szCs w:val="2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10-Q</w:t>
            </w:r>
          </w:p>
        </w:tc>
        <w:tc>
          <w:tcPr>
            <w:tcW w:w="80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November 11, 2021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9"/>
              </w:rPr>
            </w:pPr>
            <w:hyperlink r:id="rId374">
              <w:r>
                <w:rPr>
                  <w:rFonts w:ascii="Arial" w:cs="Arial" w:eastAsia="Arial" w:hAnsi="Arial"/>
                  <w:sz w:val="18"/>
                  <w:szCs w:val="18"/>
                  <w:color w:val="0000FF"/>
                  <w:w w:val="89"/>
                </w:rPr>
                <w:t>Registrant.</w:t>
              </w:r>
            </w:hyperlink>
          </w:p>
        </w:tc>
        <w:tc>
          <w:tcPr>
            <w:tcW w:w="20" w:type="dxa"/>
            <w:vAlign w:val="bottom"/>
            <w:tcBorders>
              <w:top w:val="single" w:sz="8" w:color="0000FF"/>
              <w:bottom w:val="single" w:sz="8" w:color="0000EE"/>
            </w:tcBorders>
          </w:tcPr>
          <w:p>
            <w:pPr>
              <w:spacing w:after="0"/>
              <w:rPr>
                <w:sz w:val="15"/>
                <w:szCs w:val="15"/>
                <w:color w:val="auto"/>
              </w:rPr>
            </w:pPr>
          </w:p>
        </w:tc>
        <w:tc>
          <w:tcPr>
            <w:tcW w:w="3380" w:type="dxa"/>
            <w:vAlign w:val="bottom"/>
            <w:tcBorders>
              <w:top w:val="single" w:sz="8" w:color="0000FF"/>
            </w:tcBorders>
            <w:gridSpan w:val="1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00" w:type="dxa"/>
            <w:vAlign w:val="bottom"/>
          </w:tcPr>
          <w:p>
            <w:pPr>
              <w:ind w:left="20"/>
              <w:spacing w:after="0"/>
              <w:rPr>
                <w:sz w:val="20"/>
                <w:szCs w:val="20"/>
                <w:color w:val="auto"/>
              </w:rPr>
            </w:pPr>
            <w:r>
              <w:rPr>
                <w:rFonts w:ascii="Arial" w:cs="Arial" w:eastAsia="Arial" w:hAnsi="Arial"/>
                <w:sz w:val="18"/>
                <w:szCs w:val="18"/>
                <w:color w:val="auto"/>
                <w:w w:val="95"/>
              </w:rPr>
              <w:t>3.2</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Borders>
              <w:bottom w:val="single" w:sz="8" w:color="0000FF"/>
            </w:tcBorders>
            <w:gridSpan w:val="12"/>
          </w:tcPr>
          <w:p>
            <w:pPr>
              <w:spacing w:after="0"/>
              <w:rPr>
                <w:rFonts w:ascii="Arial" w:cs="Arial" w:eastAsia="Arial" w:hAnsi="Arial"/>
                <w:sz w:val="18"/>
                <w:szCs w:val="18"/>
                <w:color w:val="0000FF"/>
                <w:w w:val="90"/>
              </w:rPr>
            </w:pPr>
            <w:hyperlink r:id="rId375">
              <w:r>
                <w:rPr>
                  <w:rFonts w:ascii="Arial" w:cs="Arial" w:eastAsia="Arial" w:hAnsi="Arial"/>
                  <w:sz w:val="18"/>
                  <w:szCs w:val="18"/>
                  <w:color w:val="0000FF"/>
                  <w:w w:val="90"/>
                </w:rPr>
                <w:t>Amended and Restated Bylaws of the Registrant.</w:t>
              </w:r>
            </w:hyperlink>
          </w:p>
        </w:tc>
        <w:tc>
          <w:tcPr>
            <w:tcW w:w="110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S-1</w:t>
            </w:r>
          </w:p>
        </w:tc>
        <w:tc>
          <w:tcPr>
            <w:tcW w:w="172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333-257790</w:t>
            </w: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July 9, 2021</w:t>
            </w:r>
          </w:p>
        </w:tc>
        <w:tc>
          <w:tcPr>
            <w:tcW w:w="0" w:type="dxa"/>
            <w:vAlign w:val="bottom"/>
          </w:tcPr>
          <w:p>
            <w:pPr>
              <w:spacing w:after="0"/>
              <w:rPr>
                <w:sz w:val="1"/>
                <w:szCs w:val="1"/>
                <w:color w:val="auto"/>
              </w:rPr>
            </w:pPr>
          </w:p>
        </w:tc>
      </w:tr>
      <w:tr>
        <w:trPr>
          <w:trHeight w:val="304"/>
        </w:trPr>
        <w:tc>
          <w:tcPr>
            <w:tcW w:w="300" w:type="dxa"/>
            <w:vAlign w:val="bottom"/>
          </w:tcPr>
          <w:p>
            <w:pPr>
              <w:ind w:left="20"/>
              <w:spacing w:after="0"/>
              <w:rPr>
                <w:sz w:val="20"/>
                <w:szCs w:val="20"/>
                <w:color w:val="auto"/>
              </w:rPr>
            </w:pPr>
            <w:r>
              <w:rPr>
                <w:rFonts w:ascii="Arial" w:cs="Arial" w:eastAsia="Arial" w:hAnsi="Arial"/>
                <w:sz w:val="18"/>
                <w:szCs w:val="18"/>
                <w:color w:val="auto"/>
                <w:w w:val="95"/>
              </w:rPr>
              <w:t>4.1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Borders>
              <w:bottom w:val="single" w:sz="8" w:color="0000FF"/>
            </w:tcBorders>
            <w:gridSpan w:val="10"/>
          </w:tcPr>
          <w:p>
            <w:pPr>
              <w:spacing w:after="0"/>
              <w:rPr>
                <w:rFonts w:ascii="Arial" w:cs="Arial" w:eastAsia="Arial" w:hAnsi="Arial"/>
                <w:sz w:val="18"/>
                <w:szCs w:val="18"/>
                <w:color w:val="0000FF"/>
                <w:w w:val="90"/>
              </w:rPr>
            </w:pPr>
            <w:hyperlink r:id="rId376">
              <w:r>
                <w:rPr>
                  <w:rFonts w:ascii="Arial" w:cs="Arial" w:eastAsia="Arial" w:hAnsi="Arial"/>
                  <w:sz w:val="18"/>
                  <w:szCs w:val="18"/>
                  <w:color w:val="0000FF"/>
                  <w:w w:val="90"/>
                </w:rPr>
                <w:t>Specimen stock certificate of the Registrant.</w:t>
              </w:r>
            </w:hyperlink>
          </w:p>
        </w:tc>
        <w:tc>
          <w:tcPr>
            <w:tcW w:w="1460" w:type="dxa"/>
            <w:vAlign w:val="bottom"/>
            <w:gridSpan w:val="15"/>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S-1/A</w:t>
            </w:r>
          </w:p>
        </w:tc>
        <w:tc>
          <w:tcPr>
            <w:tcW w:w="172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333-257790</w:t>
            </w: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July 26, 2021</w:t>
            </w:r>
          </w:p>
        </w:tc>
        <w:tc>
          <w:tcPr>
            <w:tcW w:w="0" w:type="dxa"/>
            <w:vAlign w:val="bottom"/>
          </w:tcPr>
          <w:p>
            <w:pPr>
              <w:spacing w:after="0"/>
              <w:rPr>
                <w:sz w:val="1"/>
                <w:szCs w:val="1"/>
                <w:color w:val="auto"/>
              </w:rPr>
            </w:pPr>
          </w:p>
        </w:tc>
      </w:tr>
      <w:tr>
        <w:trPr>
          <w:trHeight w:val="30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4660" w:type="dxa"/>
            <w:vAlign w:val="bottom"/>
            <w:gridSpan w:val="25"/>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Description of common stock.</w:t>
              </w:r>
            </w:hyperlink>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7"/>
                <w:szCs w:val="17"/>
                <w:color w:val="auto"/>
              </w:rPr>
            </w:pPr>
          </w:p>
        </w:tc>
        <w:tc>
          <w:tcPr>
            <w:tcW w:w="4660" w:type="dxa"/>
            <w:vAlign w:val="bottom"/>
            <w:gridSpan w:val="25"/>
          </w:tcPr>
          <w:p>
            <w:pPr>
              <w:spacing w:after="0" w:line="196" w:lineRule="exact"/>
              <w:rPr>
                <w:rFonts w:ascii="Arial" w:cs="Arial" w:eastAsia="Arial" w:hAnsi="Arial"/>
                <w:sz w:val="18"/>
                <w:szCs w:val="18"/>
                <w:color w:val="0000FF"/>
                <w:w w:val="98"/>
              </w:rPr>
            </w:pPr>
            <w:hyperlink r:id="rId377">
              <w:r>
                <w:rPr>
                  <w:rFonts w:ascii="Arial" w:cs="Arial" w:eastAsia="Arial" w:hAnsi="Arial"/>
                  <w:sz w:val="18"/>
                  <w:szCs w:val="18"/>
                  <w:color w:val="0000FF"/>
                  <w:w w:val="98"/>
                </w:rPr>
                <w:t>Form of Indemnification Agreement between the Registrant</w:t>
              </w:r>
            </w:hyperlink>
          </w:p>
        </w:tc>
        <w:tc>
          <w:tcPr>
            <w:tcW w:w="60" w:type="dxa"/>
            <w:vAlign w:val="bottom"/>
          </w:tcPr>
          <w:p>
            <w:pPr>
              <w:spacing w:after="0"/>
              <w:rPr>
                <w:sz w:val="17"/>
                <w:szCs w:val="17"/>
                <w:color w:val="auto"/>
              </w:rPr>
            </w:pPr>
          </w:p>
        </w:tc>
        <w:tc>
          <w:tcPr>
            <w:tcW w:w="7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auto"/>
                <w:w w:val="92"/>
              </w:rPr>
              <w:t>S-1</w:t>
            </w:r>
          </w:p>
        </w:tc>
        <w:tc>
          <w:tcPr>
            <w:tcW w:w="1720" w:type="dxa"/>
            <w:vAlign w:val="bottom"/>
            <w:gridSpan w:val="4"/>
          </w:tcPr>
          <w:p>
            <w:pPr>
              <w:jc w:val="center"/>
              <w:ind w:right="300"/>
              <w:spacing w:after="0" w:line="196" w:lineRule="exact"/>
              <w:rPr>
                <w:sz w:val="20"/>
                <w:szCs w:val="20"/>
                <w:color w:val="auto"/>
              </w:rPr>
            </w:pPr>
            <w:r>
              <w:rPr>
                <w:rFonts w:ascii="Arial" w:cs="Arial" w:eastAsia="Arial" w:hAnsi="Arial"/>
                <w:sz w:val="18"/>
                <w:szCs w:val="18"/>
                <w:color w:val="auto"/>
                <w:w w:val="89"/>
              </w:rPr>
              <w:t>333-257790</w:t>
            </w: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tcPr>
          <w:p>
            <w:pPr>
              <w:jc w:val="center"/>
              <w:ind w:right="280"/>
              <w:spacing w:after="0" w:line="196" w:lineRule="exact"/>
              <w:rPr>
                <w:sz w:val="20"/>
                <w:szCs w:val="20"/>
                <w:color w:val="auto"/>
              </w:rPr>
            </w:pPr>
            <w:r>
              <w:rPr>
                <w:rFonts w:ascii="Arial" w:cs="Arial" w:eastAsia="Arial" w:hAnsi="Arial"/>
                <w:sz w:val="18"/>
                <w:szCs w:val="18"/>
                <w:color w:val="auto"/>
                <w:w w:val="90"/>
              </w:rPr>
              <w:t>July 9, 2021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8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377">
              <w:r>
                <w:rPr>
                  <w:rFonts w:ascii="Arial" w:cs="Arial" w:eastAsia="Arial" w:hAnsi="Arial"/>
                  <w:sz w:val="18"/>
                  <w:szCs w:val="18"/>
                  <w:color w:val="0000FF"/>
                </w:rPr>
                <w:t>and each of its directors and executive officers.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4660" w:type="dxa"/>
            <w:vAlign w:val="bottom"/>
            <w:gridSpan w:val="25"/>
          </w:tcPr>
          <w:p>
            <w:pPr>
              <w:spacing w:after="0"/>
              <w:rPr>
                <w:rFonts w:ascii="Arial" w:cs="Arial" w:eastAsia="Arial" w:hAnsi="Arial"/>
                <w:sz w:val="18"/>
                <w:szCs w:val="18"/>
                <w:color w:val="0000FF"/>
              </w:rPr>
            </w:pPr>
            <w:hyperlink r:id="rId378">
              <w:r>
                <w:rPr>
                  <w:rFonts w:ascii="Arial" w:cs="Arial" w:eastAsia="Arial" w:hAnsi="Arial"/>
                  <w:sz w:val="18"/>
                  <w:szCs w:val="18"/>
                  <w:color w:val="0000FF"/>
                </w:rPr>
                <w:t>2015 Equity Incentive Plan of the registrant, as amended,</w:t>
              </w:r>
            </w:hyperlink>
          </w:p>
        </w:tc>
        <w:tc>
          <w:tcPr>
            <w:tcW w:w="76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S-1/A</w:t>
            </w:r>
          </w:p>
        </w:tc>
        <w:tc>
          <w:tcPr>
            <w:tcW w:w="172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333-257790</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July 26, 2021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88"/>
              </w:rPr>
            </w:pPr>
            <w:hyperlink r:id="rId378">
              <w:r>
                <w:rPr>
                  <w:rFonts w:ascii="Arial" w:cs="Arial" w:eastAsia="Arial" w:hAnsi="Arial"/>
                  <w:sz w:val="18"/>
                  <w:szCs w:val="18"/>
                  <w:color w:val="0000FF"/>
                  <w:w w:val="88"/>
                </w:rPr>
                <w:t>and forms of agreement thereunder.</w:t>
              </w:r>
            </w:hyperlink>
          </w:p>
        </w:tc>
        <w:tc>
          <w:tcPr>
            <w:tcW w:w="60" w:type="dxa"/>
            <w:vAlign w:val="bottom"/>
            <w:tcBorders>
              <w:top w:val="single" w:sz="8" w:color="0000FF"/>
              <w:bottom w:val="single" w:sz="8" w:color="0000EE"/>
            </w:tcBorders>
          </w:tcPr>
          <w:p>
            <w:pPr>
              <w:spacing w:after="0"/>
              <w:rPr>
                <w:sz w:val="15"/>
                <w:szCs w:val="15"/>
                <w:color w:val="auto"/>
              </w:rPr>
            </w:pPr>
          </w:p>
        </w:tc>
        <w:tc>
          <w:tcPr>
            <w:tcW w:w="1540" w:type="dxa"/>
            <w:vAlign w:val="bottom"/>
            <w:tcBorders>
              <w:top w:val="single" w:sz="8" w:color="0000FF"/>
            </w:tcBorders>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2"/>
                <w:szCs w:val="22"/>
                <w:color w:val="auto"/>
              </w:rPr>
            </w:pPr>
          </w:p>
        </w:tc>
        <w:tc>
          <w:tcPr>
            <w:tcW w:w="4660" w:type="dxa"/>
            <w:vAlign w:val="bottom"/>
            <w:gridSpan w:val="25"/>
          </w:tcPr>
          <w:p>
            <w:pPr>
              <w:spacing w:after="0"/>
              <w:rPr>
                <w:rFonts w:ascii="Arial" w:cs="Arial" w:eastAsia="Arial" w:hAnsi="Arial"/>
                <w:sz w:val="18"/>
                <w:szCs w:val="18"/>
                <w:color w:val="0000FF"/>
              </w:rPr>
            </w:pPr>
            <w:hyperlink r:id="rId379">
              <w:r>
                <w:rPr>
                  <w:rFonts w:ascii="Arial" w:cs="Arial" w:eastAsia="Arial" w:hAnsi="Arial"/>
                  <w:sz w:val="18"/>
                  <w:szCs w:val="18"/>
                  <w:color w:val="0000FF"/>
                </w:rPr>
                <w:t>2021 Equity Incentive Plan of the registrant, as amended,</w:t>
              </w:r>
            </w:hyperlink>
          </w:p>
        </w:tc>
        <w:tc>
          <w:tcPr>
            <w:tcW w:w="60" w:type="dxa"/>
            <w:vAlign w:val="bottom"/>
          </w:tcPr>
          <w:p>
            <w:pPr>
              <w:spacing w:after="0"/>
              <w:rPr>
                <w:sz w:val="22"/>
                <w:szCs w:val="22"/>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10-Q</w:t>
            </w:r>
          </w:p>
        </w:tc>
        <w:tc>
          <w:tcPr>
            <w:tcW w:w="80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November 11, 2021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88"/>
              </w:rPr>
            </w:pPr>
            <w:hyperlink r:id="rId379">
              <w:r>
                <w:rPr>
                  <w:rFonts w:ascii="Arial" w:cs="Arial" w:eastAsia="Arial" w:hAnsi="Arial"/>
                  <w:sz w:val="18"/>
                  <w:szCs w:val="18"/>
                  <w:color w:val="0000FF"/>
                  <w:w w:val="88"/>
                </w:rPr>
                <w:t>and forms of agreement thereunder.</w:t>
              </w:r>
            </w:hyperlink>
          </w:p>
        </w:tc>
        <w:tc>
          <w:tcPr>
            <w:tcW w:w="60" w:type="dxa"/>
            <w:vAlign w:val="bottom"/>
            <w:tcBorders>
              <w:top w:val="single" w:sz="8" w:color="0000FF"/>
              <w:bottom w:val="single" w:sz="8" w:color="0000EE"/>
            </w:tcBorders>
          </w:tcPr>
          <w:p>
            <w:pPr>
              <w:spacing w:after="0"/>
              <w:rPr>
                <w:sz w:val="15"/>
                <w:szCs w:val="15"/>
                <w:color w:val="auto"/>
              </w:rPr>
            </w:pPr>
          </w:p>
        </w:tc>
        <w:tc>
          <w:tcPr>
            <w:tcW w:w="1540" w:type="dxa"/>
            <w:vAlign w:val="bottom"/>
            <w:tcBorders>
              <w:top w:val="single" w:sz="8" w:color="0000FF"/>
            </w:tcBorders>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2"/>
                <w:szCs w:val="22"/>
                <w:color w:val="auto"/>
              </w:rPr>
            </w:pPr>
          </w:p>
        </w:tc>
        <w:tc>
          <w:tcPr>
            <w:tcW w:w="4660" w:type="dxa"/>
            <w:vAlign w:val="bottom"/>
            <w:gridSpan w:val="25"/>
          </w:tcPr>
          <w:p>
            <w:pPr>
              <w:spacing w:after="0"/>
              <w:rPr>
                <w:rFonts w:ascii="Arial" w:cs="Arial" w:eastAsia="Arial" w:hAnsi="Arial"/>
                <w:sz w:val="18"/>
                <w:szCs w:val="18"/>
                <w:color w:val="0000FF"/>
              </w:rPr>
            </w:pPr>
            <w:hyperlink r:id="rId380">
              <w:r>
                <w:rPr>
                  <w:rFonts w:ascii="Arial" w:cs="Arial" w:eastAsia="Arial" w:hAnsi="Arial"/>
                  <w:sz w:val="18"/>
                  <w:szCs w:val="18"/>
                  <w:color w:val="0000FF"/>
                </w:rPr>
                <w:t>2021 Employee Stock Purchase Plan of the registrant.</w:t>
              </w:r>
            </w:hyperlink>
          </w:p>
        </w:tc>
        <w:tc>
          <w:tcPr>
            <w:tcW w:w="60" w:type="dxa"/>
            <w:vAlign w:val="bottom"/>
          </w:tcPr>
          <w:p>
            <w:pPr>
              <w:spacing w:after="0"/>
              <w:rPr>
                <w:sz w:val="22"/>
                <w:szCs w:val="22"/>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10-Q</w:t>
            </w:r>
          </w:p>
        </w:tc>
        <w:tc>
          <w:tcPr>
            <w:tcW w:w="80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November 11, 2021</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4660" w:type="dxa"/>
            <w:vAlign w:val="bottom"/>
            <w:gridSpan w:val="25"/>
          </w:tcPr>
          <w:p>
            <w:pPr>
              <w:spacing w:after="0"/>
              <w:rPr>
                <w:rFonts w:ascii="Arial" w:cs="Arial" w:eastAsia="Arial" w:hAnsi="Arial"/>
                <w:sz w:val="18"/>
                <w:szCs w:val="18"/>
                <w:color w:val="0000FF"/>
                <w:w w:val="95"/>
              </w:rPr>
            </w:pPr>
            <w:hyperlink r:id="rId381">
              <w:r>
                <w:rPr>
                  <w:rFonts w:ascii="Arial" w:cs="Arial" w:eastAsia="Arial" w:hAnsi="Arial"/>
                  <w:sz w:val="18"/>
                  <w:szCs w:val="18"/>
                  <w:color w:val="0000FF"/>
                  <w:w w:val="95"/>
                </w:rPr>
                <w:t>Loan and Security Agreement, by and among the Registrant,</w:t>
              </w:r>
            </w:hyperlink>
          </w:p>
        </w:tc>
        <w:tc>
          <w:tcPr>
            <w:tcW w:w="60" w:type="dxa"/>
            <w:vAlign w:val="bottom"/>
          </w:tcPr>
          <w:p>
            <w:pPr>
              <w:spacing w:after="0"/>
              <w:rPr>
                <w:sz w:val="24"/>
                <w:szCs w:val="2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S-1</w:t>
            </w:r>
          </w:p>
        </w:tc>
        <w:tc>
          <w:tcPr>
            <w:tcW w:w="172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333-257790</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July 9, 2021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60" w:type="dxa"/>
            <w:vAlign w:val="bottom"/>
            <w:tcBorders>
              <w:top w:val="single" w:sz="8" w:color="0000FF"/>
            </w:tcBorders>
            <w:gridSpan w:val="24"/>
          </w:tcPr>
          <w:p>
            <w:pPr>
              <w:spacing w:after="0" w:line="182" w:lineRule="exact"/>
              <w:rPr>
                <w:rFonts w:ascii="Arial" w:cs="Arial" w:eastAsia="Arial" w:hAnsi="Arial"/>
                <w:sz w:val="18"/>
                <w:szCs w:val="18"/>
                <w:color w:val="0000FF"/>
                <w:w w:val="94"/>
              </w:rPr>
            </w:pPr>
            <w:hyperlink r:id="rId381">
              <w:r>
                <w:rPr>
                  <w:rFonts w:ascii="Arial" w:cs="Arial" w:eastAsia="Arial" w:hAnsi="Arial"/>
                  <w:sz w:val="18"/>
                  <w:szCs w:val="18"/>
                  <w:color w:val="0000FF"/>
                  <w:w w:val="94"/>
                </w:rPr>
                <w:t>Oxford Finance LLC and the lenders listed on Schedule 1.1</w:t>
              </w:r>
            </w:hyperlink>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381">
              <w:r>
                <w:rPr>
                  <w:rFonts w:ascii="Arial" w:cs="Arial" w:eastAsia="Arial" w:hAnsi="Arial"/>
                  <w:sz w:val="18"/>
                  <w:szCs w:val="18"/>
                  <w:color w:val="0000FF"/>
                </w:rPr>
                <w:t>thereto, dated as of October 29, 2020.</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3800" w:type="dxa"/>
            <w:vAlign w:val="bottom"/>
            <w:tcBorders>
              <w:bottom w:val="single" w:sz="8" w:color="0000FF"/>
            </w:tcBorders>
            <w:gridSpan w:val="13"/>
          </w:tcPr>
          <w:p>
            <w:pPr>
              <w:spacing w:after="0"/>
              <w:rPr>
                <w:rFonts w:ascii="Arial" w:cs="Arial" w:eastAsia="Arial" w:hAnsi="Arial"/>
                <w:sz w:val="18"/>
                <w:szCs w:val="18"/>
                <w:color w:val="0000FF"/>
                <w:w w:val="91"/>
              </w:rPr>
            </w:pPr>
            <w:hyperlink r:id="rId382">
              <w:r>
                <w:rPr>
                  <w:rFonts w:ascii="Arial" w:cs="Arial" w:eastAsia="Arial" w:hAnsi="Arial"/>
                  <w:sz w:val="18"/>
                  <w:szCs w:val="18"/>
                  <w:color w:val="0000FF"/>
                  <w:w w:val="91"/>
                </w:rPr>
                <w:t>Consent and First Amendment to Loan and Security</w:t>
              </w:r>
            </w:hyperlink>
          </w:p>
        </w:tc>
        <w:tc>
          <w:tcPr>
            <w:tcW w:w="860" w:type="dxa"/>
            <w:vAlign w:val="bottom"/>
            <w:gridSpan w:val="12"/>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S-1/A</w:t>
            </w:r>
          </w:p>
        </w:tc>
        <w:tc>
          <w:tcPr>
            <w:tcW w:w="172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333-257790</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July 26, 2021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40" w:type="dxa"/>
            <w:vAlign w:val="bottom"/>
            <w:tcBorders>
              <w:bottom w:val="single" w:sz="8" w:color="0000FF"/>
            </w:tcBorders>
            <w:gridSpan w:val="17"/>
          </w:tcPr>
          <w:p>
            <w:pPr>
              <w:spacing w:after="0" w:line="182" w:lineRule="exact"/>
              <w:rPr>
                <w:rFonts w:ascii="Arial" w:cs="Arial" w:eastAsia="Arial" w:hAnsi="Arial"/>
                <w:sz w:val="18"/>
                <w:szCs w:val="18"/>
                <w:color w:val="0000FF"/>
                <w:w w:val="91"/>
              </w:rPr>
            </w:pPr>
            <w:hyperlink r:id="rId382">
              <w:r>
                <w:rPr>
                  <w:rFonts w:ascii="Arial" w:cs="Arial" w:eastAsia="Arial" w:hAnsi="Arial"/>
                  <w:sz w:val="18"/>
                  <w:szCs w:val="18"/>
                  <w:color w:val="0000FF"/>
                  <w:w w:val="91"/>
                </w:rPr>
                <w:t>Agreement, by and among the Registrant, Oxford Finance</w:t>
              </w:r>
            </w:hyperlink>
          </w:p>
        </w:tc>
        <w:tc>
          <w:tcPr>
            <w:tcW w:w="420" w:type="dxa"/>
            <w:vAlign w:val="bottom"/>
            <w:gridSpan w:val="8"/>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25"/>
          </w:tcPr>
          <w:p>
            <w:pPr>
              <w:spacing w:after="0" w:line="182" w:lineRule="exact"/>
              <w:rPr>
                <w:rFonts w:ascii="Arial" w:cs="Arial" w:eastAsia="Arial" w:hAnsi="Arial"/>
                <w:sz w:val="18"/>
                <w:szCs w:val="18"/>
                <w:color w:val="0000FF"/>
                <w:w w:val="95"/>
              </w:rPr>
            </w:pPr>
            <w:hyperlink r:id="rId382">
              <w:r>
                <w:rPr>
                  <w:rFonts w:ascii="Arial" w:cs="Arial" w:eastAsia="Arial" w:hAnsi="Arial"/>
                  <w:sz w:val="18"/>
                  <w:szCs w:val="18"/>
                  <w:color w:val="0000FF"/>
                  <w:w w:val="95"/>
                </w:rPr>
                <w:t>LLC and the lenders listed on Schedule 1.1 thereto, dated as</w:t>
              </w:r>
            </w:hyperlink>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1"/>
              </w:rPr>
            </w:pPr>
            <w:hyperlink r:id="rId382">
              <w:r>
                <w:rPr>
                  <w:rFonts w:ascii="Arial" w:cs="Arial" w:eastAsia="Arial" w:hAnsi="Arial"/>
                  <w:sz w:val="18"/>
                  <w:szCs w:val="18"/>
                  <w:color w:val="0000FF"/>
                  <w:w w:val="91"/>
                </w:rPr>
                <w:t>of July 6,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2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2"/>
                <w:szCs w:val="22"/>
                <w:color w:val="auto"/>
              </w:rPr>
            </w:pPr>
          </w:p>
        </w:tc>
        <w:tc>
          <w:tcPr>
            <w:tcW w:w="4260" w:type="dxa"/>
            <w:vAlign w:val="bottom"/>
            <w:tcBorders>
              <w:bottom w:val="single" w:sz="8" w:color="0000FF"/>
            </w:tcBorders>
            <w:gridSpan w:val="18"/>
          </w:tcPr>
          <w:p>
            <w:pPr>
              <w:spacing w:after="0"/>
              <w:rPr>
                <w:rFonts w:ascii="Arial" w:cs="Arial" w:eastAsia="Arial" w:hAnsi="Arial"/>
                <w:sz w:val="18"/>
                <w:szCs w:val="18"/>
                <w:color w:val="0000FF"/>
                <w:w w:val="90"/>
              </w:rPr>
            </w:pPr>
            <w:hyperlink r:id="rId383">
              <w:r>
                <w:rPr>
                  <w:rFonts w:ascii="Arial" w:cs="Arial" w:eastAsia="Arial" w:hAnsi="Arial"/>
                  <w:sz w:val="18"/>
                  <w:szCs w:val="18"/>
                  <w:color w:val="0000FF"/>
                  <w:w w:val="90"/>
                </w:rPr>
                <w:t>License Agreement by and between the Registrant and the</w:t>
              </w:r>
            </w:hyperlink>
          </w:p>
        </w:tc>
        <w:tc>
          <w:tcPr>
            <w:tcW w:w="400" w:type="dxa"/>
            <w:vAlign w:val="bottom"/>
            <w:gridSpan w:val="7"/>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S-1</w:t>
            </w:r>
          </w:p>
        </w:tc>
        <w:tc>
          <w:tcPr>
            <w:tcW w:w="172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333-257790</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July 9, 2021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20" w:type="dxa"/>
            <w:vAlign w:val="bottom"/>
            <w:tcBorders>
              <w:bottom w:val="single" w:sz="8" w:color="0000FF"/>
            </w:tcBorders>
            <w:gridSpan w:val="22"/>
          </w:tcPr>
          <w:p>
            <w:pPr>
              <w:spacing w:after="0" w:line="182" w:lineRule="exact"/>
              <w:rPr>
                <w:rFonts w:ascii="Arial" w:cs="Arial" w:eastAsia="Arial" w:hAnsi="Arial"/>
                <w:sz w:val="18"/>
                <w:szCs w:val="18"/>
                <w:color w:val="0000FF"/>
                <w:w w:val="91"/>
              </w:rPr>
            </w:pPr>
            <w:hyperlink r:id="rId383">
              <w:r>
                <w:rPr>
                  <w:rFonts w:ascii="Arial" w:cs="Arial" w:eastAsia="Arial" w:hAnsi="Arial"/>
                  <w:sz w:val="18"/>
                  <w:szCs w:val="18"/>
                  <w:color w:val="0000FF"/>
                  <w:w w:val="91"/>
                </w:rPr>
                <w:t>California Institute of Technology, dated as of July 28, 2015.</w:t>
              </w:r>
            </w:hyperlink>
          </w:p>
        </w:tc>
        <w:tc>
          <w:tcPr>
            <w:tcW w:w="20" w:type="dxa"/>
            <w:vAlign w:val="bottom"/>
            <w:tcBorders>
              <w:bottom w:val="single" w:sz="8" w:color="0000EE"/>
            </w:tcBorders>
          </w:tcPr>
          <w:p>
            <w:pPr>
              <w:spacing w:after="0"/>
              <w:rPr>
                <w:sz w:val="15"/>
                <w:szCs w:val="15"/>
                <w:color w:val="auto"/>
              </w:rPr>
            </w:pP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7"/>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gridSpan w:val="25"/>
          </w:tcPr>
          <w:p>
            <w:pPr>
              <w:ind w:left="432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4400" w:type="dxa"/>
            <w:vAlign w:val="bottom"/>
            <w:gridSpan w:val="26"/>
          </w:tcPr>
          <w:p>
            <w:pPr>
              <w:spacing w:after="0"/>
              <w:rPr>
                <w:rFonts w:ascii="Arial" w:cs="Arial" w:eastAsia="Arial" w:hAnsi="Arial"/>
                <w:sz w:val="18"/>
                <w:szCs w:val="18"/>
                <w:color w:val="0000FF"/>
                <w:w w:val="94"/>
              </w:rPr>
            </w:pPr>
            <w:hyperlink r:id="rId386">
              <w:r>
                <w:rPr>
                  <w:rFonts w:ascii="Arial" w:cs="Arial" w:eastAsia="Arial" w:hAnsi="Arial"/>
                  <w:sz w:val="18"/>
                  <w:szCs w:val="18"/>
                  <w:color w:val="0000FF"/>
                  <w:w w:val="94"/>
                </w:rPr>
                <w:t>Exclusive License Agreement between the Regents of the</w:t>
              </w:r>
            </w:hyperlink>
          </w:p>
        </w:tc>
        <w:tc>
          <w:tcPr>
            <w:tcW w:w="980" w:type="dxa"/>
            <w:vAlign w:val="bottom"/>
          </w:tcPr>
          <w:p>
            <w:pPr>
              <w:ind w:left="40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1"/>
              </w:rPr>
              <w:t>10.7</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183"/>
        </w:trPr>
        <w:tc>
          <w:tcPr>
            <w:tcW w:w="1140" w:type="dxa"/>
            <w:vAlign w:val="bottom"/>
          </w:tcPr>
          <w:p>
            <w:pPr>
              <w:spacing w:after="0"/>
              <w:rPr>
                <w:sz w:val="15"/>
                <w:szCs w:val="15"/>
                <w:color w:val="auto"/>
              </w:rPr>
            </w:pPr>
          </w:p>
        </w:tc>
        <w:tc>
          <w:tcPr>
            <w:tcW w:w="4220" w:type="dxa"/>
            <w:vAlign w:val="bottom"/>
            <w:tcBorders>
              <w:top w:val="single" w:sz="8" w:color="0000FF"/>
            </w:tcBorders>
            <w:gridSpan w:val="17"/>
          </w:tcPr>
          <w:p>
            <w:pPr>
              <w:spacing w:after="0" w:line="182" w:lineRule="exact"/>
              <w:rPr>
                <w:rFonts w:ascii="Arial" w:cs="Arial" w:eastAsia="Arial" w:hAnsi="Arial"/>
                <w:sz w:val="18"/>
                <w:szCs w:val="18"/>
                <w:color w:val="0000FF"/>
                <w:w w:val="97"/>
              </w:rPr>
            </w:pPr>
            <w:hyperlink r:id="rId386">
              <w:r>
                <w:rPr>
                  <w:rFonts w:ascii="Arial" w:cs="Arial" w:eastAsia="Arial" w:hAnsi="Arial"/>
                  <w:sz w:val="18"/>
                  <w:szCs w:val="18"/>
                  <w:color w:val="0000FF"/>
                  <w:w w:val="97"/>
                </w:rPr>
                <w:t>University of California and the Registrant, dated as of</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87"/>
              </w:rPr>
            </w:pPr>
            <w:hyperlink r:id="rId386">
              <w:r>
                <w:rPr>
                  <w:rFonts w:ascii="Arial" w:cs="Arial" w:eastAsia="Arial" w:hAnsi="Arial"/>
                  <w:sz w:val="18"/>
                  <w:szCs w:val="18"/>
                  <w:color w:val="0000FF"/>
                  <w:w w:val="87"/>
                </w:rPr>
                <w:t>March 1, 2000, as amended on May 29, 2008, December</w:t>
              </w:r>
            </w:hyperlink>
          </w:p>
        </w:tc>
        <w:tc>
          <w:tcPr>
            <w:tcW w:w="280" w:type="dxa"/>
            <w:vAlign w:val="bottom"/>
            <w:tcBorders>
              <w:bottom w:val="single" w:sz="8" w:color="0000FF"/>
            </w:tcBorders>
            <w:gridSpan w:val="9"/>
          </w:tcPr>
          <w:p>
            <w:pPr>
              <w:jc w:val="right"/>
              <w:ind w:right="20"/>
              <w:spacing w:after="0" w:line="182" w:lineRule="exact"/>
              <w:rPr>
                <w:rFonts w:ascii="Arial" w:cs="Arial" w:eastAsia="Arial" w:hAnsi="Arial"/>
                <w:sz w:val="18"/>
                <w:szCs w:val="18"/>
                <w:color w:val="0000FF"/>
              </w:rPr>
            </w:pPr>
            <w:hyperlink r:id="rId386">
              <w:r>
                <w:rPr>
                  <w:rFonts w:ascii="Arial" w:cs="Arial" w:eastAsia="Arial" w:hAnsi="Arial"/>
                  <w:sz w:val="18"/>
                  <w:szCs w:val="18"/>
                  <w:color w:val="0000FF"/>
                </w:rPr>
                <w:t>5,</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40" w:type="dxa"/>
            <w:vAlign w:val="bottom"/>
            <w:tcBorders>
              <w:bottom w:val="single" w:sz="8" w:color="0000FF"/>
            </w:tcBorders>
            <w:gridSpan w:val="23"/>
          </w:tcPr>
          <w:p>
            <w:pPr>
              <w:spacing w:after="0" w:line="182" w:lineRule="exact"/>
              <w:rPr>
                <w:rFonts w:ascii="Arial" w:cs="Arial" w:eastAsia="Arial" w:hAnsi="Arial"/>
                <w:sz w:val="18"/>
                <w:szCs w:val="18"/>
                <w:color w:val="0000FF"/>
                <w:w w:val="90"/>
              </w:rPr>
            </w:pPr>
            <w:hyperlink r:id="rId386">
              <w:r>
                <w:rPr>
                  <w:rFonts w:ascii="Arial" w:cs="Arial" w:eastAsia="Arial" w:hAnsi="Arial"/>
                  <w:sz w:val="18"/>
                  <w:szCs w:val="18"/>
                  <w:color w:val="0000FF"/>
                  <w:w w:val="90"/>
                </w:rPr>
                <w:t>2013, November 10, 2016, April 4, 2017, June 21, 2017 and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1060" w:type="dxa"/>
            <w:vAlign w:val="bottom"/>
            <w:tcBorders>
              <w:bottom w:val="single" w:sz="8" w:color="0000FF"/>
            </w:tcBorders>
            <w:gridSpan w:val="3"/>
          </w:tcPr>
          <w:p>
            <w:pPr>
              <w:spacing w:after="0" w:line="182" w:lineRule="exact"/>
              <w:rPr>
                <w:rFonts w:ascii="Arial" w:cs="Arial" w:eastAsia="Arial" w:hAnsi="Arial"/>
                <w:sz w:val="18"/>
                <w:szCs w:val="18"/>
                <w:color w:val="0000FF"/>
                <w:w w:val="91"/>
              </w:rPr>
            </w:pPr>
            <w:hyperlink r:id="rId386">
              <w:r>
                <w:rPr>
                  <w:rFonts w:ascii="Arial" w:cs="Arial" w:eastAsia="Arial" w:hAnsi="Arial"/>
                  <w:sz w:val="18"/>
                  <w:szCs w:val="18"/>
                  <w:color w:val="0000FF"/>
                  <w:w w:val="91"/>
                </w:rPr>
                <w:t>May 21, 2019.</w:t>
              </w:r>
            </w:hyperlink>
          </w:p>
        </w:tc>
        <w:tc>
          <w:tcPr>
            <w:tcW w:w="20" w:type="dxa"/>
            <w:vAlign w:val="bottom"/>
            <w:tcBorders>
              <w:bottom w:val="single" w:sz="8" w:color="0000EE"/>
            </w:tcBorders>
          </w:tcPr>
          <w:p>
            <w:pPr>
              <w:spacing w:after="0"/>
              <w:rPr>
                <w:sz w:val="15"/>
                <w:szCs w:val="15"/>
                <w:color w:val="auto"/>
              </w:rPr>
            </w:pPr>
          </w:p>
        </w:tc>
        <w:tc>
          <w:tcPr>
            <w:tcW w:w="3320" w:type="dxa"/>
            <w:vAlign w:val="bottom"/>
            <w:gridSpan w:val="22"/>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4400" w:type="dxa"/>
            <w:vAlign w:val="bottom"/>
            <w:gridSpan w:val="26"/>
          </w:tcPr>
          <w:p>
            <w:pPr>
              <w:spacing w:after="0"/>
              <w:rPr>
                <w:rFonts w:ascii="Arial" w:cs="Arial" w:eastAsia="Arial" w:hAnsi="Arial"/>
                <w:sz w:val="18"/>
                <w:szCs w:val="18"/>
                <w:color w:val="0000FF"/>
                <w:w w:val="96"/>
              </w:rPr>
            </w:pPr>
            <w:hyperlink r:id="rId387">
              <w:r>
                <w:rPr>
                  <w:rFonts w:ascii="Arial" w:cs="Arial" w:eastAsia="Arial" w:hAnsi="Arial"/>
                  <w:sz w:val="18"/>
                  <w:szCs w:val="18"/>
                  <w:color w:val="0000FF"/>
                  <w:w w:val="96"/>
                </w:rPr>
                <w:t>License and Maintenance Agreement between QAD, Inc.</w:t>
              </w:r>
            </w:hyperlink>
          </w:p>
        </w:tc>
        <w:tc>
          <w:tcPr>
            <w:tcW w:w="980" w:type="dxa"/>
            <w:vAlign w:val="bottom"/>
          </w:tcPr>
          <w:p>
            <w:pPr>
              <w:ind w:left="40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1"/>
              </w:rPr>
              <w:t>10.8</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183"/>
        </w:trPr>
        <w:tc>
          <w:tcPr>
            <w:tcW w:w="11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87"/>
              </w:rPr>
            </w:pPr>
            <w:hyperlink r:id="rId387">
              <w:r>
                <w:rPr>
                  <w:rFonts w:ascii="Arial" w:cs="Arial" w:eastAsia="Arial" w:hAnsi="Arial"/>
                  <w:sz w:val="18"/>
                  <w:szCs w:val="18"/>
                  <w:color w:val="0000FF"/>
                  <w:w w:val="87"/>
                </w:rPr>
                <w:t>and its subsidiaries and the Registrant, dated as of October</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80" w:type="dxa"/>
            <w:vAlign w:val="bottom"/>
            <w:tcBorders>
              <w:bottom w:val="single" w:sz="8" w:color="0000FF"/>
            </w:tcBorders>
          </w:tcPr>
          <w:p>
            <w:pPr>
              <w:spacing w:after="0" w:line="182" w:lineRule="exact"/>
              <w:rPr>
                <w:rFonts w:ascii="Arial" w:cs="Arial" w:eastAsia="Arial" w:hAnsi="Arial"/>
                <w:sz w:val="18"/>
                <w:szCs w:val="18"/>
                <w:color w:val="0000FF"/>
                <w:w w:val="87"/>
              </w:rPr>
            </w:pPr>
            <w:hyperlink r:id="rId387">
              <w:r>
                <w:rPr>
                  <w:rFonts w:ascii="Arial" w:cs="Arial" w:eastAsia="Arial" w:hAnsi="Arial"/>
                  <w:sz w:val="18"/>
                  <w:szCs w:val="18"/>
                  <w:color w:val="0000FF"/>
                  <w:w w:val="87"/>
                </w:rPr>
                <w:t>29, 2015.</w:t>
              </w:r>
            </w:hyperlink>
          </w:p>
        </w:tc>
        <w:tc>
          <w:tcPr>
            <w:tcW w:w="20" w:type="dxa"/>
            <w:vAlign w:val="bottom"/>
            <w:tcBorders>
              <w:bottom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3760" w:type="dxa"/>
            <w:vAlign w:val="bottom"/>
            <w:tcBorders>
              <w:bottom w:val="single" w:sz="8" w:color="0000FF"/>
            </w:tcBorders>
            <w:gridSpan w:val="6"/>
          </w:tcPr>
          <w:p>
            <w:pPr>
              <w:spacing w:after="0"/>
              <w:rPr>
                <w:rFonts w:ascii="Arial" w:cs="Arial" w:eastAsia="Arial" w:hAnsi="Arial"/>
                <w:sz w:val="18"/>
                <w:szCs w:val="18"/>
                <w:color w:val="0000FF"/>
                <w:w w:val="90"/>
              </w:rPr>
            </w:pPr>
            <w:hyperlink r:id="rId388">
              <w:r>
                <w:rPr>
                  <w:rFonts w:ascii="Arial" w:cs="Arial" w:eastAsia="Arial" w:hAnsi="Arial"/>
                  <w:sz w:val="18"/>
                  <w:szCs w:val="18"/>
                  <w:color w:val="0000FF"/>
                  <w:w w:val="90"/>
                </w:rPr>
                <w:t>QAD Hosted On Premise Project Proposal between</w:t>
              </w:r>
            </w:hyperlink>
          </w:p>
        </w:tc>
        <w:tc>
          <w:tcPr>
            <w:tcW w:w="640" w:type="dxa"/>
            <w:vAlign w:val="bottom"/>
            <w:gridSpan w:val="20"/>
          </w:tcPr>
          <w:p>
            <w:pPr>
              <w:spacing w:after="0"/>
              <w:rPr>
                <w:sz w:val="19"/>
                <w:szCs w:val="19"/>
                <w:color w:val="auto"/>
              </w:rPr>
            </w:pPr>
          </w:p>
        </w:tc>
        <w:tc>
          <w:tcPr>
            <w:tcW w:w="980" w:type="dxa"/>
            <w:vAlign w:val="bottom"/>
          </w:tcPr>
          <w:p>
            <w:pPr>
              <w:ind w:left="40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1"/>
              </w:rPr>
              <w:t>10.9</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183"/>
        </w:trPr>
        <w:tc>
          <w:tcPr>
            <w:tcW w:w="1140" w:type="dxa"/>
            <w:vAlign w:val="bottom"/>
          </w:tcPr>
          <w:p>
            <w:pPr>
              <w:spacing w:after="0"/>
              <w:rPr>
                <w:sz w:val="15"/>
                <w:szCs w:val="15"/>
                <w:color w:val="auto"/>
              </w:rPr>
            </w:pPr>
          </w:p>
        </w:tc>
        <w:tc>
          <w:tcPr>
            <w:tcW w:w="4400" w:type="dxa"/>
            <w:vAlign w:val="bottom"/>
            <w:gridSpan w:val="26"/>
          </w:tcPr>
          <w:p>
            <w:pPr>
              <w:spacing w:after="0" w:line="182" w:lineRule="exact"/>
              <w:rPr>
                <w:rFonts w:ascii="Arial" w:cs="Arial" w:eastAsia="Arial" w:hAnsi="Arial"/>
                <w:sz w:val="18"/>
                <w:szCs w:val="18"/>
                <w:color w:val="0000FF"/>
                <w:w w:val="92"/>
              </w:rPr>
            </w:pPr>
            <w:hyperlink r:id="rId388">
              <w:r>
                <w:rPr>
                  <w:rFonts w:ascii="Arial" w:cs="Arial" w:eastAsia="Arial" w:hAnsi="Arial"/>
                  <w:sz w:val="18"/>
                  <w:szCs w:val="18"/>
                  <w:color w:val="0000FF"/>
                  <w:w w:val="92"/>
                </w:rPr>
                <w:t>Strategic Information Group and the Registrant, dated as of</w:t>
              </w:r>
            </w:hyperlink>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388">
              <w:r>
                <w:rPr>
                  <w:rFonts w:ascii="Arial" w:cs="Arial" w:eastAsia="Arial" w:hAnsi="Arial"/>
                  <w:sz w:val="18"/>
                  <w:szCs w:val="18"/>
                  <w:color w:val="0000FF"/>
                </w:rPr>
                <w:t>October 29, 2015.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4000" w:type="dxa"/>
            <w:vAlign w:val="bottom"/>
            <w:tcBorders>
              <w:bottom w:val="single" w:sz="8" w:color="0000FF"/>
            </w:tcBorders>
            <w:gridSpan w:val="11"/>
          </w:tcPr>
          <w:p>
            <w:pPr>
              <w:spacing w:after="0"/>
              <w:rPr>
                <w:rFonts w:ascii="Arial" w:cs="Arial" w:eastAsia="Arial" w:hAnsi="Arial"/>
                <w:sz w:val="18"/>
                <w:szCs w:val="18"/>
                <w:color w:val="0000FF"/>
                <w:w w:val="92"/>
              </w:rPr>
            </w:pPr>
            <w:hyperlink r:id="rId389">
              <w:r>
                <w:rPr>
                  <w:rFonts w:ascii="Arial" w:cs="Arial" w:eastAsia="Arial" w:hAnsi="Arial"/>
                  <w:sz w:val="18"/>
                  <w:szCs w:val="18"/>
                  <w:color w:val="0000FF"/>
                  <w:w w:val="92"/>
                </w:rPr>
                <w:t>Cloud Services Agreement between QAD, Inc. and its</w:t>
              </w:r>
            </w:hyperlink>
          </w:p>
        </w:tc>
        <w:tc>
          <w:tcPr>
            <w:tcW w:w="400" w:type="dxa"/>
            <w:vAlign w:val="bottom"/>
            <w:gridSpan w:val="15"/>
          </w:tcPr>
          <w:p>
            <w:pPr>
              <w:spacing w:after="0"/>
              <w:rPr>
                <w:sz w:val="19"/>
                <w:szCs w:val="19"/>
                <w:color w:val="auto"/>
              </w:rPr>
            </w:pPr>
          </w:p>
        </w:tc>
        <w:tc>
          <w:tcPr>
            <w:tcW w:w="980" w:type="dxa"/>
            <w:vAlign w:val="bottom"/>
          </w:tcPr>
          <w:p>
            <w:pPr>
              <w:ind w:left="40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8"/>
              </w:rPr>
              <w:t>10.10</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183"/>
        </w:trPr>
        <w:tc>
          <w:tcPr>
            <w:tcW w:w="1140" w:type="dxa"/>
            <w:vAlign w:val="bottom"/>
          </w:tcPr>
          <w:p>
            <w:pPr>
              <w:spacing w:after="0"/>
              <w:rPr>
                <w:sz w:val="15"/>
                <w:szCs w:val="15"/>
                <w:color w:val="auto"/>
              </w:rPr>
            </w:pPr>
          </w:p>
        </w:tc>
        <w:tc>
          <w:tcPr>
            <w:tcW w:w="4180" w:type="dxa"/>
            <w:vAlign w:val="bottom"/>
            <w:tcBorders>
              <w:bottom w:val="single" w:sz="8" w:color="0000FF"/>
            </w:tcBorders>
            <w:gridSpan w:val="15"/>
          </w:tcPr>
          <w:p>
            <w:pPr>
              <w:spacing w:after="0" w:line="182" w:lineRule="exact"/>
              <w:rPr>
                <w:rFonts w:ascii="Arial" w:cs="Arial" w:eastAsia="Arial" w:hAnsi="Arial"/>
                <w:sz w:val="18"/>
                <w:szCs w:val="18"/>
                <w:color w:val="0000FF"/>
                <w:w w:val="89"/>
              </w:rPr>
            </w:pPr>
            <w:hyperlink r:id="rId389">
              <w:r>
                <w:rPr>
                  <w:rFonts w:ascii="Arial" w:cs="Arial" w:eastAsia="Arial" w:hAnsi="Arial"/>
                  <w:sz w:val="18"/>
                  <w:szCs w:val="18"/>
                  <w:color w:val="0000FF"/>
                  <w:w w:val="89"/>
                </w:rPr>
                <w:t>subsidiaries and the Registrant, dated as of May 28, 2021.</w:t>
              </w:r>
            </w:hyperlink>
          </w:p>
        </w:tc>
        <w:tc>
          <w:tcPr>
            <w:tcW w:w="220" w:type="dxa"/>
            <w:vAlign w:val="bottom"/>
            <w:gridSpan w:val="11"/>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4120" w:type="dxa"/>
            <w:vAlign w:val="bottom"/>
            <w:tcBorders>
              <w:bottom w:val="single" w:sz="8" w:color="0000FF"/>
            </w:tcBorders>
            <w:gridSpan w:val="14"/>
          </w:tcPr>
          <w:p>
            <w:pPr>
              <w:spacing w:after="0"/>
              <w:rPr>
                <w:rFonts w:ascii="Arial" w:cs="Arial" w:eastAsia="Arial" w:hAnsi="Arial"/>
                <w:sz w:val="18"/>
                <w:szCs w:val="18"/>
                <w:color w:val="0000FF"/>
                <w:w w:val="89"/>
              </w:rPr>
            </w:pPr>
            <w:hyperlink r:id="rId390">
              <w:r>
                <w:rPr>
                  <w:rFonts w:ascii="Arial" w:cs="Arial" w:eastAsia="Arial" w:hAnsi="Arial"/>
                  <w:sz w:val="18"/>
                  <w:szCs w:val="18"/>
                  <w:color w:val="0000FF"/>
                  <w:w w:val="89"/>
                </w:rPr>
                <w:t>Lease, dated as of October 27, 2015, by and between the</w:t>
              </w:r>
            </w:hyperlink>
          </w:p>
        </w:tc>
        <w:tc>
          <w:tcPr>
            <w:tcW w:w="280" w:type="dxa"/>
            <w:vAlign w:val="bottom"/>
            <w:gridSpan w:val="12"/>
          </w:tcPr>
          <w:p>
            <w:pPr>
              <w:spacing w:after="0"/>
              <w:rPr>
                <w:sz w:val="24"/>
                <w:szCs w:val="24"/>
                <w:color w:val="auto"/>
              </w:rPr>
            </w:pPr>
          </w:p>
        </w:tc>
        <w:tc>
          <w:tcPr>
            <w:tcW w:w="980" w:type="dxa"/>
            <w:vAlign w:val="bottom"/>
          </w:tcPr>
          <w:p>
            <w:pPr>
              <w:ind w:left="40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8"/>
              </w:rPr>
              <w:t>10.11</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183"/>
        </w:trPr>
        <w:tc>
          <w:tcPr>
            <w:tcW w:w="1140" w:type="dxa"/>
            <w:vAlign w:val="bottom"/>
          </w:tcPr>
          <w:p>
            <w:pPr>
              <w:spacing w:after="0"/>
              <w:rPr>
                <w:sz w:val="15"/>
                <w:szCs w:val="15"/>
                <w:color w:val="auto"/>
              </w:rPr>
            </w:pPr>
          </w:p>
        </w:tc>
        <w:tc>
          <w:tcPr>
            <w:tcW w:w="4240" w:type="dxa"/>
            <w:vAlign w:val="bottom"/>
            <w:tcBorders>
              <w:bottom w:val="single" w:sz="8" w:color="0000FF"/>
            </w:tcBorders>
            <w:gridSpan w:val="18"/>
          </w:tcPr>
          <w:p>
            <w:pPr>
              <w:spacing w:after="0" w:line="182" w:lineRule="exact"/>
              <w:rPr>
                <w:rFonts w:ascii="Arial" w:cs="Arial" w:eastAsia="Arial" w:hAnsi="Arial"/>
                <w:sz w:val="18"/>
                <w:szCs w:val="18"/>
                <w:color w:val="0000FF"/>
                <w:w w:val="91"/>
              </w:rPr>
            </w:pPr>
            <w:hyperlink r:id="rId390">
              <w:r>
                <w:rPr>
                  <w:rFonts w:ascii="Arial" w:cs="Arial" w:eastAsia="Arial" w:hAnsi="Arial"/>
                  <w:sz w:val="18"/>
                  <w:szCs w:val="18"/>
                  <w:color w:val="0000FF"/>
                  <w:w w:val="91"/>
                </w:rPr>
                <w:t>Registrant and Accuride International Inc., as amended by</w:t>
              </w:r>
            </w:hyperlink>
          </w:p>
        </w:tc>
        <w:tc>
          <w:tcPr>
            <w:tcW w:w="16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400" w:type="dxa"/>
            <w:vAlign w:val="bottom"/>
            <w:gridSpan w:val="26"/>
          </w:tcPr>
          <w:p>
            <w:pPr>
              <w:spacing w:after="0" w:line="182" w:lineRule="exact"/>
              <w:rPr>
                <w:rFonts w:ascii="Arial" w:cs="Arial" w:eastAsia="Arial" w:hAnsi="Arial"/>
                <w:sz w:val="18"/>
                <w:szCs w:val="18"/>
                <w:color w:val="0000FF"/>
                <w:w w:val="91"/>
              </w:rPr>
            </w:pPr>
            <w:hyperlink r:id="rId390">
              <w:r>
                <w:rPr>
                  <w:rFonts w:ascii="Arial" w:cs="Arial" w:eastAsia="Arial" w:hAnsi="Arial"/>
                  <w:sz w:val="18"/>
                  <w:szCs w:val="18"/>
                  <w:color w:val="0000FF"/>
                  <w:w w:val="91"/>
                </w:rPr>
                <w:t>that certain First Amendment to Lease, dated November 23,</w:t>
              </w:r>
            </w:hyperlink>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80" w:type="dxa"/>
            <w:vAlign w:val="bottom"/>
            <w:tcBorders>
              <w:top w:val="single" w:sz="8" w:color="0000FF"/>
            </w:tcBorders>
            <w:gridSpan w:val="25"/>
          </w:tcPr>
          <w:p>
            <w:pPr>
              <w:spacing w:after="0" w:line="182" w:lineRule="exact"/>
              <w:rPr>
                <w:rFonts w:ascii="Arial" w:cs="Arial" w:eastAsia="Arial" w:hAnsi="Arial"/>
                <w:sz w:val="18"/>
                <w:szCs w:val="18"/>
                <w:color w:val="0000FF"/>
                <w:w w:val="99"/>
              </w:rPr>
            </w:pPr>
            <w:hyperlink r:id="rId390">
              <w:r>
                <w:rPr>
                  <w:rFonts w:ascii="Arial" w:cs="Arial" w:eastAsia="Arial" w:hAnsi="Arial"/>
                  <w:sz w:val="18"/>
                  <w:szCs w:val="18"/>
                  <w:color w:val="0000FF"/>
                  <w:w w:val="99"/>
                </w:rPr>
                <w:t>2015, that certain Second Amendment to Lease, dated</w:t>
              </w:r>
            </w:hyperlink>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9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2"/>
              </w:rPr>
            </w:pPr>
            <w:hyperlink r:id="rId390">
              <w:r>
                <w:rPr>
                  <w:rFonts w:ascii="Arial" w:cs="Arial" w:eastAsia="Arial" w:hAnsi="Arial"/>
                  <w:sz w:val="18"/>
                  <w:szCs w:val="18"/>
                  <w:color w:val="0000FF"/>
                  <w:w w:val="92"/>
                </w:rPr>
                <w:t>December 22, 2015, that certain Third Amendment to</w:t>
              </w:r>
            </w:hyperlink>
          </w:p>
        </w:tc>
        <w:tc>
          <w:tcPr>
            <w:tcW w:w="460" w:type="dxa"/>
            <w:vAlign w:val="bottom"/>
            <w:tcBorders>
              <w:bottom w:val="single" w:sz="8" w:color="0000FF"/>
            </w:tcBorders>
            <w:gridSpan w:val="18"/>
          </w:tcPr>
          <w:p>
            <w:pPr>
              <w:spacing w:after="0" w:line="182" w:lineRule="exact"/>
              <w:rPr>
                <w:rFonts w:ascii="Arial" w:cs="Arial" w:eastAsia="Arial" w:hAnsi="Arial"/>
                <w:sz w:val="18"/>
                <w:szCs w:val="18"/>
                <w:color w:val="0000FF"/>
                <w:w w:val="81"/>
              </w:rPr>
            </w:pPr>
            <w:hyperlink r:id="rId390">
              <w:r>
                <w:rPr>
                  <w:rFonts w:ascii="Arial" w:cs="Arial" w:eastAsia="Arial" w:hAnsi="Arial"/>
                  <w:sz w:val="18"/>
                  <w:szCs w:val="18"/>
                  <w:color w:val="0000FF"/>
                  <w:w w:val="81"/>
                </w:rPr>
                <w:t>Lease,</w:t>
              </w:r>
            </w:hyperlink>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400" w:type="dxa"/>
            <w:vAlign w:val="bottom"/>
            <w:tcBorders>
              <w:bottom w:val="single" w:sz="8" w:color="0000FF"/>
            </w:tcBorders>
            <w:gridSpan w:val="26"/>
          </w:tcPr>
          <w:p>
            <w:pPr>
              <w:spacing w:after="0" w:line="182" w:lineRule="exact"/>
              <w:rPr>
                <w:rFonts w:ascii="Arial" w:cs="Arial" w:eastAsia="Arial" w:hAnsi="Arial"/>
                <w:sz w:val="18"/>
                <w:szCs w:val="18"/>
                <w:color w:val="0000FF"/>
                <w:w w:val="90"/>
              </w:rPr>
            </w:pPr>
            <w:hyperlink r:id="rId390">
              <w:r>
                <w:rPr>
                  <w:rFonts w:ascii="Arial" w:cs="Arial" w:eastAsia="Arial" w:hAnsi="Arial"/>
                  <w:sz w:val="18"/>
                  <w:szCs w:val="18"/>
                  <w:color w:val="0000FF"/>
                  <w:w w:val="90"/>
                </w:rPr>
                <w:t>dated January 18, 2016, and that certain Fourth Amendment</w:t>
              </w:r>
            </w:hyperlink>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400" w:type="dxa"/>
            <w:vAlign w:val="bottom"/>
            <w:gridSpan w:val="26"/>
          </w:tcPr>
          <w:p>
            <w:pPr>
              <w:spacing w:after="0" w:line="182" w:lineRule="exact"/>
              <w:rPr>
                <w:rFonts w:ascii="Arial" w:cs="Arial" w:eastAsia="Arial" w:hAnsi="Arial"/>
                <w:sz w:val="18"/>
                <w:szCs w:val="18"/>
                <w:color w:val="0000FF"/>
                <w:w w:val="91"/>
              </w:rPr>
            </w:pPr>
            <w:hyperlink r:id="rId390">
              <w:r>
                <w:rPr>
                  <w:rFonts w:ascii="Arial" w:cs="Arial" w:eastAsia="Arial" w:hAnsi="Arial"/>
                  <w:sz w:val="18"/>
                  <w:szCs w:val="18"/>
                  <w:color w:val="0000FF"/>
                  <w:w w:val="91"/>
                </w:rPr>
                <w:t>to Lease, dated November 12, 2016, for premises located at</w:t>
              </w:r>
            </w:hyperlink>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6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390">
              <w:r>
                <w:rPr>
                  <w:rFonts w:ascii="Arial" w:cs="Arial" w:eastAsia="Arial" w:hAnsi="Arial"/>
                  <w:sz w:val="18"/>
                  <w:szCs w:val="18"/>
                  <w:color w:val="0000FF"/>
                </w:rPr>
                <w:t>100-150 Columbia, Suites 100 and 200, Aliso Viejo,</w:t>
              </w:r>
            </w:hyperlink>
          </w:p>
        </w:tc>
        <w:tc>
          <w:tcPr>
            <w:tcW w:w="4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2"/>
              </w:rPr>
            </w:pPr>
            <w:hyperlink r:id="rId390">
              <w:r>
                <w:rPr>
                  <w:rFonts w:ascii="Arial" w:cs="Arial" w:eastAsia="Arial" w:hAnsi="Arial"/>
                  <w:sz w:val="18"/>
                  <w:szCs w:val="18"/>
                  <w:color w:val="0000FF"/>
                  <w:w w:val="92"/>
                </w:rPr>
                <w:t>California 92656.</w:t>
              </w:r>
            </w:hyperlink>
          </w:p>
        </w:tc>
        <w:tc>
          <w:tcPr>
            <w:tcW w:w="2540" w:type="dxa"/>
            <w:vAlign w:val="bottom"/>
            <w:tcBorders>
              <w:top w:val="single" w:sz="8" w:color="0000FF"/>
            </w:tcBorders>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547"/>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4400" w:type="dxa"/>
            <w:vAlign w:val="bottom"/>
            <w:gridSpan w:val="26"/>
          </w:tcPr>
          <w:p>
            <w:pPr>
              <w:spacing w:after="0"/>
              <w:rPr>
                <w:rFonts w:ascii="Arial" w:cs="Arial" w:eastAsia="Arial" w:hAnsi="Arial"/>
                <w:sz w:val="18"/>
                <w:szCs w:val="18"/>
                <w:color w:val="0000FF"/>
                <w:w w:val="92"/>
              </w:rPr>
            </w:pPr>
            <w:hyperlink r:id="rId391">
              <w:r>
                <w:rPr>
                  <w:rFonts w:ascii="Arial" w:cs="Arial" w:eastAsia="Arial" w:hAnsi="Arial"/>
                  <w:sz w:val="18"/>
                  <w:szCs w:val="18"/>
                  <w:color w:val="0000FF"/>
                  <w:w w:val="92"/>
                </w:rPr>
                <w:t>Lease, dated as of March 27, 2020, by and between Pacific</w:t>
              </w:r>
            </w:hyperlink>
          </w:p>
        </w:tc>
        <w:tc>
          <w:tcPr>
            <w:tcW w:w="980" w:type="dxa"/>
            <w:vAlign w:val="bottom"/>
          </w:tcPr>
          <w:p>
            <w:pPr>
              <w:ind w:left="40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8"/>
              </w:rPr>
              <w:t>10.12</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183"/>
        </w:trPr>
        <w:tc>
          <w:tcPr>
            <w:tcW w:w="1140" w:type="dxa"/>
            <w:vAlign w:val="bottom"/>
          </w:tcPr>
          <w:p>
            <w:pPr>
              <w:spacing w:after="0"/>
              <w:rPr>
                <w:sz w:val="15"/>
                <w:szCs w:val="15"/>
                <w:color w:val="auto"/>
              </w:rPr>
            </w:pPr>
          </w:p>
        </w:tc>
        <w:tc>
          <w:tcPr>
            <w:tcW w:w="4300" w:type="dxa"/>
            <w:vAlign w:val="bottom"/>
            <w:tcBorders>
              <w:top w:val="single" w:sz="8" w:color="0000FF"/>
            </w:tcBorders>
            <w:gridSpan w:val="21"/>
          </w:tcPr>
          <w:p>
            <w:pPr>
              <w:spacing w:after="0" w:line="182" w:lineRule="exact"/>
              <w:rPr>
                <w:rFonts w:ascii="Arial" w:cs="Arial" w:eastAsia="Arial" w:hAnsi="Arial"/>
                <w:sz w:val="18"/>
                <w:szCs w:val="18"/>
                <w:color w:val="0000FF"/>
                <w:w w:val="97"/>
              </w:rPr>
            </w:pPr>
            <w:hyperlink r:id="rId391">
              <w:r>
                <w:rPr>
                  <w:rFonts w:ascii="Arial" w:cs="Arial" w:eastAsia="Arial" w:hAnsi="Arial"/>
                  <w:sz w:val="18"/>
                  <w:szCs w:val="18"/>
                  <w:color w:val="0000FF"/>
                  <w:w w:val="97"/>
                </w:rPr>
                <w:t>Park Investments, Inc. and the Registrant, for premises</w:t>
              </w:r>
            </w:hyperlink>
          </w:p>
        </w:tc>
        <w:tc>
          <w:tcPr>
            <w:tcW w:w="100" w:type="dxa"/>
            <w:vAlign w:val="bottom"/>
            <w:gridSpan w:val="5"/>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2"/>
              </w:rPr>
            </w:pPr>
            <w:hyperlink r:id="rId391">
              <w:r>
                <w:rPr>
                  <w:rFonts w:ascii="Arial" w:cs="Arial" w:eastAsia="Arial" w:hAnsi="Arial"/>
                  <w:sz w:val="18"/>
                  <w:szCs w:val="18"/>
                  <w:color w:val="0000FF"/>
                  <w:w w:val="92"/>
                </w:rPr>
                <w:t>located at 75 Columbia, Aliso Viejo, California 92656.</w:t>
              </w:r>
            </w:hyperlink>
          </w:p>
        </w:tc>
        <w:tc>
          <w:tcPr>
            <w:tcW w:w="20" w:type="dxa"/>
            <w:vAlign w:val="bottom"/>
            <w:tcBorders>
              <w:top w:val="single" w:sz="8" w:color="0000FF"/>
              <w:bottom w:val="single" w:sz="8" w:color="0000EE"/>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7"/>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466"/>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4100" w:type="dxa"/>
            <w:vAlign w:val="bottom"/>
            <w:tcBorders>
              <w:bottom w:val="single" w:sz="8" w:color="0000FF"/>
            </w:tcBorders>
            <w:gridSpan w:val="13"/>
          </w:tcPr>
          <w:p>
            <w:pPr>
              <w:spacing w:after="0"/>
              <w:rPr>
                <w:rFonts w:ascii="Arial" w:cs="Arial" w:eastAsia="Arial" w:hAnsi="Arial"/>
                <w:sz w:val="18"/>
                <w:szCs w:val="18"/>
                <w:color w:val="0000FF"/>
                <w:w w:val="88"/>
              </w:rPr>
            </w:pPr>
            <w:hyperlink r:id="rId392">
              <w:r>
                <w:rPr>
                  <w:rFonts w:ascii="Arial" w:cs="Arial" w:eastAsia="Arial" w:hAnsi="Arial"/>
                  <w:sz w:val="18"/>
                  <w:szCs w:val="18"/>
                  <w:color w:val="0000FF"/>
                  <w:w w:val="88"/>
                </w:rPr>
                <w:t>Lease, dated as of January 10, 2018, by and between the</w:t>
              </w:r>
            </w:hyperlink>
          </w:p>
        </w:tc>
        <w:tc>
          <w:tcPr>
            <w:tcW w:w="300" w:type="dxa"/>
            <w:vAlign w:val="bottom"/>
            <w:gridSpan w:val="13"/>
          </w:tcPr>
          <w:p>
            <w:pPr>
              <w:spacing w:after="0"/>
              <w:rPr>
                <w:sz w:val="24"/>
                <w:szCs w:val="24"/>
                <w:color w:val="auto"/>
              </w:rPr>
            </w:pPr>
          </w:p>
        </w:tc>
        <w:tc>
          <w:tcPr>
            <w:tcW w:w="980" w:type="dxa"/>
            <w:vAlign w:val="bottom"/>
          </w:tcPr>
          <w:p>
            <w:pPr>
              <w:ind w:left="40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8"/>
              </w:rPr>
              <w:t>10.13</w:t>
            </w:r>
          </w:p>
        </w:tc>
        <w:tc>
          <w:tcPr>
            <w:tcW w:w="1380" w:type="dxa"/>
            <w:vAlign w:val="bottom"/>
          </w:tcPr>
          <w:p>
            <w:pPr>
              <w:ind w:left="500"/>
              <w:spacing w:after="0"/>
              <w:rPr>
                <w:sz w:val="20"/>
                <w:szCs w:val="20"/>
                <w:color w:val="auto"/>
              </w:rPr>
            </w:pPr>
            <w:r>
              <w:rPr>
                <w:rFonts w:ascii="Arial" w:cs="Arial" w:eastAsia="Arial" w:hAnsi="Arial"/>
                <w:sz w:val="18"/>
                <w:szCs w:val="18"/>
                <w:color w:val="auto"/>
                <w:w w:val="88"/>
              </w:rPr>
              <w:t>July 9, 2021</w:t>
            </w:r>
          </w:p>
        </w:tc>
      </w:tr>
      <w:tr>
        <w:trPr>
          <w:trHeight w:val="183"/>
        </w:trPr>
        <w:tc>
          <w:tcPr>
            <w:tcW w:w="1140" w:type="dxa"/>
            <w:vAlign w:val="bottom"/>
          </w:tcPr>
          <w:p>
            <w:pPr>
              <w:spacing w:after="0"/>
              <w:rPr>
                <w:sz w:val="15"/>
                <w:szCs w:val="15"/>
                <w:color w:val="auto"/>
              </w:rPr>
            </w:pPr>
          </w:p>
        </w:tc>
        <w:tc>
          <w:tcPr>
            <w:tcW w:w="4400" w:type="dxa"/>
            <w:vAlign w:val="bottom"/>
            <w:tcBorders>
              <w:bottom w:val="single" w:sz="8" w:color="0000FF"/>
            </w:tcBorders>
            <w:gridSpan w:val="26"/>
          </w:tcPr>
          <w:p>
            <w:pPr>
              <w:spacing w:after="0" w:line="182" w:lineRule="exact"/>
              <w:rPr>
                <w:rFonts w:ascii="Arial" w:cs="Arial" w:eastAsia="Arial" w:hAnsi="Arial"/>
                <w:sz w:val="18"/>
                <w:szCs w:val="18"/>
                <w:color w:val="0000FF"/>
                <w:w w:val="91"/>
              </w:rPr>
            </w:pPr>
            <w:hyperlink r:id="rId392">
              <w:r>
                <w:rPr>
                  <w:rFonts w:ascii="Arial" w:cs="Arial" w:eastAsia="Arial" w:hAnsi="Arial"/>
                  <w:sz w:val="18"/>
                  <w:szCs w:val="18"/>
                  <w:color w:val="0000FF"/>
                  <w:w w:val="91"/>
                </w:rPr>
                <w:t>Registrant and Clifford D. Downs, as amended b that certain</w:t>
              </w:r>
            </w:hyperlink>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400" w:type="dxa"/>
            <w:vAlign w:val="bottom"/>
            <w:gridSpan w:val="26"/>
          </w:tcPr>
          <w:p>
            <w:pPr>
              <w:spacing w:after="0" w:line="182" w:lineRule="exact"/>
              <w:rPr>
                <w:rFonts w:ascii="Arial" w:cs="Arial" w:eastAsia="Arial" w:hAnsi="Arial"/>
                <w:sz w:val="18"/>
                <w:szCs w:val="18"/>
                <w:color w:val="0000FF"/>
                <w:w w:val="94"/>
              </w:rPr>
            </w:pPr>
            <w:hyperlink r:id="rId392">
              <w:r>
                <w:rPr>
                  <w:rFonts w:ascii="Arial" w:cs="Arial" w:eastAsia="Arial" w:hAnsi="Arial"/>
                  <w:sz w:val="18"/>
                  <w:szCs w:val="18"/>
                  <w:color w:val="0000FF"/>
                  <w:w w:val="94"/>
                </w:rPr>
                <w:t>Commencement Date Memorandum dated as of February</w:t>
              </w:r>
            </w:hyperlink>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1"/>
              </w:rPr>
            </w:pPr>
            <w:hyperlink r:id="rId392">
              <w:r>
                <w:rPr>
                  <w:rFonts w:ascii="Arial" w:cs="Arial" w:eastAsia="Arial" w:hAnsi="Arial"/>
                  <w:sz w:val="18"/>
                  <w:szCs w:val="18"/>
                  <w:color w:val="0000FF"/>
                  <w:w w:val="91"/>
                </w:rPr>
                <w:t>22, 2018, for premises located at 5 Columbia, Aliso Viejo,</w:t>
              </w:r>
            </w:hyperlink>
          </w:p>
        </w:tc>
        <w:tc>
          <w:tcPr>
            <w:tcW w:w="60" w:type="dxa"/>
            <w:vAlign w:val="bottom"/>
            <w:tcBorders>
              <w:bottom w:val="single" w:sz="8" w:color="0000FF"/>
            </w:tcBorders>
            <w:gridSpan w:val="3"/>
          </w:tcPr>
          <w:p>
            <w:pPr>
              <w:spacing w:after="0"/>
              <w:rPr>
                <w:sz w:val="15"/>
                <w:szCs w:val="15"/>
                <w:color w:val="auto"/>
              </w:rPr>
            </w:pPr>
          </w:p>
        </w:tc>
        <w:tc>
          <w:tcPr>
            <w:tcW w:w="140" w:type="dxa"/>
            <w:vAlign w:val="bottom"/>
            <w:gridSpan w:val="7"/>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1300" w:type="dxa"/>
            <w:vAlign w:val="bottom"/>
            <w:tcBorders>
              <w:bottom w:val="single" w:sz="8" w:color="0000FF"/>
            </w:tcBorders>
            <w:gridSpan w:val="5"/>
          </w:tcPr>
          <w:p>
            <w:pPr>
              <w:spacing w:after="0" w:line="182" w:lineRule="exact"/>
              <w:rPr>
                <w:rFonts w:ascii="Arial" w:cs="Arial" w:eastAsia="Arial" w:hAnsi="Arial"/>
                <w:sz w:val="18"/>
                <w:szCs w:val="18"/>
                <w:color w:val="0000FF"/>
                <w:w w:val="92"/>
              </w:rPr>
            </w:pPr>
            <w:hyperlink r:id="rId392">
              <w:r>
                <w:rPr>
                  <w:rFonts w:ascii="Arial" w:cs="Arial" w:eastAsia="Arial" w:hAnsi="Arial"/>
                  <w:sz w:val="18"/>
                  <w:szCs w:val="18"/>
                  <w:color w:val="0000FF"/>
                  <w:w w:val="92"/>
                </w:rPr>
                <w:t>California 92656.</w:t>
              </w:r>
            </w:hyperlink>
          </w:p>
        </w:tc>
        <w:tc>
          <w:tcPr>
            <w:tcW w:w="2960" w:type="dxa"/>
            <w:vAlign w:val="bottom"/>
            <w:gridSpan w:val="14"/>
          </w:tcPr>
          <w:p>
            <w:pPr>
              <w:spacing w:after="0"/>
              <w:rPr>
                <w:sz w:val="15"/>
                <w:szCs w:val="15"/>
                <w:color w:val="auto"/>
              </w:rPr>
            </w:pPr>
          </w:p>
        </w:tc>
        <w:tc>
          <w:tcPr>
            <w:tcW w:w="140" w:type="dxa"/>
            <w:vAlign w:val="bottom"/>
            <w:gridSpan w:val="7"/>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680"/>
          </w:cols>
          <w:pgMar w:left="340" w:top="311" w:right="87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86"/>
              </w:rPr>
              <w:t>10.15+</w:t>
            </w:r>
          </w:p>
        </w:tc>
        <w:tc>
          <w:tcPr>
            <w:tcW w:w="4160" w:type="dxa"/>
            <w:vAlign w:val="bottom"/>
            <w:gridSpan w:val="7"/>
          </w:tcPr>
          <w:p>
            <w:pPr>
              <w:spacing w:after="0"/>
              <w:rPr>
                <w:rFonts w:ascii="Arial" w:cs="Arial" w:eastAsia="Arial" w:hAnsi="Arial"/>
                <w:sz w:val="18"/>
                <w:szCs w:val="18"/>
                <w:color w:val="0000FF"/>
                <w:w w:val="97"/>
              </w:rPr>
            </w:pPr>
            <w:hyperlink r:id="rId393">
              <w:r>
                <w:rPr>
                  <w:rFonts w:ascii="Arial" w:cs="Arial" w:eastAsia="Arial" w:hAnsi="Arial"/>
                  <w:sz w:val="18"/>
                  <w:szCs w:val="18"/>
                  <w:color w:val="0000FF"/>
                  <w:w w:val="97"/>
                </w:rPr>
                <w:t>Confirmatory Employment Letter, by and between the</w:t>
              </w:r>
            </w:hyperlink>
          </w:p>
        </w:tc>
      </w:tr>
      <w:tr>
        <w:trPr>
          <w:trHeight w:val="183"/>
        </w:trPr>
        <w:tc>
          <w:tcPr>
            <w:tcW w:w="1140" w:type="dxa"/>
            <w:vAlign w:val="bottom"/>
          </w:tcPr>
          <w:p>
            <w:pPr>
              <w:spacing w:after="0"/>
              <w:rPr>
                <w:sz w:val="15"/>
                <w:szCs w:val="15"/>
                <w:color w:val="auto"/>
              </w:rPr>
            </w:pPr>
          </w:p>
        </w:tc>
        <w:tc>
          <w:tcPr>
            <w:tcW w:w="37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0"/>
              </w:rPr>
            </w:pPr>
            <w:hyperlink r:id="rId393">
              <w:r>
                <w:rPr>
                  <w:rFonts w:ascii="Arial" w:cs="Arial" w:eastAsia="Arial" w:hAnsi="Arial"/>
                  <w:sz w:val="18"/>
                  <w:szCs w:val="18"/>
                  <w:color w:val="0000FF"/>
                  <w:w w:val="90"/>
                </w:rPr>
                <w:t>Registrant and Ron Kurtz, dated as of July 8,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06"/>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86"/>
              </w:rPr>
              <w:t>10.16+</w:t>
            </w:r>
          </w:p>
        </w:tc>
        <w:tc>
          <w:tcPr>
            <w:tcW w:w="3960" w:type="dxa"/>
            <w:vAlign w:val="bottom"/>
            <w:tcBorders>
              <w:bottom w:val="single" w:sz="8" w:color="0000FF"/>
            </w:tcBorders>
            <w:gridSpan w:val="3"/>
          </w:tcPr>
          <w:p>
            <w:pPr>
              <w:spacing w:after="0"/>
              <w:rPr>
                <w:rFonts w:ascii="Arial" w:cs="Arial" w:eastAsia="Arial" w:hAnsi="Arial"/>
                <w:sz w:val="18"/>
                <w:szCs w:val="18"/>
                <w:color w:val="0000FF"/>
                <w:w w:val="92"/>
              </w:rPr>
            </w:pPr>
            <w:hyperlink r:id="rId394">
              <w:r>
                <w:rPr>
                  <w:rFonts w:ascii="Arial" w:cs="Arial" w:eastAsia="Arial" w:hAnsi="Arial"/>
                  <w:sz w:val="18"/>
                  <w:szCs w:val="18"/>
                  <w:color w:val="0000FF"/>
                  <w:w w:val="92"/>
                </w:rPr>
                <w:t>Confirmatory Employment Letter, by and between the</w:t>
              </w:r>
            </w:hyperlink>
          </w:p>
        </w:tc>
        <w:tc>
          <w:tcPr>
            <w:tcW w:w="200" w:type="dxa"/>
            <w:vAlign w:val="bottom"/>
            <w:gridSpan w:val="4"/>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080" w:type="dxa"/>
            <w:vAlign w:val="bottom"/>
            <w:tcBorders>
              <w:bottom w:val="single" w:sz="8" w:color="0000FF"/>
            </w:tcBorders>
            <w:gridSpan w:val="5"/>
          </w:tcPr>
          <w:p>
            <w:pPr>
              <w:spacing w:after="0" w:line="182" w:lineRule="exact"/>
              <w:rPr>
                <w:rFonts w:ascii="Arial" w:cs="Arial" w:eastAsia="Arial" w:hAnsi="Arial"/>
                <w:sz w:val="18"/>
                <w:szCs w:val="18"/>
                <w:color w:val="0000FF"/>
                <w:w w:val="89"/>
              </w:rPr>
            </w:pPr>
            <w:hyperlink r:id="rId394">
              <w:r>
                <w:rPr>
                  <w:rFonts w:ascii="Arial" w:cs="Arial" w:eastAsia="Arial" w:hAnsi="Arial"/>
                  <w:sz w:val="18"/>
                  <w:szCs w:val="18"/>
                  <w:color w:val="0000FF"/>
                  <w:w w:val="89"/>
                </w:rPr>
                <w:t>Registrant and Shelley Thunen, dated as of July 8, 2021.</w:t>
              </w:r>
            </w:hyperlink>
          </w:p>
        </w:tc>
        <w:tc>
          <w:tcPr>
            <w:tcW w:w="80" w:type="dxa"/>
            <w:vAlign w:val="bottom"/>
            <w:gridSpan w:val="2"/>
          </w:tcPr>
          <w:p>
            <w:pPr>
              <w:spacing w:after="0"/>
              <w:rPr>
                <w:sz w:val="15"/>
                <w:szCs w:val="15"/>
                <w:color w:val="auto"/>
              </w:rPr>
            </w:pPr>
          </w:p>
        </w:tc>
      </w:tr>
      <w:tr>
        <w:trPr>
          <w:trHeight w:val="507"/>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86"/>
              </w:rPr>
              <w:t>10.17+</w:t>
            </w:r>
          </w:p>
        </w:tc>
        <w:tc>
          <w:tcPr>
            <w:tcW w:w="4160" w:type="dxa"/>
            <w:vAlign w:val="bottom"/>
            <w:gridSpan w:val="7"/>
          </w:tcPr>
          <w:p>
            <w:pPr>
              <w:spacing w:after="0"/>
              <w:rPr>
                <w:rFonts w:ascii="Arial" w:cs="Arial" w:eastAsia="Arial" w:hAnsi="Arial"/>
                <w:sz w:val="18"/>
                <w:szCs w:val="18"/>
                <w:color w:val="0000FF"/>
                <w:w w:val="97"/>
              </w:rPr>
            </w:pPr>
            <w:hyperlink r:id="rId395">
              <w:r>
                <w:rPr>
                  <w:rFonts w:ascii="Arial" w:cs="Arial" w:eastAsia="Arial" w:hAnsi="Arial"/>
                  <w:sz w:val="18"/>
                  <w:szCs w:val="18"/>
                  <w:color w:val="0000FF"/>
                  <w:w w:val="97"/>
                </w:rPr>
                <w:t>Confirmatory Employment Letter, by and between the</w:t>
              </w:r>
            </w:hyperlink>
          </w:p>
        </w:tc>
      </w:tr>
      <w:tr>
        <w:trPr>
          <w:trHeight w:val="183"/>
        </w:trPr>
        <w:tc>
          <w:tcPr>
            <w:tcW w:w="114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r:id="rId395">
              <w:r>
                <w:rPr>
                  <w:rFonts w:ascii="Arial" w:cs="Arial" w:eastAsia="Arial" w:hAnsi="Arial"/>
                  <w:sz w:val="18"/>
                  <w:szCs w:val="18"/>
                  <w:color w:val="0000FF"/>
                  <w:w w:val="89"/>
                </w:rPr>
                <w:t>Registrant and Eric Weinberg, dated as of July 8, 2021.</w:t>
              </w:r>
            </w:hyperlink>
          </w:p>
        </w:tc>
        <w:tc>
          <w:tcPr>
            <w:tcW w:w="20" w:type="dxa"/>
            <w:vAlign w:val="bottom"/>
            <w:tcBorders>
              <w:bottom w:val="single" w:sz="8" w:color="0000FF"/>
            </w:tcBorders>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506"/>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86"/>
              </w:rPr>
              <w:t>10.18+</w:t>
            </w:r>
          </w:p>
        </w:tc>
        <w:tc>
          <w:tcPr>
            <w:tcW w:w="3960" w:type="dxa"/>
            <w:vAlign w:val="bottom"/>
            <w:tcBorders>
              <w:bottom w:val="single" w:sz="8" w:color="0000FF"/>
            </w:tcBorders>
            <w:gridSpan w:val="3"/>
          </w:tcPr>
          <w:p>
            <w:pPr>
              <w:spacing w:after="0"/>
              <w:rPr>
                <w:rFonts w:ascii="Arial" w:cs="Arial" w:eastAsia="Arial" w:hAnsi="Arial"/>
                <w:sz w:val="18"/>
                <w:szCs w:val="18"/>
                <w:color w:val="0000FF"/>
                <w:w w:val="92"/>
              </w:rPr>
            </w:pPr>
            <w:hyperlink r:id="rId396">
              <w:r>
                <w:rPr>
                  <w:rFonts w:ascii="Arial" w:cs="Arial" w:eastAsia="Arial" w:hAnsi="Arial"/>
                  <w:sz w:val="18"/>
                  <w:szCs w:val="18"/>
                  <w:color w:val="0000FF"/>
                  <w:w w:val="92"/>
                </w:rPr>
                <w:t>Confirmatory Employment Letter, by and between the</w:t>
              </w:r>
            </w:hyperlink>
          </w:p>
        </w:tc>
        <w:tc>
          <w:tcPr>
            <w:tcW w:w="200" w:type="dxa"/>
            <w:vAlign w:val="bottom"/>
            <w:gridSpan w:val="4"/>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140" w:type="dxa"/>
            <w:vAlign w:val="bottom"/>
            <w:tcBorders>
              <w:bottom w:val="single" w:sz="8" w:color="0000FF"/>
            </w:tcBorders>
            <w:gridSpan w:val="6"/>
          </w:tcPr>
          <w:p>
            <w:pPr>
              <w:spacing w:after="0" w:line="182" w:lineRule="exact"/>
              <w:rPr>
                <w:rFonts w:ascii="Arial" w:cs="Arial" w:eastAsia="Arial" w:hAnsi="Arial"/>
                <w:sz w:val="18"/>
                <w:szCs w:val="18"/>
                <w:color w:val="0000FF"/>
                <w:w w:val="89"/>
              </w:rPr>
            </w:pPr>
            <w:hyperlink r:id="rId396">
              <w:r>
                <w:rPr>
                  <w:rFonts w:ascii="Arial" w:cs="Arial" w:eastAsia="Arial" w:hAnsi="Arial"/>
                  <w:sz w:val="18"/>
                  <w:szCs w:val="18"/>
                  <w:color w:val="0000FF"/>
                  <w:w w:val="89"/>
                </w:rPr>
                <w:t>Registrant and Ilya Goldshleger, dated as of July 8, 2021.</w:t>
              </w:r>
            </w:hyperlink>
          </w:p>
        </w:tc>
        <w:tc>
          <w:tcPr>
            <w:tcW w:w="20" w:type="dxa"/>
            <w:vAlign w:val="bottom"/>
            <w:tcBorders>
              <w:bottom w:val="single" w:sz="8" w:color="0000EE"/>
            </w:tcBorders>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10.14</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90"/>
              </w:rPr>
              <w:t>July 9, 2021</w:t>
            </w:r>
          </w:p>
        </w:tc>
      </w:tr>
      <w:tr>
        <w:trPr>
          <w:trHeight w:val="729"/>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10.15</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9, 20211</w:t>
            </w:r>
          </w:p>
        </w:tc>
      </w:tr>
      <w:tr>
        <w:trPr>
          <w:trHeight w:val="729"/>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10.16</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90"/>
              </w:rPr>
              <w:t>July 9, 2021</w:t>
            </w:r>
          </w:p>
        </w:tc>
      </w:tr>
      <w:tr>
        <w:trPr>
          <w:trHeight w:val="729"/>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10.17</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90"/>
              </w:rPr>
              <w:t>July 9, 2021</w:t>
            </w:r>
          </w:p>
        </w:tc>
      </w:tr>
    </w:tbl>
    <w:p>
      <w:pPr>
        <w:spacing w:after="0" w:line="375" w:lineRule="exact"/>
        <w:rPr>
          <w:sz w:val="20"/>
          <w:szCs w:val="20"/>
          <w:color w:val="auto"/>
        </w:rPr>
      </w:pPr>
    </w:p>
    <w:p>
      <w:pPr>
        <w:sectPr>
          <w:pgSz w:w="11900" w:h="16838" w:orient="portrait"/>
          <w:cols w:equalWidth="0" w:num="2">
            <w:col w:w="5280" w:space="660"/>
            <w:col w:w="4740"/>
          </w:cols>
          <w:pgMar w:left="340" w:top="311" w:right="87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311" w:right="87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10.19+</w:t>
            </w:r>
          </w:p>
        </w:tc>
        <w:tc>
          <w:tcPr>
            <w:tcW w:w="3900" w:type="dxa"/>
            <w:vAlign w:val="bottom"/>
            <w:tcBorders>
              <w:bottom w:val="single" w:sz="8" w:color="0000FF"/>
            </w:tcBorders>
            <w:gridSpan w:val="14"/>
          </w:tcPr>
          <w:p>
            <w:pPr>
              <w:spacing w:after="0"/>
              <w:rPr>
                <w:rFonts w:ascii="Arial" w:cs="Arial" w:eastAsia="Arial" w:hAnsi="Arial"/>
                <w:sz w:val="18"/>
                <w:szCs w:val="18"/>
                <w:color w:val="0000FF"/>
                <w:w w:val="90"/>
              </w:rPr>
            </w:pPr>
            <w:hyperlink r:id="rId398">
              <w:r>
                <w:rPr>
                  <w:rFonts w:ascii="Arial" w:cs="Arial" w:eastAsia="Arial" w:hAnsi="Arial"/>
                  <w:sz w:val="18"/>
                  <w:szCs w:val="18"/>
                  <w:color w:val="0000FF"/>
                  <w:w w:val="90"/>
                </w:rPr>
                <w:t>Change in Control and Severance Agreement, by and</w:t>
              </w:r>
            </w:hyperlink>
          </w:p>
        </w:tc>
        <w:tc>
          <w:tcPr>
            <w:tcW w:w="760" w:type="dxa"/>
            <w:vAlign w:val="bottom"/>
            <w:gridSpan w:val="18"/>
          </w:tcPr>
          <w:p>
            <w:pPr>
              <w:spacing w:after="0"/>
              <w:rPr>
                <w:sz w:val="17"/>
                <w:szCs w:val="17"/>
                <w:color w:val="auto"/>
              </w:rPr>
            </w:pPr>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10.18</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183"/>
        </w:trPr>
        <w:tc>
          <w:tcPr>
            <w:tcW w:w="1160" w:type="dxa"/>
            <w:vAlign w:val="bottom"/>
          </w:tcPr>
          <w:p>
            <w:pPr>
              <w:spacing w:after="0"/>
              <w:rPr>
                <w:sz w:val="15"/>
                <w:szCs w:val="15"/>
                <w:color w:val="auto"/>
              </w:rPr>
            </w:pPr>
          </w:p>
        </w:tc>
        <w:tc>
          <w:tcPr>
            <w:tcW w:w="4660" w:type="dxa"/>
            <w:vAlign w:val="bottom"/>
            <w:gridSpan w:val="32"/>
          </w:tcPr>
          <w:p>
            <w:pPr>
              <w:spacing w:after="0" w:line="182" w:lineRule="exact"/>
              <w:rPr>
                <w:rFonts w:ascii="Arial" w:cs="Arial" w:eastAsia="Arial" w:hAnsi="Arial"/>
                <w:sz w:val="18"/>
                <w:szCs w:val="18"/>
                <w:color w:val="0000FF"/>
              </w:rPr>
            </w:pPr>
            <w:hyperlink r:id="rId398">
              <w:r>
                <w:rPr>
                  <w:rFonts w:ascii="Arial" w:cs="Arial" w:eastAsia="Arial" w:hAnsi="Arial"/>
                  <w:sz w:val="18"/>
                  <w:szCs w:val="18"/>
                  <w:color w:val="0000FF"/>
                </w:rPr>
                <w:t>between the Registrant and Ron Kurtz, dated as of July 8,</w:t>
              </w:r>
            </w:hyperlink>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r:id="rId398">
              <w:r>
                <w:rPr>
                  <w:rFonts w:ascii="Arial" w:cs="Arial" w:eastAsia="Arial" w:hAnsi="Arial"/>
                  <w:sz w:val="18"/>
                  <w:szCs w:val="18"/>
                  <w:color w:val="0000FF"/>
                  <w:w w:val="88"/>
                </w:rPr>
                <w:t>2021.</w:t>
              </w:r>
            </w:hyperlink>
          </w:p>
        </w:tc>
        <w:tc>
          <w:tcPr>
            <w:tcW w:w="20" w:type="dxa"/>
            <w:vAlign w:val="bottom"/>
            <w:tcBorders>
              <w:top w:val="single" w:sz="8" w:color="0000FF"/>
              <w:bottom w:val="single" w:sz="8" w:color="0000EE"/>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10.20+</w:t>
            </w:r>
          </w:p>
        </w:tc>
        <w:tc>
          <w:tcPr>
            <w:tcW w:w="4660" w:type="dxa"/>
            <w:vAlign w:val="bottom"/>
            <w:gridSpan w:val="32"/>
          </w:tcPr>
          <w:p>
            <w:pPr>
              <w:spacing w:after="0"/>
              <w:rPr>
                <w:rFonts w:ascii="Arial" w:cs="Arial" w:eastAsia="Arial" w:hAnsi="Arial"/>
                <w:sz w:val="18"/>
                <w:szCs w:val="18"/>
                <w:color w:val="0000FF"/>
              </w:rPr>
            </w:pPr>
            <w:hyperlink r:id="rId399">
              <w:r>
                <w:rPr>
                  <w:rFonts w:ascii="Arial" w:cs="Arial" w:eastAsia="Arial" w:hAnsi="Arial"/>
                  <w:sz w:val="18"/>
                  <w:szCs w:val="18"/>
                  <w:color w:val="0000FF"/>
                </w:rPr>
                <w:t>Change in Control and Severance Agreement, by and</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10.19</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183"/>
        </w:trPr>
        <w:tc>
          <w:tcPr>
            <w:tcW w:w="1160" w:type="dxa"/>
            <w:vAlign w:val="bottom"/>
          </w:tcPr>
          <w:p>
            <w:pPr>
              <w:spacing w:after="0"/>
              <w:rPr>
                <w:sz w:val="15"/>
                <w:szCs w:val="15"/>
                <w:color w:val="auto"/>
              </w:rPr>
            </w:pPr>
          </w:p>
        </w:tc>
        <w:tc>
          <w:tcPr>
            <w:tcW w:w="3900" w:type="dxa"/>
            <w:vAlign w:val="bottom"/>
            <w:tcBorders>
              <w:top w:val="single" w:sz="8" w:color="0000FF"/>
            </w:tcBorders>
            <w:gridSpan w:val="14"/>
          </w:tcPr>
          <w:p>
            <w:pPr>
              <w:spacing w:after="0" w:line="182" w:lineRule="exact"/>
              <w:rPr>
                <w:rFonts w:ascii="Arial" w:cs="Arial" w:eastAsia="Arial" w:hAnsi="Arial"/>
                <w:sz w:val="18"/>
                <w:szCs w:val="18"/>
                <w:color w:val="0000FF"/>
                <w:w w:val="90"/>
              </w:rPr>
            </w:pPr>
            <w:hyperlink r:id="rId399">
              <w:r>
                <w:rPr>
                  <w:rFonts w:ascii="Arial" w:cs="Arial" w:eastAsia="Arial" w:hAnsi="Arial"/>
                  <w:sz w:val="18"/>
                  <w:szCs w:val="18"/>
                  <w:color w:val="0000FF"/>
                  <w:w w:val="90"/>
                </w:rPr>
                <w:t>between the Registrant and Shelley Thunen, dated as</w:t>
              </w:r>
            </w:hyperlink>
          </w:p>
        </w:tc>
        <w:tc>
          <w:tcPr>
            <w:tcW w:w="760" w:type="dxa"/>
            <w:vAlign w:val="bottom"/>
            <w:gridSpan w:val="18"/>
          </w:tcPr>
          <w:p>
            <w:pPr>
              <w:jc w:val="center"/>
              <w:ind w:right="300"/>
              <w:spacing w:after="0" w:line="182" w:lineRule="exact"/>
              <w:rPr>
                <w:rFonts w:ascii="Arial" w:cs="Arial" w:eastAsia="Arial" w:hAnsi="Arial"/>
                <w:sz w:val="18"/>
                <w:szCs w:val="18"/>
                <w:color w:val="0000FF"/>
                <w:w w:val="88"/>
              </w:rPr>
            </w:pPr>
            <w:hyperlink r:id="rId399">
              <w:r>
                <w:rPr>
                  <w:rFonts w:ascii="Arial" w:cs="Arial" w:eastAsia="Arial" w:hAnsi="Arial"/>
                  <w:sz w:val="18"/>
                  <w:szCs w:val="18"/>
                  <w:color w:val="0000FF"/>
                  <w:w w:val="88"/>
                </w:rPr>
                <w:t>of July</w:t>
              </w:r>
            </w:hyperlink>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6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r:id="rId399">
              <w:r>
                <w:rPr>
                  <w:rFonts w:ascii="Arial" w:cs="Arial" w:eastAsia="Arial" w:hAnsi="Arial"/>
                  <w:sz w:val="18"/>
                  <w:szCs w:val="18"/>
                  <w:color w:val="0000FF"/>
                  <w:w w:val="89"/>
                </w:rPr>
                <w:t>8, 2021.</w:t>
              </w:r>
            </w:hyperlink>
          </w:p>
        </w:tc>
        <w:tc>
          <w:tcPr>
            <w:tcW w:w="3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10.21+</w:t>
            </w:r>
          </w:p>
        </w:tc>
        <w:tc>
          <w:tcPr>
            <w:tcW w:w="4660" w:type="dxa"/>
            <w:vAlign w:val="bottom"/>
            <w:gridSpan w:val="32"/>
          </w:tcPr>
          <w:p>
            <w:pPr>
              <w:spacing w:after="0"/>
              <w:rPr>
                <w:rFonts w:ascii="Arial" w:cs="Arial" w:eastAsia="Arial" w:hAnsi="Arial"/>
                <w:sz w:val="18"/>
                <w:szCs w:val="18"/>
                <w:color w:val="0000FF"/>
              </w:rPr>
            </w:pPr>
            <w:hyperlink r:id="rId400">
              <w:r>
                <w:rPr>
                  <w:rFonts w:ascii="Arial" w:cs="Arial" w:eastAsia="Arial" w:hAnsi="Arial"/>
                  <w:sz w:val="18"/>
                  <w:szCs w:val="18"/>
                  <w:color w:val="0000FF"/>
                </w:rPr>
                <w:t>Change in Control and Severance Agreement, by and</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10.20</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183"/>
        </w:trPr>
        <w:tc>
          <w:tcPr>
            <w:tcW w:w="1160" w:type="dxa"/>
            <w:vAlign w:val="bottom"/>
          </w:tcPr>
          <w:p>
            <w:pPr>
              <w:spacing w:after="0"/>
              <w:rPr>
                <w:sz w:val="15"/>
                <w:szCs w:val="15"/>
                <w:color w:val="auto"/>
              </w:rPr>
            </w:pPr>
          </w:p>
        </w:tc>
        <w:tc>
          <w:tcPr>
            <w:tcW w:w="3900" w:type="dxa"/>
            <w:vAlign w:val="bottom"/>
            <w:tcBorders>
              <w:top w:val="single" w:sz="8" w:color="0000FF"/>
            </w:tcBorders>
            <w:gridSpan w:val="14"/>
          </w:tcPr>
          <w:p>
            <w:pPr>
              <w:spacing w:after="0" w:line="182" w:lineRule="exact"/>
              <w:rPr>
                <w:rFonts w:ascii="Arial" w:cs="Arial" w:eastAsia="Arial" w:hAnsi="Arial"/>
                <w:sz w:val="18"/>
                <w:szCs w:val="18"/>
                <w:color w:val="0000FF"/>
                <w:w w:val="88"/>
              </w:rPr>
            </w:pPr>
            <w:hyperlink r:id="rId400">
              <w:r>
                <w:rPr>
                  <w:rFonts w:ascii="Arial" w:cs="Arial" w:eastAsia="Arial" w:hAnsi="Arial"/>
                  <w:sz w:val="18"/>
                  <w:szCs w:val="18"/>
                  <w:color w:val="0000FF"/>
                  <w:w w:val="88"/>
                </w:rPr>
                <w:t>between the Registrant and Eric Weinberg, dated as of</w:t>
              </w:r>
            </w:hyperlink>
          </w:p>
        </w:tc>
        <w:tc>
          <w:tcPr>
            <w:tcW w:w="760" w:type="dxa"/>
            <w:vAlign w:val="bottom"/>
            <w:gridSpan w:val="18"/>
          </w:tcPr>
          <w:p>
            <w:pPr>
              <w:jc w:val="center"/>
              <w:ind w:right="340"/>
              <w:spacing w:after="0" w:line="182" w:lineRule="exact"/>
              <w:rPr>
                <w:rFonts w:ascii="Arial" w:cs="Arial" w:eastAsia="Arial" w:hAnsi="Arial"/>
                <w:sz w:val="18"/>
                <w:szCs w:val="18"/>
                <w:color w:val="0000FF"/>
                <w:w w:val="93"/>
              </w:rPr>
            </w:pPr>
            <w:hyperlink r:id="rId400">
              <w:r>
                <w:rPr>
                  <w:rFonts w:ascii="Arial" w:cs="Arial" w:eastAsia="Arial" w:hAnsi="Arial"/>
                  <w:sz w:val="18"/>
                  <w:szCs w:val="18"/>
                  <w:color w:val="0000FF"/>
                  <w:w w:val="93"/>
                </w:rPr>
                <w:t>July</w:t>
              </w:r>
            </w:hyperlink>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6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r:id="rId400">
              <w:r>
                <w:rPr>
                  <w:rFonts w:ascii="Arial" w:cs="Arial" w:eastAsia="Arial" w:hAnsi="Arial"/>
                  <w:sz w:val="18"/>
                  <w:szCs w:val="18"/>
                  <w:color w:val="0000FF"/>
                  <w:w w:val="89"/>
                </w:rPr>
                <w:t>8, 2021.</w:t>
              </w:r>
            </w:hyperlink>
          </w:p>
        </w:tc>
        <w:tc>
          <w:tcPr>
            <w:tcW w:w="3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10.22+</w:t>
            </w:r>
          </w:p>
        </w:tc>
        <w:tc>
          <w:tcPr>
            <w:tcW w:w="4660" w:type="dxa"/>
            <w:vAlign w:val="bottom"/>
            <w:gridSpan w:val="32"/>
          </w:tcPr>
          <w:p>
            <w:pPr>
              <w:spacing w:after="0"/>
              <w:rPr>
                <w:rFonts w:ascii="Arial" w:cs="Arial" w:eastAsia="Arial" w:hAnsi="Arial"/>
                <w:sz w:val="18"/>
                <w:szCs w:val="18"/>
                <w:color w:val="0000FF"/>
              </w:rPr>
            </w:pPr>
            <w:hyperlink r:id="rId401">
              <w:r>
                <w:rPr>
                  <w:rFonts w:ascii="Arial" w:cs="Arial" w:eastAsia="Arial" w:hAnsi="Arial"/>
                  <w:sz w:val="18"/>
                  <w:szCs w:val="18"/>
                  <w:color w:val="0000FF"/>
                </w:rPr>
                <w:t>Change in Control and Severance Agreement, by and</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10.21</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183"/>
        </w:trPr>
        <w:tc>
          <w:tcPr>
            <w:tcW w:w="1160" w:type="dxa"/>
            <w:vAlign w:val="bottom"/>
          </w:tcPr>
          <w:p>
            <w:pPr>
              <w:spacing w:after="0"/>
              <w:rPr>
                <w:sz w:val="15"/>
                <w:szCs w:val="15"/>
                <w:color w:val="auto"/>
              </w:rPr>
            </w:pPr>
          </w:p>
        </w:tc>
        <w:tc>
          <w:tcPr>
            <w:tcW w:w="3900" w:type="dxa"/>
            <w:vAlign w:val="bottom"/>
            <w:tcBorders>
              <w:top w:val="single" w:sz="8" w:color="0000FF"/>
            </w:tcBorders>
            <w:gridSpan w:val="14"/>
          </w:tcPr>
          <w:p>
            <w:pPr>
              <w:spacing w:after="0" w:line="182" w:lineRule="exact"/>
              <w:rPr>
                <w:rFonts w:ascii="Arial" w:cs="Arial" w:eastAsia="Arial" w:hAnsi="Arial"/>
                <w:sz w:val="18"/>
                <w:szCs w:val="18"/>
                <w:color w:val="0000FF"/>
                <w:w w:val="89"/>
              </w:rPr>
            </w:pPr>
            <w:hyperlink r:id="rId401">
              <w:r>
                <w:rPr>
                  <w:rFonts w:ascii="Arial" w:cs="Arial" w:eastAsia="Arial" w:hAnsi="Arial"/>
                  <w:sz w:val="18"/>
                  <w:szCs w:val="18"/>
                  <w:color w:val="0000FF"/>
                  <w:w w:val="89"/>
                </w:rPr>
                <w:t>between the Registrant and Ilya Goldshleger, dated as</w:t>
              </w:r>
            </w:hyperlink>
          </w:p>
        </w:tc>
        <w:tc>
          <w:tcPr>
            <w:tcW w:w="760" w:type="dxa"/>
            <w:vAlign w:val="bottom"/>
            <w:gridSpan w:val="18"/>
          </w:tcPr>
          <w:p>
            <w:pPr>
              <w:ind w:left="20"/>
              <w:spacing w:after="0" w:line="182" w:lineRule="exact"/>
              <w:rPr>
                <w:rFonts w:ascii="Arial" w:cs="Arial" w:eastAsia="Arial" w:hAnsi="Arial"/>
                <w:sz w:val="18"/>
                <w:szCs w:val="18"/>
                <w:color w:val="0000FF"/>
              </w:rPr>
            </w:pPr>
            <w:hyperlink r:id="rId401">
              <w:r>
                <w:rPr>
                  <w:rFonts w:ascii="Arial" w:cs="Arial" w:eastAsia="Arial" w:hAnsi="Arial"/>
                  <w:sz w:val="18"/>
                  <w:szCs w:val="18"/>
                  <w:color w:val="0000FF"/>
                </w:rPr>
                <w:t>of</w:t>
              </w:r>
            </w:hyperlink>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9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0"/>
              </w:rPr>
            </w:pPr>
            <w:hyperlink r:id="rId401">
              <w:r>
                <w:rPr>
                  <w:rFonts w:ascii="Arial" w:cs="Arial" w:eastAsia="Arial" w:hAnsi="Arial"/>
                  <w:sz w:val="18"/>
                  <w:szCs w:val="18"/>
                  <w:color w:val="0000FF"/>
                  <w:w w:val="90"/>
                </w:rPr>
                <w:t>July 8,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160" w:type="dxa"/>
            <w:vAlign w:val="bottom"/>
            <w:tcBorders>
              <w:top w:val="single" w:sz="8" w:color="0000FF"/>
            </w:tcBorders>
            <w:gridSpan w:val="1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10.23</w:t>
            </w:r>
          </w:p>
        </w:tc>
        <w:tc>
          <w:tcPr>
            <w:tcW w:w="4660" w:type="dxa"/>
            <w:vAlign w:val="bottom"/>
            <w:gridSpan w:val="32"/>
          </w:tcPr>
          <w:p>
            <w:pPr>
              <w:spacing w:after="0"/>
              <w:rPr>
                <w:rFonts w:ascii="Arial" w:cs="Arial" w:eastAsia="Arial" w:hAnsi="Arial"/>
                <w:sz w:val="18"/>
                <w:szCs w:val="18"/>
                <w:color w:val="0000FF"/>
                <w:w w:val="99"/>
              </w:rPr>
            </w:pPr>
            <w:hyperlink r:id="rId402">
              <w:r>
                <w:rPr>
                  <w:rFonts w:ascii="Arial" w:cs="Arial" w:eastAsia="Arial" w:hAnsi="Arial"/>
                  <w:sz w:val="18"/>
                  <w:szCs w:val="18"/>
                  <w:color w:val="0000FF"/>
                  <w:w w:val="99"/>
                </w:rPr>
                <w:t>Consulting Agreement, by and between the Registrant and</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183"/>
        </w:trPr>
        <w:tc>
          <w:tcPr>
            <w:tcW w:w="1160" w:type="dxa"/>
            <w:vAlign w:val="bottom"/>
          </w:tcPr>
          <w:p>
            <w:pPr>
              <w:spacing w:after="0"/>
              <w:rPr>
                <w:sz w:val="15"/>
                <w:szCs w:val="15"/>
                <w:color w:val="auto"/>
              </w:rPr>
            </w:pPr>
          </w:p>
        </w:tc>
        <w:tc>
          <w:tcPr>
            <w:tcW w:w="4280" w:type="dxa"/>
            <w:vAlign w:val="bottom"/>
            <w:tcBorders>
              <w:top w:val="single" w:sz="8" w:color="0000FF"/>
            </w:tcBorders>
            <w:gridSpan w:val="25"/>
          </w:tcPr>
          <w:p>
            <w:pPr>
              <w:spacing w:after="0" w:line="182" w:lineRule="exact"/>
              <w:rPr>
                <w:rFonts w:ascii="Arial" w:cs="Arial" w:eastAsia="Arial" w:hAnsi="Arial"/>
                <w:sz w:val="18"/>
                <w:szCs w:val="18"/>
                <w:color w:val="0000FF"/>
                <w:w w:val="96"/>
              </w:rPr>
            </w:pPr>
            <w:hyperlink r:id="rId402">
              <w:r>
                <w:rPr>
                  <w:rFonts w:ascii="Arial" w:cs="Arial" w:eastAsia="Arial" w:hAnsi="Arial"/>
                  <w:sz w:val="18"/>
                  <w:szCs w:val="18"/>
                  <w:color w:val="0000FF"/>
                  <w:w w:val="96"/>
                </w:rPr>
                <w:t>Yelroc Consulting, Inc., dated as of January 1, 2019,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116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88"/>
              </w:rPr>
            </w:pPr>
            <w:hyperlink r:id="rId402">
              <w:r>
                <w:rPr>
                  <w:rFonts w:ascii="Arial" w:cs="Arial" w:eastAsia="Arial" w:hAnsi="Arial"/>
                  <w:sz w:val="18"/>
                  <w:szCs w:val="18"/>
                  <w:color w:val="0000FF"/>
                  <w:w w:val="88"/>
                </w:rPr>
                <w:t>amended by that certain Amendment No. 1 to Consulting</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4180" w:type="dxa"/>
            <w:vAlign w:val="bottom"/>
            <w:gridSpan w:val="21"/>
          </w:tcPr>
          <w:p>
            <w:pPr>
              <w:spacing w:after="0" w:line="182" w:lineRule="exact"/>
              <w:rPr>
                <w:rFonts w:ascii="Arial" w:cs="Arial" w:eastAsia="Arial" w:hAnsi="Arial"/>
                <w:sz w:val="18"/>
                <w:szCs w:val="18"/>
                <w:color w:val="0000FF"/>
              </w:rPr>
            </w:pPr>
            <w:hyperlink r:id="rId402">
              <w:r>
                <w:rPr>
                  <w:rFonts w:ascii="Arial" w:cs="Arial" w:eastAsia="Arial" w:hAnsi="Arial"/>
                  <w:sz w:val="18"/>
                  <w:szCs w:val="18"/>
                  <w:color w:val="0000FF"/>
                </w:rPr>
                <w:t>Agreement, dated as of December 16, 2020.</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26"/>
        </w:trPr>
        <w:tc>
          <w:tcPr>
            <w:tcW w:w="1160" w:type="dxa"/>
            <w:vAlign w:val="bottom"/>
          </w:tcPr>
          <w:p>
            <w:pPr>
              <w:ind w:left="20"/>
              <w:spacing w:after="0"/>
              <w:rPr>
                <w:sz w:val="20"/>
                <w:szCs w:val="20"/>
                <w:color w:val="auto"/>
              </w:rPr>
            </w:pPr>
            <w:r>
              <w:rPr>
                <w:rFonts w:ascii="Arial" w:cs="Arial" w:eastAsia="Arial" w:hAnsi="Arial"/>
                <w:sz w:val="18"/>
                <w:szCs w:val="18"/>
                <w:color w:val="auto"/>
              </w:rPr>
              <w:t>10.24</w:t>
            </w:r>
          </w:p>
        </w:tc>
        <w:tc>
          <w:tcPr>
            <w:tcW w:w="4660" w:type="dxa"/>
            <w:vAlign w:val="bottom"/>
            <w:gridSpan w:val="32"/>
          </w:tcPr>
          <w:p>
            <w:pPr>
              <w:spacing w:after="0"/>
              <w:rPr>
                <w:rFonts w:ascii="Arial" w:cs="Arial" w:eastAsia="Arial" w:hAnsi="Arial"/>
                <w:sz w:val="18"/>
                <w:szCs w:val="18"/>
                <w:color w:val="0000FF"/>
                <w:w w:val="97"/>
              </w:rPr>
            </w:pPr>
            <w:hyperlink r:id="rId403">
              <w:r>
                <w:rPr>
                  <w:rFonts w:ascii="Arial" w:cs="Arial" w:eastAsia="Arial" w:hAnsi="Arial"/>
                  <w:sz w:val="18"/>
                  <w:szCs w:val="18"/>
                  <w:color w:val="0000FF"/>
                  <w:w w:val="97"/>
                </w:rPr>
                <w:t>Termination Agreement, by and between the Registrant and</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10.24</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July 26, 2021</w:t>
            </w:r>
          </w:p>
        </w:tc>
      </w:tr>
      <w:tr>
        <w:trPr>
          <w:trHeight w:val="183"/>
        </w:trPr>
        <w:tc>
          <w:tcPr>
            <w:tcW w:w="1160" w:type="dxa"/>
            <w:vAlign w:val="bottom"/>
          </w:tcPr>
          <w:p>
            <w:pPr>
              <w:spacing w:after="0"/>
              <w:rPr>
                <w:sz w:val="15"/>
                <w:szCs w:val="15"/>
                <w:color w:val="auto"/>
              </w:rPr>
            </w:pPr>
          </w:p>
        </w:tc>
        <w:tc>
          <w:tcPr>
            <w:tcW w:w="436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403">
              <w:r>
                <w:rPr>
                  <w:rFonts w:ascii="Arial" w:cs="Arial" w:eastAsia="Arial" w:hAnsi="Arial"/>
                  <w:sz w:val="18"/>
                  <w:szCs w:val="18"/>
                  <w:color w:val="0000FF"/>
                </w:rPr>
                <w:t>Yelroc Consulting, Inc., dated as of August 3, 2021.</w:t>
              </w:r>
            </w:hyperlink>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831"/>
        </w:trPr>
        <w:tc>
          <w:tcPr>
            <w:tcW w:w="1160" w:type="dxa"/>
            <w:vAlign w:val="bottom"/>
          </w:tcPr>
          <w:p>
            <w:pPr>
              <w:ind w:left="20"/>
              <w:spacing w:after="0"/>
              <w:rPr>
                <w:sz w:val="20"/>
                <w:szCs w:val="20"/>
                <w:color w:val="auto"/>
              </w:rPr>
            </w:pPr>
            <w:r>
              <w:rPr>
                <w:rFonts w:ascii="Arial" w:cs="Arial" w:eastAsia="Arial" w:hAnsi="Arial"/>
                <w:sz w:val="18"/>
                <w:szCs w:val="18"/>
                <w:color w:val="auto"/>
              </w:rPr>
              <w:t>10.25</w:t>
            </w:r>
          </w:p>
        </w:tc>
        <w:tc>
          <w:tcPr>
            <w:tcW w:w="4660" w:type="dxa"/>
            <w:vAlign w:val="bottom"/>
            <w:gridSpan w:val="32"/>
          </w:tcPr>
          <w:p>
            <w:pPr>
              <w:spacing w:after="0"/>
              <w:rPr>
                <w:rFonts w:ascii="Arial" w:cs="Arial" w:eastAsia="Arial" w:hAnsi="Arial"/>
                <w:sz w:val="18"/>
                <w:szCs w:val="18"/>
                <w:color w:val="0000FF"/>
                <w:w w:val="99"/>
              </w:rPr>
            </w:pPr>
            <w:hyperlink r:id="rId404">
              <w:r>
                <w:rPr>
                  <w:rFonts w:ascii="Arial" w:cs="Arial" w:eastAsia="Arial" w:hAnsi="Arial"/>
                  <w:sz w:val="18"/>
                  <w:szCs w:val="18"/>
                  <w:color w:val="0000FF"/>
                  <w:w w:val="99"/>
                </w:rPr>
                <w:t>Consulting Agreement, by and between the Registrant and</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10.23</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183"/>
        </w:trPr>
        <w:tc>
          <w:tcPr>
            <w:tcW w:w="1160" w:type="dxa"/>
            <w:vAlign w:val="bottom"/>
          </w:tcPr>
          <w:p>
            <w:pPr>
              <w:spacing w:after="0"/>
              <w:rPr>
                <w:sz w:val="15"/>
                <w:szCs w:val="15"/>
                <w:color w:val="auto"/>
              </w:rPr>
            </w:pPr>
          </w:p>
        </w:tc>
        <w:tc>
          <w:tcPr>
            <w:tcW w:w="4280" w:type="dxa"/>
            <w:vAlign w:val="bottom"/>
            <w:tcBorders>
              <w:top w:val="single" w:sz="8" w:color="0000FF"/>
            </w:tcBorders>
            <w:gridSpan w:val="25"/>
          </w:tcPr>
          <w:p>
            <w:pPr>
              <w:spacing w:after="0" w:line="182" w:lineRule="exact"/>
              <w:rPr>
                <w:rFonts w:ascii="Arial" w:cs="Arial" w:eastAsia="Arial" w:hAnsi="Arial"/>
                <w:sz w:val="18"/>
                <w:szCs w:val="18"/>
                <w:color w:val="0000FF"/>
                <w:w w:val="96"/>
              </w:rPr>
            </w:pPr>
            <w:hyperlink r:id="rId404">
              <w:r>
                <w:rPr>
                  <w:rFonts w:ascii="Arial" w:cs="Arial" w:eastAsia="Arial" w:hAnsi="Arial"/>
                  <w:sz w:val="18"/>
                  <w:szCs w:val="18"/>
                  <w:color w:val="0000FF"/>
                  <w:w w:val="96"/>
                </w:rPr>
                <w:t>Daniel Schwartz, M.D., dated as of January 1, 2019,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116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0"/>
              </w:rPr>
            </w:pPr>
            <w:hyperlink r:id="rId404">
              <w:r>
                <w:rPr>
                  <w:rFonts w:ascii="Arial" w:cs="Arial" w:eastAsia="Arial" w:hAnsi="Arial"/>
                  <w:sz w:val="18"/>
                  <w:szCs w:val="18"/>
                  <w:color w:val="0000FF"/>
                  <w:w w:val="90"/>
                </w:rPr>
                <w:t>amended by that certain Amendment No. 1, dated as of</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4060" w:type="dxa"/>
            <w:vAlign w:val="bottom"/>
            <w:gridSpan w:val="17"/>
          </w:tcPr>
          <w:p>
            <w:pPr>
              <w:spacing w:after="0" w:line="182" w:lineRule="exact"/>
              <w:rPr>
                <w:rFonts w:ascii="Arial" w:cs="Arial" w:eastAsia="Arial" w:hAnsi="Arial"/>
                <w:sz w:val="18"/>
                <w:szCs w:val="18"/>
                <w:color w:val="0000FF"/>
              </w:rPr>
            </w:pPr>
            <w:hyperlink r:id="rId404">
              <w:r>
                <w:rPr>
                  <w:rFonts w:ascii="Arial" w:cs="Arial" w:eastAsia="Arial" w:hAnsi="Arial"/>
                  <w:sz w:val="18"/>
                  <w:szCs w:val="18"/>
                  <w:color w:val="0000FF"/>
                </w:rPr>
                <w:t>December 16,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Borders>
              <w:right w:val="single" w:sz="8" w:color="0000EE"/>
            </w:tcBorders>
            <w:gridSpan w:val="6"/>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5"/>
        </w:trPr>
        <w:tc>
          <w:tcPr>
            <w:tcW w:w="1160" w:type="dxa"/>
            <w:vAlign w:val="bottom"/>
          </w:tcPr>
          <w:p>
            <w:pPr>
              <w:ind w:left="20"/>
              <w:spacing w:after="0"/>
              <w:rPr>
                <w:sz w:val="20"/>
                <w:szCs w:val="20"/>
                <w:color w:val="auto"/>
              </w:rPr>
            </w:pPr>
            <w:r>
              <w:rPr>
                <w:rFonts w:ascii="Arial" w:cs="Arial" w:eastAsia="Arial" w:hAnsi="Arial"/>
                <w:sz w:val="18"/>
                <w:szCs w:val="18"/>
                <w:color w:val="auto"/>
              </w:rPr>
              <w:t>10.26</w:t>
            </w:r>
          </w:p>
        </w:tc>
        <w:tc>
          <w:tcPr>
            <w:tcW w:w="4660" w:type="dxa"/>
            <w:vAlign w:val="bottom"/>
            <w:gridSpan w:val="32"/>
          </w:tcPr>
          <w:p>
            <w:pPr>
              <w:spacing w:after="0"/>
              <w:rPr>
                <w:rFonts w:ascii="Arial" w:cs="Arial" w:eastAsia="Arial" w:hAnsi="Arial"/>
                <w:sz w:val="18"/>
                <w:szCs w:val="18"/>
                <w:color w:val="0000FF"/>
                <w:w w:val="98"/>
              </w:rPr>
            </w:pPr>
            <w:hyperlink r:id="rId405">
              <w:r>
                <w:rPr>
                  <w:rFonts w:ascii="Arial" w:cs="Arial" w:eastAsia="Arial" w:hAnsi="Arial"/>
                  <w:sz w:val="18"/>
                  <w:szCs w:val="18"/>
                  <w:color w:val="0000FF"/>
                  <w:w w:val="98"/>
                </w:rPr>
                <w:t>Amended and Restated Secured Full Recourse Promissory</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10.24</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9, 2021</w:t>
            </w:r>
          </w:p>
        </w:tc>
      </w:tr>
      <w:tr>
        <w:trPr>
          <w:trHeight w:val="183"/>
        </w:trPr>
        <w:tc>
          <w:tcPr>
            <w:tcW w:w="1160" w:type="dxa"/>
            <w:vAlign w:val="bottom"/>
          </w:tcPr>
          <w:p>
            <w:pPr>
              <w:spacing w:after="0"/>
              <w:rPr>
                <w:sz w:val="15"/>
                <w:szCs w:val="15"/>
                <w:color w:val="auto"/>
              </w:rPr>
            </w:pPr>
          </w:p>
        </w:tc>
        <w:tc>
          <w:tcPr>
            <w:tcW w:w="4300" w:type="dxa"/>
            <w:vAlign w:val="bottom"/>
            <w:tcBorders>
              <w:top w:val="single" w:sz="8" w:color="0000FF"/>
            </w:tcBorders>
            <w:gridSpan w:val="26"/>
          </w:tcPr>
          <w:p>
            <w:pPr>
              <w:spacing w:after="0" w:line="182" w:lineRule="exact"/>
              <w:rPr>
                <w:rFonts w:ascii="Arial" w:cs="Arial" w:eastAsia="Arial" w:hAnsi="Arial"/>
                <w:sz w:val="18"/>
                <w:szCs w:val="18"/>
                <w:color w:val="0000FF"/>
                <w:w w:val="91"/>
              </w:rPr>
            </w:pPr>
            <w:hyperlink r:id="rId405">
              <w:r>
                <w:rPr>
                  <w:rFonts w:ascii="Arial" w:cs="Arial" w:eastAsia="Arial" w:hAnsi="Arial"/>
                  <w:sz w:val="18"/>
                  <w:szCs w:val="18"/>
                  <w:color w:val="0000FF"/>
                  <w:w w:val="91"/>
                </w:rPr>
                <w:t>Note, by and between the Registrant and Daniel Schwartz,</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9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1"/>
              </w:rPr>
            </w:pPr>
            <w:hyperlink r:id="rId405">
              <w:r>
                <w:rPr>
                  <w:rFonts w:ascii="Arial" w:cs="Arial" w:eastAsia="Arial" w:hAnsi="Arial"/>
                  <w:sz w:val="18"/>
                  <w:szCs w:val="18"/>
                  <w:color w:val="0000FF"/>
                  <w:w w:val="91"/>
                </w:rPr>
                <w:t>dated as of April 18,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2300" w:type="dxa"/>
            <w:vAlign w:val="bottom"/>
            <w:tcBorders>
              <w:top w:val="single" w:sz="8" w:color="0000FF"/>
            </w:tcBorders>
            <w:gridSpan w:val="1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10.27</w:t>
            </w:r>
          </w:p>
        </w:tc>
        <w:tc>
          <w:tcPr>
            <w:tcW w:w="4660" w:type="dxa"/>
            <w:vAlign w:val="bottom"/>
            <w:gridSpan w:val="32"/>
          </w:tcPr>
          <w:p>
            <w:pPr>
              <w:spacing w:after="0"/>
              <w:rPr>
                <w:rFonts w:ascii="Arial" w:cs="Arial" w:eastAsia="Arial" w:hAnsi="Arial"/>
                <w:sz w:val="18"/>
                <w:szCs w:val="18"/>
                <w:color w:val="0000FF"/>
                <w:w w:val="99"/>
              </w:rPr>
            </w:pPr>
            <w:hyperlink r:id="rId406">
              <w:r>
                <w:rPr>
                  <w:rFonts w:ascii="Arial" w:cs="Arial" w:eastAsia="Arial" w:hAnsi="Arial"/>
                  <w:sz w:val="18"/>
                  <w:szCs w:val="18"/>
                  <w:color w:val="0000FF"/>
                  <w:w w:val="99"/>
                </w:rPr>
                <w:t>Share Forfeiture and Release Agreement, by and between</w:t>
              </w:r>
            </w:hyperlink>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333-257790</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10.27</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July 26, 2021</w:t>
            </w:r>
          </w:p>
        </w:tc>
      </w:tr>
      <w:tr>
        <w:trPr>
          <w:trHeight w:val="183"/>
        </w:trPr>
        <w:tc>
          <w:tcPr>
            <w:tcW w:w="1160" w:type="dxa"/>
            <w:vAlign w:val="bottom"/>
          </w:tcPr>
          <w:p>
            <w:pPr>
              <w:spacing w:after="0"/>
              <w:rPr>
                <w:sz w:val="15"/>
                <w:szCs w:val="15"/>
                <w:color w:val="auto"/>
              </w:rPr>
            </w:pPr>
          </w:p>
        </w:tc>
        <w:tc>
          <w:tcPr>
            <w:tcW w:w="4200" w:type="dxa"/>
            <w:vAlign w:val="bottom"/>
            <w:tcBorders>
              <w:top w:val="single" w:sz="8" w:color="0000FF"/>
            </w:tcBorders>
            <w:gridSpan w:val="22"/>
          </w:tcPr>
          <w:p>
            <w:pPr>
              <w:spacing w:after="0" w:line="182" w:lineRule="exact"/>
              <w:rPr>
                <w:rFonts w:ascii="Arial" w:cs="Arial" w:eastAsia="Arial" w:hAnsi="Arial"/>
                <w:sz w:val="18"/>
                <w:szCs w:val="18"/>
                <w:color w:val="0000FF"/>
                <w:w w:val="93"/>
              </w:rPr>
            </w:pPr>
            <w:hyperlink r:id="rId406">
              <w:r>
                <w:rPr>
                  <w:rFonts w:ascii="Arial" w:cs="Arial" w:eastAsia="Arial" w:hAnsi="Arial"/>
                  <w:sz w:val="18"/>
                  <w:szCs w:val="18"/>
                  <w:color w:val="0000FF"/>
                  <w:w w:val="93"/>
                </w:rPr>
                <w:t>the Registrant and Daniel Schwartz, dated as of July 23,</w:t>
              </w:r>
            </w:hyperlink>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r:id="rId406">
              <w:r>
                <w:rPr>
                  <w:rFonts w:ascii="Arial" w:cs="Arial" w:eastAsia="Arial" w:hAnsi="Arial"/>
                  <w:sz w:val="18"/>
                  <w:szCs w:val="18"/>
                  <w:color w:val="0000FF"/>
                  <w:w w:val="88"/>
                </w:rPr>
                <w:t>2021.</w:t>
              </w:r>
            </w:hyperlink>
          </w:p>
        </w:tc>
        <w:tc>
          <w:tcPr>
            <w:tcW w:w="20" w:type="dxa"/>
            <w:vAlign w:val="bottom"/>
            <w:tcBorders>
              <w:top w:val="single" w:sz="8" w:color="0000FF"/>
              <w:bottom w:val="single" w:sz="8" w:color="0000EE"/>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10.28*</w:t>
            </w:r>
          </w:p>
        </w:tc>
        <w:tc>
          <w:tcPr>
            <w:tcW w:w="410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164">
              <w:r>
                <w:rPr>
                  <w:rFonts w:ascii="Arial" w:cs="Arial" w:eastAsia="Arial" w:hAnsi="Arial"/>
                  <w:sz w:val="18"/>
                  <w:szCs w:val="18"/>
                  <w:color w:val="0000FF"/>
                  <w:w w:val="91"/>
                </w:rPr>
                <w:t>Lease, dated as of March 7, 2022, by and between BML</w:t>
              </w:r>
            </w:hyperlink>
          </w:p>
        </w:tc>
        <w:tc>
          <w:tcPr>
            <w:tcW w:w="560" w:type="dxa"/>
            <w:vAlign w:val="bottom"/>
            <w:gridSpan w:val="13"/>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4660" w:type="dxa"/>
            <w:vAlign w:val="bottom"/>
            <w:gridSpan w:val="32"/>
          </w:tcPr>
          <w:p>
            <w:pPr>
              <w:spacing w:after="0" w:line="182" w:lineRule="exact"/>
              <w:rPr>
                <w:rFonts w:ascii="Arial" w:cs="Arial" w:eastAsia="Arial" w:hAnsi="Arial"/>
                <w:sz w:val="18"/>
                <w:szCs w:val="18"/>
                <w:color w:val="0000FF"/>
                <w:w w:val="97"/>
              </w:rPr>
            </w:pPr>
            <w:hyperlink w:anchor="page164">
              <w:r>
                <w:rPr>
                  <w:rFonts w:ascii="Arial" w:cs="Arial" w:eastAsia="Arial" w:hAnsi="Arial"/>
                  <w:sz w:val="18"/>
                  <w:szCs w:val="18"/>
                  <w:color w:val="0000FF"/>
                  <w:w w:val="97"/>
                </w:rPr>
                <w:t>Management, LLC, and the Registrant, for premises located</w:t>
              </w:r>
            </w:hyperlink>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43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w:anchor="page164">
              <w:r>
                <w:rPr>
                  <w:rFonts w:ascii="Arial" w:cs="Arial" w:eastAsia="Arial" w:hAnsi="Arial"/>
                  <w:sz w:val="18"/>
                  <w:szCs w:val="18"/>
                  <w:color w:val="0000FF"/>
                </w:rPr>
                <w:t>at 125 Columbia, Aliso Viejo, California 92656.</w:t>
              </w:r>
            </w:hyperlink>
          </w:p>
        </w:tc>
        <w:tc>
          <w:tcPr>
            <w:tcW w:w="2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96"/>
        </w:trPr>
        <w:tc>
          <w:tcPr>
            <w:tcW w:w="1160" w:type="dxa"/>
            <w:vAlign w:val="bottom"/>
          </w:tcPr>
          <w:p>
            <w:pPr>
              <w:ind w:left="20"/>
              <w:spacing w:after="0" w:line="196" w:lineRule="exact"/>
              <w:rPr>
                <w:sz w:val="20"/>
                <w:szCs w:val="20"/>
                <w:color w:val="auto"/>
              </w:rPr>
            </w:pPr>
            <w:r>
              <w:rPr>
                <w:rFonts w:ascii="Arial" w:cs="Arial" w:eastAsia="Arial" w:hAnsi="Arial"/>
                <w:sz w:val="18"/>
                <w:szCs w:val="18"/>
                <w:color w:val="auto"/>
              </w:rPr>
              <w:t>21.1*</w:t>
            </w:r>
          </w:p>
        </w:tc>
        <w:tc>
          <w:tcPr>
            <w:tcW w:w="34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192">
              <w:r>
                <w:rPr>
                  <w:rFonts w:ascii="Arial" w:cs="Arial" w:eastAsia="Arial" w:hAnsi="Arial"/>
                  <w:sz w:val="18"/>
                  <w:szCs w:val="18"/>
                  <w:color w:val="0000FF"/>
                </w:rPr>
                <w:t>Subsidiaries of the Registrant</w:t>
              </w:r>
            </w:hyperlink>
            <w:r>
              <w:rPr>
                <w:rFonts w:ascii="Arial" w:cs="Arial" w:eastAsia="Arial" w:hAnsi="Arial"/>
                <w:sz w:val="18"/>
                <w:szCs w:val="18"/>
                <w:color w:val="000000"/>
              </w:rPr>
              <w:t>.</w:t>
            </w:r>
          </w:p>
        </w:tc>
        <w:tc>
          <w:tcPr>
            <w:tcW w:w="1180" w:type="dxa"/>
            <w:vAlign w:val="bottom"/>
            <w:gridSpan w:val="20"/>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160" w:type="dxa"/>
            <w:vAlign w:val="bottom"/>
            <w:tcBorders>
              <w:right w:val="single" w:sz="8" w:color="0000EE"/>
            </w:tcBorders>
            <w:gridSpan w:val="9"/>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Arial" w:cs="Arial" w:eastAsia="Arial" w:hAnsi="Arial"/>
                <w:sz w:val="18"/>
                <w:szCs w:val="18"/>
                <w:color w:val="auto"/>
              </w:rPr>
              <w:t>23.1*</w:t>
            </w:r>
          </w:p>
        </w:tc>
        <w:tc>
          <w:tcPr>
            <w:tcW w:w="4660" w:type="dxa"/>
            <w:vAlign w:val="bottom"/>
            <w:gridSpan w:val="32"/>
          </w:tcPr>
          <w:p>
            <w:pPr>
              <w:spacing w:after="0" w:line="196" w:lineRule="exact"/>
              <w:rPr>
                <w:rFonts w:ascii="Arial" w:cs="Arial" w:eastAsia="Arial" w:hAnsi="Arial"/>
                <w:sz w:val="18"/>
                <w:szCs w:val="18"/>
                <w:color w:val="0000FF"/>
                <w:w w:val="97"/>
              </w:rPr>
            </w:pPr>
            <w:hyperlink w:anchor="page193">
              <w:r>
                <w:rPr>
                  <w:rFonts w:ascii="Arial" w:cs="Arial" w:eastAsia="Arial" w:hAnsi="Arial"/>
                  <w:sz w:val="18"/>
                  <w:szCs w:val="18"/>
                  <w:color w:val="0000FF"/>
                  <w:w w:val="97"/>
                </w:rPr>
                <w:t>Consent of Independent Registered Public Accounting Firm</w:t>
              </w:r>
            </w:hyperlink>
            <w:r>
              <w:rPr>
                <w:rFonts w:ascii="Arial" w:cs="Arial" w:eastAsia="Arial" w:hAnsi="Arial"/>
                <w:sz w:val="18"/>
                <w:szCs w:val="18"/>
                <w:color w:val="000000"/>
                <w:w w:val="97"/>
              </w:rPr>
              <w:t>.</w:t>
            </w: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16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432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194">
              <w:r>
                <w:rPr>
                  <w:rFonts w:ascii="Arial" w:cs="Arial" w:eastAsia="Arial" w:hAnsi="Arial"/>
                  <w:sz w:val="18"/>
                  <w:szCs w:val="18"/>
                  <w:color w:val="0000FF"/>
                </w:rPr>
                <w:t>Certification of Principal Executive Officer Pursuant to</w:t>
              </w:r>
            </w:hyperlink>
          </w:p>
        </w:tc>
        <w:tc>
          <w:tcPr>
            <w:tcW w:w="34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376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0"/>
              </w:rPr>
            </w:pPr>
            <w:hyperlink w:anchor="page194">
              <w:r>
                <w:rPr>
                  <w:rFonts w:ascii="Arial" w:cs="Arial" w:eastAsia="Arial" w:hAnsi="Arial"/>
                  <w:sz w:val="18"/>
                  <w:szCs w:val="18"/>
                  <w:color w:val="0000FF"/>
                  <w:w w:val="90"/>
                </w:rPr>
                <w:t>Rules 13a-14(a) and 15d-14(a) under the Securities</w:t>
              </w:r>
            </w:hyperlink>
          </w:p>
        </w:tc>
        <w:tc>
          <w:tcPr>
            <w:tcW w:w="320" w:type="dxa"/>
            <w:vAlign w:val="bottom"/>
            <w:tcBorders>
              <w:top w:val="single" w:sz="8" w:color="0000FF"/>
            </w:tcBorders>
            <w:gridSpan w:val="5"/>
          </w:tcPr>
          <w:p>
            <w:pPr>
              <w:spacing w:after="0"/>
              <w:rPr>
                <w:sz w:val="15"/>
                <w:szCs w:val="15"/>
                <w:color w:val="auto"/>
              </w:rPr>
            </w:pPr>
          </w:p>
        </w:tc>
        <w:tc>
          <w:tcPr>
            <w:tcW w:w="260" w:type="dxa"/>
            <w:vAlign w:val="bottom"/>
            <w:gridSpan w:val="10"/>
          </w:tcPr>
          <w:p>
            <w:pPr>
              <w:spacing w:after="0"/>
              <w:rPr>
                <w:sz w:val="15"/>
                <w:szCs w:val="15"/>
                <w:color w:val="auto"/>
              </w:rPr>
            </w:pPr>
          </w:p>
        </w:tc>
        <w:tc>
          <w:tcPr>
            <w:tcW w:w="32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4660" w:type="dxa"/>
            <w:vAlign w:val="bottom"/>
            <w:gridSpan w:val="32"/>
          </w:tcPr>
          <w:p>
            <w:pPr>
              <w:spacing w:after="0" w:line="182" w:lineRule="exact"/>
              <w:rPr>
                <w:rFonts w:ascii="Arial" w:cs="Arial" w:eastAsia="Arial" w:hAnsi="Arial"/>
                <w:sz w:val="18"/>
                <w:szCs w:val="18"/>
                <w:color w:val="0000FF"/>
                <w:w w:val="97"/>
              </w:rPr>
            </w:pPr>
            <w:hyperlink w:anchor="page194">
              <w:r>
                <w:rPr>
                  <w:rFonts w:ascii="Arial" w:cs="Arial" w:eastAsia="Arial" w:hAnsi="Arial"/>
                  <w:sz w:val="18"/>
                  <w:szCs w:val="18"/>
                  <w:color w:val="0000FF"/>
                  <w:w w:val="97"/>
                </w:rPr>
                <w:t>Exchange Act of 1934, as Adopted Pursuant to Section 302</w:t>
              </w:r>
            </w:hyperlink>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20" w:type="dxa"/>
            <w:vAlign w:val="bottom"/>
            <w:tcBorders>
              <w:top w:val="single" w:sz="8" w:color="0000FF"/>
              <w:bottom w:val="single" w:sz="8" w:color="0000EE"/>
            </w:tcBorders>
            <w:gridSpan w:val="10"/>
          </w:tcPr>
          <w:p>
            <w:pPr>
              <w:spacing w:after="0" w:line="182" w:lineRule="exact"/>
              <w:rPr>
                <w:rFonts w:ascii="Arial" w:cs="Arial" w:eastAsia="Arial" w:hAnsi="Arial"/>
                <w:sz w:val="18"/>
                <w:szCs w:val="18"/>
                <w:color w:val="0000FF"/>
                <w:w w:val="92"/>
              </w:rPr>
            </w:pPr>
            <w:hyperlink w:anchor="page194">
              <w:r>
                <w:rPr>
                  <w:rFonts w:ascii="Arial" w:cs="Arial" w:eastAsia="Arial" w:hAnsi="Arial"/>
                  <w:sz w:val="18"/>
                  <w:szCs w:val="18"/>
                  <w:color w:val="0000FF"/>
                  <w:w w:val="92"/>
                </w:rPr>
                <w:t>of the Sarbanes-Oxley Act of 2002.</w:t>
              </w:r>
            </w:hyperlink>
          </w:p>
        </w:tc>
        <w:tc>
          <w:tcPr>
            <w:tcW w:w="1720" w:type="dxa"/>
            <w:vAlign w:val="bottom"/>
            <w:tcBorders>
              <w:top w:val="single" w:sz="8" w:color="0000FF"/>
            </w:tcBorders>
            <w:gridSpan w:val="18"/>
          </w:tcPr>
          <w:p>
            <w:pPr>
              <w:spacing w:after="0"/>
              <w:rPr>
                <w:sz w:val="15"/>
                <w:szCs w:val="15"/>
                <w:color w:val="auto"/>
              </w:rPr>
            </w:pPr>
          </w:p>
        </w:tc>
        <w:tc>
          <w:tcPr>
            <w:tcW w:w="32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695"/>
        </w:trPr>
        <w:tc>
          <w:tcPr>
            <w:tcW w:w="1160" w:type="dxa"/>
            <w:vAlign w:val="bottom"/>
          </w:tcPr>
          <w:p>
            <w:pPr>
              <w:spacing w:after="0"/>
              <w:rPr>
                <w:sz w:val="24"/>
                <w:szCs w:val="24"/>
                <w:color w:val="auto"/>
              </w:rPr>
            </w:pPr>
          </w:p>
        </w:tc>
        <w:tc>
          <w:tcPr>
            <w:tcW w:w="4660" w:type="dxa"/>
            <w:vAlign w:val="bottom"/>
            <w:gridSpan w:val="32"/>
          </w:tcPr>
          <w:p>
            <w:pPr>
              <w:ind w:left="4320"/>
              <w:spacing w:after="0"/>
              <w:rPr>
                <w:sz w:val="20"/>
                <w:szCs w:val="20"/>
                <w:color w:val="auto"/>
              </w:rPr>
            </w:pPr>
            <w:r>
              <w:rPr>
                <w:rFonts w:ascii="Arial" w:cs="Arial" w:eastAsia="Arial" w:hAnsi="Arial"/>
                <w:sz w:val="18"/>
                <w:szCs w:val="18"/>
                <w:color w:val="auto"/>
              </w:rPr>
              <w:t>152</w:t>
            </w: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56" w:name="page157"/>
    <w:bookmarkEnd w:id="156"/>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Certification of Principal Financial Officer Pursuant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5266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252666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Rules 13a-14(a) and 15d-14(a) under the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3698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2369820" cy="8255"/>
                    </a:xfrm>
                    <a:prstGeom prst="rect">
                      <a:avLst/>
                    </a:prstGeom>
                    <a:noFill/>
                  </pic:spPr>
                </pic:pic>
              </a:graphicData>
            </a:graphic>
          </wp:anchor>
        </w:drawing>
      </w:r>
    </w:p>
    <w:p>
      <w:pPr>
        <w:spacing w:after="0" w:line="234" w:lineRule="auto"/>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Exchange Act of 1934, as Adopted Pursuant to Section 302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744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6529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1652905" cy="8255"/>
                    </a:xfrm>
                    <a:prstGeom prst="rect">
                      <a:avLst/>
                    </a:prstGeom>
                    <a:noFill/>
                  </pic:spPr>
                </pic:pic>
              </a:graphicData>
            </a:graphic>
          </wp:anchor>
        </w:drawing>
      </w:r>
    </w:p>
    <w:p>
      <w:pPr>
        <w:spacing w:after="0" w:line="122" w:lineRule="exact"/>
        <w:rPr>
          <w:sz w:val="20"/>
          <w:szCs w:val="20"/>
          <w:color w:val="auto"/>
        </w:rPr>
      </w:pPr>
    </w:p>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Certification of Principal Executive Officer Pursuant to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7012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U.S.C. Section 1350, as Adopted Pursuant to Section 906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7800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5005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43" w:lineRule="exact"/>
        <w:rPr>
          <w:sz w:val="20"/>
          <w:szCs w:val="20"/>
          <w:color w:val="auto"/>
        </w:rPr>
      </w:pPr>
    </w:p>
    <w:p>
      <w:pPr>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Certification of Principal Financial Officer Pursuant to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6695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266954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U.S.C. Section 1350, as Adopted Pursuant to Section 906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7800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5005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3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XXBRL tags are embedded within the Inline XBRL document.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434975</wp:posOffset>
            </wp:positionV>
            <wp:extent cx="14230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00" w:space="460"/>
            <w:col w:w="9980"/>
          </w:cols>
          <w:pgMar w:left="320" w:top="32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60" w:hanging="11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1160" w:hanging="113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22" w:lineRule="exact"/>
        <w:rPr>
          <w:sz w:val="20"/>
          <w:szCs w:val="20"/>
          <w:color w:val="auto"/>
        </w:rPr>
      </w:pPr>
    </w:p>
    <w:p>
      <w:pPr>
        <w:ind w:left="1160" w:hanging="11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 w:lineRule="exact"/>
        <w:rPr>
          <w:sz w:val="20"/>
          <w:szCs w:val="20"/>
          <w:color w:val="auto"/>
        </w:rPr>
      </w:pPr>
    </w:p>
    <w:p>
      <w:pPr>
        <w:ind w:left="1160" w:right="420" w:hanging="1139"/>
        <w:spacing w:after="0" w:line="226" w:lineRule="auto"/>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Portions of the exhibit have been omitted as we have determined that: (i) the omitted information is not material; and (ii) the omitted information would likely cause competitive harm to us if publicly disclosed.</w:t>
      </w:r>
    </w:p>
    <w:p>
      <w:pPr>
        <w:spacing w:after="0" w:line="292" w:lineRule="exact"/>
        <w:rPr>
          <w:sz w:val="20"/>
          <w:szCs w:val="20"/>
          <w:color w:val="auto"/>
        </w:rPr>
      </w:pPr>
    </w:p>
    <w:p>
      <w:pPr>
        <w:spacing w:after="0"/>
        <w:rPr>
          <w:rFonts w:ascii="Arial" w:cs="Arial" w:eastAsia="Arial" w:hAnsi="Arial"/>
          <w:sz w:val="18"/>
          <w:szCs w:val="18"/>
          <w:b w:val="1"/>
          <w:bCs w:val="1"/>
          <w:color w:val="auto"/>
        </w:rPr>
      </w:pPr>
      <w:hyperlink w:anchor="page157">
        <w:r>
          <w:rPr>
            <w:rFonts w:ascii="Arial" w:cs="Arial" w:eastAsia="Arial" w:hAnsi="Arial"/>
            <w:sz w:val="18"/>
            <w:szCs w:val="18"/>
            <w:b w:val="1"/>
            <w:bCs w:val="1"/>
            <w:color w:val="auto"/>
          </w:rPr>
          <w:t>Item 16. Form 10-K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820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1482090" cy="8890"/>
                    </a:xfrm>
                    <a:prstGeom prst="rect">
                      <a:avLst/>
                    </a:prstGeom>
                    <a:noFill/>
                  </pic:spPr>
                </pic:pic>
              </a:graphicData>
            </a:graphic>
          </wp:anchor>
        </w:drawing>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3500" w:type="dxa"/>
            <w:vAlign w:val="bottom"/>
            <w:gridSpan w:val="2"/>
          </w:tcPr>
          <w:p>
            <w:pPr>
              <w:ind w:left="1940"/>
              <w:spacing w:after="0"/>
              <w:rPr>
                <w:sz w:val="20"/>
                <w:szCs w:val="20"/>
                <w:color w:val="auto"/>
              </w:rPr>
            </w:pPr>
            <w:r>
              <w:rPr>
                <w:rFonts w:ascii="Arial" w:cs="Arial" w:eastAsia="Arial" w:hAnsi="Arial"/>
                <w:sz w:val="18"/>
                <w:szCs w:val="18"/>
                <w:color w:val="auto"/>
              </w:rPr>
              <w:t>RxSight, Inc.</w:t>
            </w:r>
          </w:p>
        </w:tc>
        <w:tc>
          <w:tcPr>
            <w:tcW w:w="4240" w:type="dxa"/>
            <w:vAlign w:val="bottom"/>
          </w:tcPr>
          <w:p>
            <w:pPr>
              <w:spacing w:after="0"/>
              <w:rPr>
                <w:sz w:val="20"/>
                <w:szCs w:val="20"/>
                <w:color w:val="auto"/>
              </w:rPr>
            </w:pPr>
          </w:p>
        </w:tc>
      </w:tr>
      <w:tr>
        <w:trPr>
          <w:trHeight w:val="351"/>
        </w:trPr>
        <w:tc>
          <w:tcPr>
            <w:tcW w:w="3480" w:type="dxa"/>
            <w:vAlign w:val="bottom"/>
          </w:tcPr>
          <w:p>
            <w:pPr>
              <w:spacing w:after="0"/>
              <w:rPr>
                <w:sz w:val="20"/>
                <w:szCs w:val="20"/>
                <w:color w:val="auto"/>
              </w:rPr>
            </w:pPr>
            <w:r>
              <w:rPr>
                <w:rFonts w:ascii="Arial" w:cs="Arial" w:eastAsia="Arial" w:hAnsi="Arial"/>
                <w:sz w:val="18"/>
                <w:szCs w:val="18"/>
                <w:color w:val="auto"/>
              </w:rPr>
              <w:t>Date: March 8, 2022</w:t>
            </w:r>
          </w:p>
        </w:tc>
        <w:tc>
          <w:tcPr>
            <w:tcW w:w="350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240" w:type="dxa"/>
            <w:vAlign w:val="bottom"/>
          </w:tcPr>
          <w:p>
            <w:pPr>
              <w:jc w:val="center"/>
              <w:ind w:right="871"/>
              <w:spacing w:after="0"/>
              <w:rPr>
                <w:sz w:val="20"/>
                <w:szCs w:val="20"/>
                <w:color w:val="auto"/>
              </w:rPr>
            </w:pPr>
            <w:r>
              <w:rPr>
                <w:rFonts w:ascii="Arial" w:cs="Arial" w:eastAsia="Arial" w:hAnsi="Arial"/>
                <w:sz w:val="18"/>
                <w:szCs w:val="18"/>
                <w:color w:val="auto"/>
                <w:w w:val="94"/>
              </w:rPr>
              <w:t>/s/ Ron Kurtz, M.D.</w:t>
            </w:r>
          </w:p>
        </w:tc>
      </w:tr>
      <w:tr>
        <w:trPr>
          <w:trHeight w:val="155"/>
        </w:trPr>
        <w:tc>
          <w:tcPr>
            <w:tcW w:w="34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40" w:type="dxa"/>
            <w:vAlign w:val="bottom"/>
            <w:tcBorders>
              <w:top w:val="single" w:sz="8" w:color="auto"/>
            </w:tcBorders>
          </w:tcPr>
          <w:p>
            <w:pPr>
              <w:jc w:val="center"/>
              <w:ind w:right="851"/>
              <w:spacing w:after="0" w:line="154" w:lineRule="exact"/>
              <w:rPr>
                <w:sz w:val="20"/>
                <w:szCs w:val="20"/>
                <w:color w:val="auto"/>
              </w:rPr>
            </w:pPr>
            <w:r>
              <w:rPr>
                <w:rFonts w:ascii="Arial" w:cs="Arial" w:eastAsia="Arial" w:hAnsi="Arial"/>
                <w:sz w:val="17"/>
                <w:szCs w:val="17"/>
                <w:color w:val="auto"/>
              </w:rPr>
              <w:t>Ron Kurtz, M.D.</w:t>
            </w:r>
          </w:p>
        </w:tc>
      </w:tr>
      <w:tr>
        <w:trPr>
          <w:trHeight w:val="189"/>
        </w:trPr>
        <w:tc>
          <w:tcPr>
            <w:tcW w:w="3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40" w:type="dxa"/>
            <w:vAlign w:val="bottom"/>
          </w:tcPr>
          <w:p>
            <w:pPr>
              <w:jc w:val="center"/>
              <w:ind w:right="851"/>
              <w:spacing w:after="0" w:line="189" w:lineRule="exact"/>
              <w:rPr>
                <w:sz w:val="20"/>
                <w:szCs w:val="20"/>
                <w:color w:val="auto"/>
              </w:rPr>
            </w:pPr>
            <w:r>
              <w:rPr>
                <w:rFonts w:ascii="Arial" w:cs="Arial" w:eastAsia="Arial" w:hAnsi="Arial"/>
                <w:sz w:val="18"/>
                <w:szCs w:val="18"/>
                <w:color w:val="auto"/>
                <w:w w:val="95"/>
              </w:rPr>
              <w:t>Chief Executive Officer</w:t>
            </w:r>
          </w:p>
        </w:tc>
      </w:tr>
      <w:tr>
        <w:trPr>
          <w:trHeight w:val="230"/>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40" w:type="dxa"/>
            <w:vAlign w:val="bottom"/>
          </w:tcPr>
          <w:p>
            <w:pPr>
              <w:jc w:val="center"/>
              <w:ind w:right="851"/>
              <w:spacing w:after="0"/>
              <w:rPr>
                <w:sz w:val="20"/>
                <w:szCs w:val="20"/>
                <w:color w:val="auto"/>
              </w:rPr>
            </w:pPr>
            <w:r>
              <w:rPr>
                <w:rFonts w:ascii="Arial" w:cs="Arial" w:eastAsia="Arial" w:hAnsi="Arial"/>
                <w:sz w:val="18"/>
                <w:szCs w:val="18"/>
                <w:color w:val="auto"/>
                <w:w w:val="94"/>
              </w:rPr>
              <w:t>(Principal Executive Officer)</w:t>
            </w:r>
          </w:p>
        </w:tc>
      </w:tr>
    </w:tbl>
    <w:p>
      <w:pPr>
        <w:spacing w:after="0" w:line="8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07"/>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Ron Kurtz, M.D.</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Ron Kurtz, M.D.</w:t>
            </w:r>
          </w:p>
        </w:tc>
        <w:tc>
          <w:tcPr>
            <w:tcW w:w="1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Shelley Thunen</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Shelley Thunen</w:t>
            </w:r>
          </w:p>
        </w:tc>
        <w:tc>
          <w:tcPr>
            <w:tcW w:w="1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/s/ J. Andy Corley</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J. Andy Corley</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 William Link, Ph.D.</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William Link, Ph.D.</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0"/>
              </w:rPr>
              <w:t>/s/ Juliet Tammenoms Bakker</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Juliet Tammenoms Bakker</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2"/>
              </w:rPr>
              <w:t>/s/ Julie Andrews</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Julie Andrews</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/s/ Robert Palmisano</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89"/>
              </w:rPr>
              <w:t>Robert Palmisano</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0"/>
              </w:rPr>
              <w:t>/s/ Robert Warner</w:t>
            </w:r>
          </w:p>
        </w:tc>
        <w:tc>
          <w:tcPr>
            <w:tcW w:w="1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Robert Warner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33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 Shweta Singh Maniar</w:t>
            </w:r>
          </w:p>
        </w:tc>
        <w:tc>
          <w:tcPr>
            <w:tcW w:w="120" w:type="dxa"/>
            <w:vAlign w:val="bottom"/>
          </w:tcPr>
          <w:p>
            <w:pPr>
              <w:spacing w:after="0"/>
              <w:rPr>
                <w:sz w:val="21"/>
                <w:szCs w:val="21"/>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Shweta Singh Maniar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1"/>
              </w:rPr>
              <w:t>/s/ Tamara R. Fountain, M.D.</w:t>
            </w:r>
          </w:p>
        </w:tc>
        <w:tc>
          <w:tcPr>
            <w:tcW w:w="120" w:type="dxa"/>
            <w:vAlign w:val="bottom"/>
          </w:tcPr>
          <w:p>
            <w:pPr>
              <w:spacing w:after="0"/>
              <w:rPr>
                <w:sz w:val="21"/>
                <w:szCs w:val="21"/>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March 8, 2022</w:t>
            </w:r>
          </w:p>
        </w:tc>
      </w:tr>
      <w:tr>
        <w:trPr>
          <w:trHeight w:val="224"/>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Tamara R. Fountain, M.D.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58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2"/>
          </w:tcPr>
          <w:p>
            <w:pPr>
              <w:jc w:val="right"/>
              <w:ind w:right="285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183"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As of March 8, 2022, RxSight, Inc. had one class of securities registered under Section 12 of the Securities Exchange Act of 1934, as amended (the “Exchange Act”) – our common stock, par value $0.001 per share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following description of our common stock is a summary and is qualified by reference to our amended and restated certificate of incorporation and amended and restated bylaws, copies of which are filed with the SEC as exhibits to the Annual Report on Form 10-K of which this Exhibit 4.2 is a part, as well as by the applicable provisions of the Delaware General Corporation Law (DGCL).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Shares</w:t>
      </w:r>
    </w:p>
    <w:p>
      <w:pPr>
        <w:spacing w:after="0" w:line="212"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Pursuant to our amended and restated certificate of incorporation, our authorized capital stock consists of 1,000,000,000 shares of common stock, par value $0.0001 per share, and 100,000,000 shares of preferred stock, par value $0.0001 per share.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1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our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9" w:name="page160"/>
    <w:bookmarkEnd w:id="159"/>
    <w:p>
      <w:pPr>
        <w:jc w:val="both"/>
        <w:ind w:firstLine="749"/>
        <w:spacing w:after="0" w:line="297"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and preferences</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Anti-takeover effects of certain provisions of Delaware law, our amended and restated certificate of incorporation and our amended and restated bylaws</w:t>
      </w:r>
    </w:p>
    <w:p>
      <w:pPr>
        <w:spacing w:after="0" w:line="16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Certain provisions of the DGCL and certain provisions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Our amended and restated certificate of incorporation contains provisions that permit our board of directors to issue, without any further vote or action by the stockholders, 100,000,000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Classified board</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successors to the class of directors whose term expires at that annual meeting will be elected for a three-year term.</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Removal of directors</w:t>
      </w:r>
    </w:p>
    <w:p>
      <w:pPr>
        <w:spacing w:after="0" w:line="2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Our amended and restated certificate of incorporation provides that stockholders may only remove a director for cause by a vote of no less than a majority of the shares entitled to vote.</w:t>
      </w: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b w:val="1"/>
          <w:bCs w:val="1"/>
          <w:i w:val="1"/>
          <w:iCs w:val="1"/>
          <w:color w:val="auto"/>
        </w:rPr>
        <w:t>Director vacancies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Our amended and restated certificate of incorporation authorizes only our board of directors to fill vacant directorships.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cumulative voting</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Our amended and restated certificate of incorporation provides that stockholders do not have the right to cumulate votes in the election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Special meetings of stockholders</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by our President or by our Chief Executive Officer.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 notice procedures for director nominations</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Our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Action by written consent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Amending our certificate of incorporation and bylaws</w:t>
      </w:r>
    </w:p>
    <w:p>
      <w:pPr>
        <w:spacing w:after="0" w:line="2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Our amended and restated certificate of incorporation may be amended or altered in any manner provided by the Delaware General Corporation Law, or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b w:val="1"/>
          <w:bCs w:val="1"/>
          <w:i w:val="1"/>
          <w:iCs w:val="1"/>
          <w:color w:val="auto"/>
        </w:rPr>
        <w:t>Authorized but unissued shares</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Exclusive jurisdiction</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Our amended and restated bylaws provide that, unless we consent in writing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our amended and restated bylaws, or any action asserting a claim against us that is governed by the internal affairs doctrine. This Delaware forum provision does not apply to actions arising under the Exchange Act in which the federal courts have exclusive jurisdiction. Our amended and restated bylaws provide further, unless we consent to the selection of an alternative forum, that the federal district courts of the United States of America shall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combinations with interested stockholders</w:t>
      </w:r>
    </w:p>
    <w:p>
      <w:pPr>
        <w:spacing w:after="0" w:line="20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jc w:val="both"/>
        <w:ind w:firstLine="749"/>
        <w:spacing w:after="0" w:line="236" w:lineRule="auto"/>
        <w:rPr>
          <w:sz w:val="20"/>
          <w:szCs w:val="20"/>
          <w:color w:val="auto"/>
        </w:rPr>
      </w:pPr>
      <w:r>
        <w:rPr>
          <w:rFonts w:ascii="Arial" w:cs="Arial" w:eastAsia="Arial" w:hAnsi="Arial"/>
          <w:sz w:val="22"/>
          <w:szCs w:val="22"/>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Our common stock is listed on the Nasdaq Global Market under the trading symbol “RXST”.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The transfer agent and registrar for our common stock is American Stock Transfer &amp; Trust Company, LLC. The transfer agent and registrar’s address is 6201 15th Avenue, Brooklyn, New York 11219, and its telephone number is 718-921-8300. Our shares of common stock will be issued in uncertificated form only, subject to limited circumstances.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3" w:name="page164"/>
    <w:bookmarkEnd w:id="163"/>
    <w:p>
      <w:pPr>
        <w:spacing w:after="0" w:line="209" w:lineRule="auto"/>
        <w:framePr w:w="1140" w:h="160" w:wrap="auto" w:vAnchor="page" w:hAnchor="page" w:x="4980" w:y="2464"/>
        <w:rPr>
          <w:rFonts w:ascii="Arial" w:cs="Arial" w:eastAsia="Arial" w:hAnsi="Arial"/>
          <w:sz w:val="16"/>
          <w:szCs w:val="16"/>
          <w:u w:val="single" w:color="auto"/>
          <w:color w:val="0000FF"/>
        </w:rPr>
      </w:pPr>
      <w:r>
        <w:rPr>
          <w:rFonts w:ascii="Arial" w:cs="Arial" w:eastAsia="Arial" w:hAnsi="Arial"/>
          <w:sz w:val="16"/>
          <w:szCs w:val="16"/>
          <w:u w:val="single" w:color="auto"/>
          <w:color w:val="0000FF"/>
        </w:rPr>
        <w:t>March 4, 2022</w:t>
      </w:r>
    </w:p>
    <w:p>
      <w:pPr>
        <w:jc w:val="right"/>
        <w:spacing w:after="0"/>
        <w:rPr>
          <w:sz w:val="20"/>
          <w:szCs w:val="20"/>
          <w:color w:val="auto"/>
        </w:rPr>
      </w:pPr>
      <w:r>
        <w:rPr>
          <w:rFonts w:ascii="Arial" w:cs="Arial" w:eastAsia="Arial" w:hAnsi="Arial"/>
          <w:sz w:val="18"/>
          <w:szCs w:val="18"/>
          <w:b w:val="1"/>
          <w:bCs w:val="1"/>
          <w:color w:val="auto"/>
        </w:rPr>
        <w:t>Exhibit 10.28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8890</wp:posOffset>
            </wp:positionV>
            <wp:extent cx="1303020" cy="4114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24" w:lineRule="exact"/>
        <w:rPr>
          <w:rFonts w:ascii="Arial" w:cs="Arial" w:eastAsia="Arial" w:hAnsi="Arial"/>
          <w:sz w:val="16"/>
          <w:szCs w:val="16"/>
          <w:u w:val="single" w:color="auto"/>
          <w:color w:val="0000FF"/>
        </w:rPr>
      </w:pPr>
    </w:p>
    <w:p>
      <w:pPr>
        <w:jc w:val="center"/>
        <w:ind w:right="100"/>
        <w:spacing w:after="0"/>
        <w:rPr>
          <w:sz w:val="20"/>
          <w:szCs w:val="20"/>
          <w:color w:val="auto"/>
        </w:rPr>
      </w:pPr>
      <w:r>
        <w:rPr>
          <w:rFonts w:ascii="Arial" w:cs="Arial" w:eastAsia="Arial" w:hAnsi="Arial"/>
          <w:sz w:val="25"/>
          <w:szCs w:val="25"/>
          <w:b w:val="1"/>
          <w:bCs w:val="1"/>
          <w:color w:val="auto"/>
        </w:rPr>
        <w:t>STANDARD INDUSTRIAL/COMMERCIAL MULTITENANT</w:t>
      </w:r>
    </w:p>
    <w:p>
      <w:pPr>
        <w:spacing w:after="0" w:line="24" w:lineRule="exact"/>
        <w:rPr>
          <w:rFonts w:ascii="Arial" w:cs="Arial" w:eastAsia="Arial" w:hAnsi="Arial"/>
          <w:sz w:val="16"/>
          <w:szCs w:val="16"/>
          <w:u w:val="single" w:color="auto"/>
          <w:color w:val="0000FF"/>
        </w:rPr>
      </w:pPr>
    </w:p>
    <w:p>
      <w:pPr>
        <w:jc w:val="center"/>
        <w:ind w:right="40"/>
        <w:spacing w:after="0"/>
        <w:rPr>
          <w:sz w:val="20"/>
          <w:szCs w:val="20"/>
          <w:color w:val="auto"/>
        </w:rPr>
      </w:pPr>
      <w:r>
        <w:rPr>
          <w:rFonts w:ascii="Arial" w:cs="Arial" w:eastAsia="Arial" w:hAnsi="Arial"/>
          <w:sz w:val="25"/>
          <w:szCs w:val="25"/>
          <w:b w:val="1"/>
          <w:bCs w:val="1"/>
          <w:color w:val="auto"/>
        </w:rPr>
        <w:t>LEASE NET</w:t>
      </w:r>
    </w:p>
    <w:p>
      <w:pPr>
        <w:spacing w:after="0" w:line="306" w:lineRule="exact"/>
        <w:rPr>
          <w:rFonts w:ascii="Arial" w:cs="Arial" w:eastAsia="Arial" w:hAnsi="Arial"/>
          <w:sz w:val="16"/>
          <w:szCs w:val="16"/>
          <w:u w:val="single" w:color="auto"/>
          <w:color w:val="0000FF"/>
        </w:rPr>
      </w:pPr>
    </w:p>
    <w:p>
      <w:pPr>
        <w:ind w:left="500" w:hanging="388"/>
        <w:spacing w:after="0"/>
        <w:tabs>
          <w:tab w:leader="none" w:pos="50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Basic Provisions ("Basic Provisions").</w:t>
      </w:r>
    </w:p>
    <w:p>
      <w:pPr>
        <w:spacing w:after="0" w:line="25" w:lineRule="exact"/>
        <w:rPr>
          <w:rFonts w:ascii="Arial" w:cs="Arial" w:eastAsia="Arial" w:hAnsi="Arial"/>
          <w:sz w:val="16"/>
          <w:szCs w:val="16"/>
          <w:u w:val="single" w:color="auto"/>
          <w:color w:val="0000FF"/>
        </w:rPr>
      </w:pPr>
    </w:p>
    <w:p>
      <w:pPr>
        <w:ind w:left="480"/>
        <w:spacing w:after="0"/>
        <w:tabs>
          <w:tab w:leader="none" w:pos="820" w:val="left"/>
          <w:tab w:leader="none" w:pos="5760" w:val="left"/>
          <w:tab w:leader="none" w:pos="74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b w:val="1"/>
          <w:bCs w:val="1"/>
          <w:color w:val="auto"/>
        </w:rPr>
        <w:t xml:space="preserve">Parties. </w:t>
      </w:r>
      <w:r>
        <w:rPr>
          <w:rFonts w:ascii="Arial" w:cs="Arial" w:eastAsia="Arial" w:hAnsi="Arial"/>
          <w:sz w:val="13"/>
          <w:szCs w:val="13"/>
          <w:color w:val="auto"/>
        </w:rPr>
        <w:t>This Lease ("</w:t>
      </w:r>
      <w:r>
        <w:rPr>
          <w:rFonts w:ascii="Arial" w:cs="Arial" w:eastAsia="Arial" w:hAnsi="Arial"/>
          <w:sz w:val="13"/>
          <w:szCs w:val="13"/>
          <w:b w:val="1"/>
          <w:bCs w:val="1"/>
          <w:color w:val="auto"/>
        </w:rPr>
        <w:t>Lease</w:t>
      </w:r>
      <w:r>
        <w:rPr>
          <w:rFonts w:ascii="Arial" w:cs="Arial" w:eastAsia="Arial" w:hAnsi="Arial"/>
          <w:sz w:val="13"/>
          <w:szCs w:val="13"/>
          <w:color w:val="auto"/>
        </w:rPr>
        <w:t>"), dated for reference purposes only</w:t>
      </w:r>
      <w:r>
        <w:rPr>
          <w:sz w:val="20"/>
          <w:szCs w:val="20"/>
          <w:color w:val="auto"/>
        </w:rPr>
        <w:tab/>
      </w:r>
      <w:r>
        <w:rPr>
          <w:rFonts w:ascii="Arial" w:cs="Arial" w:eastAsia="Arial" w:hAnsi="Arial"/>
          <w:sz w:val="14"/>
          <w:szCs w:val="14"/>
          <w:color w:val="auto"/>
        </w:rPr>
        <w:t>, is made by and between</w:t>
      </w:r>
      <w:r>
        <w:rPr>
          <w:sz w:val="20"/>
          <w:szCs w:val="20"/>
          <w:color w:val="auto"/>
        </w:rPr>
        <w:tab/>
      </w:r>
      <w:r>
        <w:rPr>
          <w:rFonts w:ascii="Arial" w:cs="Arial" w:eastAsia="Arial" w:hAnsi="Arial"/>
          <w:sz w:val="16"/>
          <w:szCs w:val="16"/>
          <w:color w:val="0000FF"/>
        </w:rPr>
        <w:t xml:space="preserve">BML Management, </w:t>
      </w:r>
      <w:r>
        <w:rPr>
          <w:rFonts w:ascii="Arial" w:cs="Arial" w:eastAsia="Arial" w:hAnsi="Arial"/>
          <w:sz w:val="16"/>
          <w:szCs w:val="16"/>
          <w:u w:val="single" w:color="auto"/>
          <w:color w:val="0000FF"/>
        </w:rPr>
        <w:t>LLC</w:t>
      </w:r>
      <w:r>
        <w:rPr>
          <w:rFonts w:ascii="Arial" w:cs="Arial" w:eastAsia="Arial" w:hAnsi="Arial"/>
          <w:sz w:val="16"/>
          <w:szCs w:val="16"/>
          <w:color w:val="0000FF"/>
        </w:rPr>
        <w:t xml:space="preserve"> </w:t>
      </w:r>
      <w:r>
        <w:rPr>
          <w:rFonts w:ascii="Arial" w:cs="Arial" w:eastAsia="Arial" w:hAnsi="Arial"/>
          <w:sz w:val="12"/>
          <w:szCs w:val="12"/>
          <w:color w:val="000000"/>
        </w:rPr>
        <w:t>("</w:t>
      </w:r>
      <w:r>
        <w:rPr>
          <w:rFonts w:ascii="Arial" w:cs="Arial" w:eastAsia="Arial" w:hAnsi="Arial"/>
          <w:sz w:val="12"/>
          <w:szCs w:val="12"/>
          <w:b w:val="1"/>
          <w:bCs w:val="1"/>
          <w:color w:val="000000"/>
        </w:rPr>
        <w:t>Lessor</w:t>
      </w:r>
      <w:r>
        <w:rPr>
          <w:rFonts w:ascii="Arial" w:cs="Arial" w:eastAsia="Arial" w:hAnsi="Arial"/>
          <w:sz w:val="12"/>
          <w:szCs w:val="12"/>
          <w:color w:val="000000"/>
        </w:rPr>
        <w:t>") and</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4641215</wp:posOffset>
            </wp:positionH>
            <wp:positionV relativeFrom="paragraph">
              <wp:posOffset>-5715</wp:posOffset>
            </wp:positionV>
            <wp:extent cx="9925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992505" cy="889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-5715</wp:posOffset>
            </wp:positionV>
            <wp:extent cx="228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u w:val="single" w:color="auto"/>
          <w:color w:val="0000FF"/>
        </w:rPr>
        <w:t>RxSight, Inc.</w:t>
      </w:r>
      <w:r>
        <w:rPr>
          <w:rFonts w:ascii="Arial" w:cs="Arial" w:eastAsia="Arial" w:hAnsi="Arial"/>
          <w:sz w:val="18"/>
          <w:szCs w:val="18"/>
          <w:color w:val="0000FF"/>
        </w:rPr>
        <w:t xml:space="preserve"> </w:t>
      </w:r>
      <w:r>
        <w:rPr>
          <w:rFonts w:ascii="Arial" w:cs="Arial" w:eastAsia="Arial" w:hAnsi="Arial"/>
          <w:sz w:val="14"/>
          <w:szCs w:val="14"/>
          <w:color w:val="000000"/>
        </w:rPr>
        <w:t>("</w:t>
      </w:r>
      <w:r>
        <w:rPr>
          <w:rFonts w:ascii="Arial" w:cs="Arial" w:eastAsia="Arial" w:hAnsi="Arial"/>
          <w:sz w:val="14"/>
          <w:szCs w:val="14"/>
          <w:b w:val="1"/>
          <w:bCs w:val="1"/>
          <w:color w:val="000000"/>
        </w:rPr>
        <w:t>Lessee</w:t>
      </w:r>
      <w:r>
        <w:rPr>
          <w:rFonts w:ascii="Arial" w:cs="Arial" w:eastAsia="Arial" w:hAnsi="Arial"/>
          <w:sz w:val="14"/>
          <w:szCs w:val="14"/>
          <w:color w:val="000000"/>
        </w:rPr>
        <w:t>"), (collectively the "</w:t>
      </w:r>
      <w:r>
        <w:rPr>
          <w:rFonts w:ascii="Arial" w:cs="Arial" w:eastAsia="Arial" w:hAnsi="Arial"/>
          <w:sz w:val="14"/>
          <w:szCs w:val="14"/>
          <w:b w:val="1"/>
          <w:bCs w:val="1"/>
          <w:color w:val="000000"/>
        </w:rPr>
        <w:t>Parties</w:t>
      </w:r>
      <w:r>
        <w:rPr>
          <w:rFonts w:ascii="Arial" w:cs="Arial" w:eastAsia="Arial" w:hAnsi="Arial"/>
          <w:sz w:val="14"/>
          <w:szCs w:val="14"/>
          <w:color w:val="000000"/>
        </w:rPr>
        <w:t>", or individually a "</w:t>
      </w:r>
      <w:r>
        <w:rPr>
          <w:rFonts w:ascii="Arial" w:cs="Arial" w:eastAsia="Arial" w:hAnsi="Arial"/>
          <w:sz w:val="14"/>
          <w:szCs w:val="14"/>
          <w:b w:val="1"/>
          <w:bCs w:val="1"/>
          <w:color w:val="000000"/>
        </w:rPr>
        <w:t>Party</w:t>
      </w:r>
      <w:r>
        <w:rPr>
          <w:rFonts w:ascii="Arial" w:cs="Arial" w:eastAsia="Arial" w:hAnsi="Arial"/>
          <w:sz w:val="14"/>
          <w:szCs w:val="14"/>
          <w:color w:val="000000"/>
        </w:rPr>
        <w:t>").</w:t>
      </w:r>
    </w:p>
    <w:p>
      <w:pPr>
        <w:ind w:left="480"/>
        <w:spacing w:after="0"/>
        <w:tabs>
          <w:tab w:leader="none" w:pos="1040" w:val="left"/>
        </w:tabs>
        <w:rPr>
          <w:sz w:val="20"/>
          <w:szCs w:val="20"/>
          <w:color w:val="auto"/>
        </w:rPr>
      </w:pPr>
      <w:r>
        <w:rPr>
          <w:rFonts w:ascii="Arial" w:cs="Arial" w:eastAsia="Arial" w:hAnsi="Arial"/>
          <w:sz w:val="14"/>
          <w:szCs w:val="14"/>
          <w:color w:val="auto"/>
        </w:rPr>
        <w:t>1.2(a)</w:t>
      </w:r>
      <w:r>
        <w:rPr>
          <w:sz w:val="20"/>
          <w:szCs w:val="20"/>
          <w:color w:val="auto"/>
        </w:rPr>
        <w:tab/>
      </w:r>
      <w:r>
        <w:rPr>
          <w:rFonts w:ascii="Arial" w:cs="Arial" w:eastAsia="Arial" w:hAnsi="Arial"/>
          <w:sz w:val="13"/>
          <w:szCs w:val="13"/>
          <w:b w:val="1"/>
          <w:bCs w:val="1"/>
          <w:color w:val="auto"/>
        </w:rPr>
        <w:t xml:space="preserve">Premises: </w:t>
      </w:r>
      <w:r>
        <w:rPr>
          <w:rFonts w:ascii="Arial" w:cs="Arial" w:eastAsia="Arial" w:hAnsi="Arial"/>
          <w:sz w:val="13"/>
          <w:szCs w:val="13"/>
          <w:color w:val="auto"/>
        </w:rPr>
        <w:t>That certain real property, including all improvements therein or to be provided by Lessor under the terms of this Lease, commonly known as (street address,</w:t>
      </w:r>
    </w:p>
    <w:p>
      <w:pPr>
        <w:spacing w:after="0" w:line="9" w:lineRule="exact"/>
        <w:rPr>
          <w:rFonts w:ascii="Arial" w:cs="Arial" w:eastAsia="Arial" w:hAnsi="Arial"/>
          <w:sz w:val="16"/>
          <w:szCs w:val="16"/>
          <w:u w:val="single" w:color="auto"/>
          <w:color w:val="0000FF"/>
        </w:rPr>
      </w:pPr>
    </w:p>
    <w:p>
      <w:pPr>
        <w:ind w:left="120" w:right="200"/>
        <w:spacing w:after="0" w:line="243" w:lineRule="auto"/>
        <w:rPr>
          <w:sz w:val="20"/>
          <w:szCs w:val="20"/>
          <w:color w:val="auto"/>
        </w:rPr>
      </w:pPr>
      <w:r>
        <w:rPr>
          <w:rFonts w:ascii="Arial" w:cs="Arial" w:eastAsia="Arial" w:hAnsi="Arial"/>
          <w:sz w:val="14"/>
          <w:szCs w:val="14"/>
          <w:color w:val="auto"/>
        </w:rPr>
        <w:t xml:space="preserve">unit/suite, city, state, zip): </w:t>
      </w:r>
      <w:r>
        <w:rPr>
          <w:rFonts w:ascii="Arial" w:cs="Arial" w:eastAsia="Arial" w:hAnsi="Arial"/>
          <w:sz w:val="17"/>
          <w:szCs w:val="17"/>
          <w:u w:val="single" w:color="auto"/>
          <w:color w:val="0000FF"/>
        </w:rPr>
        <w:t>125 Columbia, Suite B, Aliso Viejo, CA 92656</w:t>
      </w:r>
      <w:r>
        <w:rPr>
          <w:rFonts w:ascii="Arial" w:cs="Arial" w:eastAsia="Arial" w:hAnsi="Arial"/>
          <w:sz w:val="14"/>
          <w:szCs w:val="14"/>
          <w:color w:val="auto"/>
        </w:rPr>
        <w:t xml:space="preserve"> ("</w:t>
      </w:r>
      <w:r>
        <w:rPr>
          <w:rFonts w:ascii="Arial" w:cs="Arial" w:eastAsia="Arial" w:hAnsi="Arial"/>
          <w:sz w:val="14"/>
          <w:szCs w:val="14"/>
          <w:b w:val="1"/>
          <w:bCs w:val="1"/>
          <w:color w:val="auto"/>
        </w:rPr>
        <w:t>Premises</w:t>
      </w:r>
      <w:r>
        <w:rPr>
          <w:rFonts w:ascii="Arial" w:cs="Arial" w:eastAsia="Arial" w:hAnsi="Arial"/>
          <w:sz w:val="14"/>
          <w:szCs w:val="14"/>
          <w:color w:val="auto"/>
        </w:rPr>
        <w:t xml:space="preserve">"). The Premises are located in the County of </w:t>
      </w:r>
      <w:r>
        <w:rPr>
          <w:rFonts w:ascii="Arial" w:cs="Arial" w:eastAsia="Arial" w:hAnsi="Arial"/>
          <w:sz w:val="17"/>
          <w:szCs w:val="17"/>
          <w:color w:val="0000FF"/>
        </w:rPr>
        <w:t>Orange</w:t>
      </w:r>
      <w:r>
        <w:rPr>
          <w:rFonts w:ascii="Arial" w:cs="Arial" w:eastAsia="Arial" w:hAnsi="Arial"/>
          <w:sz w:val="14"/>
          <w:szCs w:val="14"/>
          <w:color w:val="auto"/>
        </w:rPr>
        <w:t xml:space="preserve"> , and are generally described as (describe briefly the nature of the Premises and the "Project"): </w:t>
      </w:r>
      <w:r>
        <w:rPr>
          <w:rFonts w:ascii="Arial" w:cs="Arial" w:eastAsia="Arial" w:hAnsi="Arial"/>
          <w:sz w:val="17"/>
          <w:szCs w:val="17"/>
          <w:u w:val="single" w:color="auto"/>
          <w:color w:val="0000FF"/>
        </w:rPr>
        <w:t>approximately 10,854 square feet of two story office space in the larger 25,985 square foot</w:t>
      </w:r>
      <w:r>
        <w:rPr>
          <w:rFonts w:ascii="Arial" w:cs="Arial" w:eastAsia="Arial" w:hAnsi="Arial"/>
          <w:sz w:val="14"/>
          <w:szCs w:val="14"/>
          <w:color w:val="auto"/>
        </w:rPr>
        <w:t xml:space="preserve"> </w:t>
      </w:r>
      <w:r>
        <w:rPr>
          <w:rFonts w:ascii="Arial" w:cs="Arial" w:eastAsia="Arial" w:hAnsi="Arial"/>
          <w:sz w:val="17"/>
          <w:szCs w:val="17"/>
          <w:u w:val="single" w:color="auto"/>
          <w:color w:val="0000FF"/>
        </w:rPr>
        <w:t>R&amp;D/Industtrial building</w:t>
      </w:r>
      <w:r>
        <w:rPr>
          <w:rFonts w:ascii="Arial" w:cs="Arial" w:eastAsia="Arial" w:hAnsi="Arial"/>
          <w:sz w:val="17"/>
          <w:szCs w:val="17"/>
          <w:color w:val="0000FF"/>
        </w:rPr>
        <w:t xml:space="preserve"> </w:t>
      </w:r>
      <w:r>
        <w:rPr>
          <w:rFonts w:ascii="Arial" w:cs="Arial" w:eastAsia="Arial" w:hAnsi="Arial"/>
          <w:sz w:val="14"/>
          <w:szCs w:val="14"/>
          <w:color w:val="000000"/>
        </w:rPr>
        <w:t>. In addition to Lessee's rights to use and occupy the Premises as hereinafter specified, Lessee shall have nonexclusive rights to any utility raceways of the</w:t>
      </w:r>
      <w:r>
        <w:rPr>
          <w:rFonts w:ascii="Arial" w:cs="Arial" w:eastAsia="Arial" w:hAnsi="Arial"/>
          <w:sz w:val="17"/>
          <w:szCs w:val="17"/>
          <w:color w:val="0000FF"/>
        </w:rPr>
        <w:t xml:space="preserve"> </w:t>
      </w:r>
      <w:r>
        <w:rPr>
          <w:rFonts w:ascii="Arial" w:cs="Arial" w:eastAsia="Arial" w:hAnsi="Arial"/>
          <w:sz w:val="14"/>
          <w:szCs w:val="14"/>
          <w:color w:val="000000"/>
        </w:rPr>
        <w:t>building containing the Premises (</w:t>
      </w:r>
      <w:r>
        <w:rPr>
          <w:rFonts w:ascii="Arial" w:cs="Arial" w:eastAsia="Arial" w:hAnsi="Arial"/>
          <w:sz w:val="14"/>
          <w:szCs w:val="14"/>
          <w:b w:val="1"/>
          <w:bCs w:val="1"/>
          <w:color w:val="000000"/>
        </w:rPr>
        <w:t>"Building</w:t>
      </w:r>
      <w:r>
        <w:rPr>
          <w:rFonts w:ascii="Arial" w:cs="Arial" w:eastAsia="Arial" w:hAnsi="Arial"/>
          <w:sz w:val="14"/>
          <w:szCs w:val="14"/>
          <w:color w:val="000000"/>
        </w:rPr>
        <w:t>") and to the Common Areas (as defined in Paragraph 2.7 below), but shall not have any rights to the roof, or exterior walls of the Building or to any other buildings in the Project. The Premises, the Building, the Common Areas, the land upon which they are located, along with all other buildings and improvements thereon, are herein collectively referred to as the "</w:t>
      </w:r>
      <w:r>
        <w:rPr>
          <w:rFonts w:ascii="Arial" w:cs="Arial" w:eastAsia="Arial" w:hAnsi="Arial"/>
          <w:sz w:val="14"/>
          <w:szCs w:val="14"/>
          <w:b w:val="1"/>
          <w:bCs w:val="1"/>
          <w:color w:val="000000"/>
        </w:rPr>
        <w:t>Project</w:t>
      </w:r>
      <w:r>
        <w:rPr>
          <w:rFonts w:ascii="Arial" w:cs="Arial" w:eastAsia="Arial" w:hAnsi="Arial"/>
          <w:sz w:val="14"/>
          <w:szCs w:val="14"/>
          <w:color w:val="000000"/>
        </w:rPr>
        <w:t>." (See also Paragraph 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5378450</wp:posOffset>
            </wp:positionH>
            <wp:positionV relativeFrom="paragraph">
              <wp:posOffset>-598805</wp:posOffset>
            </wp:positionV>
            <wp:extent cx="4044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404495" cy="8890"/>
                    </a:xfrm>
                    <a:prstGeom prst="rect">
                      <a:avLst/>
                    </a:prstGeom>
                    <a:noFill/>
                  </pic:spPr>
                </pic:pic>
              </a:graphicData>
            </a:graphic>
          </wp:anchor>
        </w:drawing>
      </w:r>
    </w:p>
    <w:p>
      <w:pPr>
        <w:ind w:left="480"/>
        <w:spacing w:after="0"/>
        <w:tabs>
          <w:tab w:leader="none" w:pos="1040" w:val="left"/>
        </w:tabs>
        <w:rPr>
          <w:sz w:val="20"/>
          <w:szCs w:val="20"/>
          <w:color w:val="auto"/>
        </w:rPr>
      </w:pPr>
      <w:r>
        <w:rPr>
          <w:rFonts w:ascii="Arial" w:cs="Arial" w:eastAsia="Arial" w:hAnsi="Arial"/>
          <w:sz w:val="14"/>
          <w:szCs w:val="14"/>
          <w:color w:val="auto"/>
        </w:rPr>
        <w:t>1.2(b)</w:t>
      </w:r>
      <w:r>
        <w:rPr>
          <w:sz w:val="20"/>
          <w:szCs w:val="20"/>
          <w:color w:val="auto"/>
        </w:rPr>
        <w:tab/>
      </w:r>
      <w:r>
        <w:rPr>
          <w:rFonts w:ascii="Arial" w:cs="Arial" w:eastAsia="Arial" w:hAnsi="Arial"/>
          <w:sz w:val="13"/>
          <w:szCs w:val="13"/>
          <w:b w:val="1"/>
          <w:bCs w:val="1"/>
          <w:color w:val="auto"/>
        </w:rPr>
        <w:t xml:space="preserve">Parking:  </w:t>
      </w:r>
      <w:r>
        <w:rPr>
          <w:rFonts w:ascii="Arial" w:cs="Arial" w:eastAsia="Arial" w:hAnsi="Arial"/>
          <w:sz w:val="15"/>
          <w:szCs w:val="15"/>
          <w:u w:val="single" w:color="auto"/>
          <w:color w:val="0000FF"/>
        </w:rPr>
        <w:t>43</w:t>
      </w:r>
      <w:r>
        <w:rPr>
          <w:rFonts w:ascii="Arial" w:cs="Arial" w:eastAsia="Arial" w:hAnsi="Arial"/>
          <w:sz w:val="13"/>
          <w:szCs w:val="13"/>
          <w:b w:val="1"/>
          <w:bCs w:val="1"/>
          <w:color w:val="auto"/>
        </w:rPr>
        <w:t xml:space="preserve"> </w:t>
      </w:r>
      <w:r>
        <w:rPr>
          <w:rFonts w:ascii="Arial" w:cs="Arial" w:eastAsia="Arial" w:hAnsi="Arial"/>
          <w:sz w:val="13"/>
          <w:szCs w:val="13"/>
          <w:color w:val="auto"/>
        </w:rPr>
        <w:t>unreserved vehicle parking spaces</w:t>
      </w:r>
      <w:r>
        <w:rPr>
          <w:rFonts w:ascii="Arial" w:cs="Arial" w:eastAsia="Arial" w:hAnsi="Arial"/>
          <w:sz w:val="13"/>
          <w:szCs w:val="13"/>
          <w:b w:val="1"/>
          <w:bCs w:val="1"/>
          <w:color w:val="auto"/>
        </w:rPr>
        <w:t xml:space="preserve"> </w:t>
      </w:r>
      <w:r>
        <w:rPr>
          <w:rFonts w:ascii="Arial" w:cs="Arial" w:eastAsia="Arial" w:hAnsi="Arial"/>
          <w:sz w:val="19"/>
          <w:szCs w:val="19"/>
          <w:color w:val="FF0000"/>
        </w:rPr>
        <w:t>and 6 reserved vehicle parking spaces</w:t>
      </w:r>
      <w:r>
        <w:rPr>
          <w:rFonts w:ascii="Arial" w:cs="Arial" w:eastAsia="Arial" w:hAnsi="Arial"/>
          <w:sz w:val="13"/>
          <w:szCs w:val="13"/>
          <w:color w:val="auto"/>
        </w:rPr>
        <w:t>. (See also Paragraph 2.6)</w:t>
      </w:r>
    </w:p>
    <w:p>
      <w:pPr>
        <w:spacing w:after="0" w:line="47" w:lineRule="exact"/>
        <w:rPr>
          <w:rFonts w:ascii="Arial" w:cs="Arial" w:eastAsia="Arial" w:hAnsi="Arial"/>
          <w:sz w:val="16"/>
          <w:szCs w:val="16"/>
          <w:u w:val="single" w:color="auto"/>
          <w:color w:val="0000FF"/>
        </w:rPr>
      </w:pPr>
    </w:p>
    <w:p>
      <w:pPr>
        <w:ind w:left="480"/>
        <w:spacing w:after="0"/>
        <w:tabs>
          <w:tab w:leader="none" w:pos="840" w:val="left"/>
          <w:tab w:leader="none" w:pos="1560" w:val="left"/>
          <w:tab w:leader="none" w:pos="2280" w:val="left"/>
          <w:tab w:leader="none" w:pos="26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b w:val="1"/>
          <w:bCs w:val="1"/>
          <w:color w:val="auto"/>
        </w:rPr>
        <w:t xml:space="preserve">Term: </w:t>
      </w:r>
      <w:r>
        <w:rPr>
          <w:rFonts w:ascii="Arial" w:cs="Arial" w:eastAsia="Arial" w:hAnsi="Arial"/>
          <w:sz w:val="17"/>
          <w:szCs w:val="17"/>
          <w:color w:val="0000FF"/>
        </w:rPr>
        <w:t>2</w:t>
      </w:r>
      <w:r>
        <w:rPr>
          <w:sz w:val="20"/>
          <w:szCs w:val="20"/>
          <w:color w:val="auto"/>
        </w:rPr>
        <w:tab/>
      </w:r>
      <w:r>
        <w:rPr>
          <w:rFonts w:ascii="Arial" w:cs="Arial" w:eastAsia="Arial" w:hAnsi="Arial"/>
          <w:sz w:val="14"/>
          <w:szCs w:val="14"/>
          <w:color w:val="auto"/>
        </w:rPr>
        <w:t>years and</w:t>
      </w:r>
      <w:r>
        <w:rPr>
          <w:sz w:val="20"/>
          <w:szCs w:val="20"/>
          <w:color w:val="auto"/>
        </w:rPr>
        <w:tab/>
      </w:r>
      <w:r>
        <w:rPr>
          <w:rFonts w:ascii="Arial" w:cs="Arial" w:eastAsia="Arial" w:hAnsi="Arial"/>
          <w:sz w:val="18"/>
          <w:szCs w:val="18"/>
          <w:color w:val="0000FF"/>
        </w:rPr>
        <w:t>4</w:t>
      </w:r>
      <w:r>
        <w:rPr>
          <w:sz w:val="20"/>
          <w:szCs w:val="20"/>
          <w:color w:val="auto"/>
        </w:rPr>
        <w:tab/>
      </w:r>
      <w:r>
        <w:rPr>
          <w:rFonts w:ascii="Arial" w:cs="Arial" w:eastAsia="Arial" w:hAnsi="Arial"/>
          <w:sz w:val="13"/>
          <w:szCs w:val="13"/>
          <w:color w:val="auto"/>
        </w:rPr>
        <w:t>months ("</w:t>
      </w:r>
      <w:r>
        <w:rPr>
          <w:rFonts w:ascii="Arial" w:cs="Arial" w:eastAsia="Arial" w:hAnsi="Arial"/>
          <w:sz w:val="13"/>
          <w:szCs w:val="13"/>
          <w:b w:val="1"/>
          <w:bCs w:val="1"/>
          <w:color w:val="auto"/>
        </w:rPr>
        <w:t>Original Term</w:t>
      </w:r>
      <w:r>
        <w:rPr>
          <w:rFonts w:ascii="Arial" w:cs="Arial" w:eastAsia="Arial" w:hAnsi="Arial"/>
          <w:sz w:val="13"/>
          <w:szCs w:val="13"/>
          <w:color w:val="auto"/>
        </w:rPr>
        <w:t xml:space="preserve">") commencing </w:t>
      </w:r>
      <w:r>
        <w:rPr>
          <w:rFonts w:ascii="Arial" w:cs="Arial" w:eastAsia="Arial" w:hAnsi="Arial"/>
          <w:sz w:val="15"/>
          <w:szCs w:val="15"/>
          <w:u w:val="single" w:color="auto"/>
          <w:color w:val="0000FF"/>
        </w:rPr>
        <w:t>May 1, 2022</w:t>
      </w:r>
      <w:r>
        <w:rPr>
          <w:rFonts w:ascii="Arial" w:cs="Arial" w:eastAsia="Arial" w:hAnsi="Arial"/>
          <w:sz w:val="13"/>
          <w:szCs w:val="13"/>
          <w:color w:val="auto"/>
        </w:rPr>
        <w:t xml:space="preserve"> ("</w:t>
      </w:r>
      <w:r>
        <w:rPr>
          <w:rFonts w:ascii="Arial" w:cs="Arial" w:eastAsia="Arial" w:hAnsi="Arial"/>
          <w:sz w:val="13"/>
          <w:szCs w:val="13"/>
          <w:b w:val="1"/>
          <w:bCs w:val="1"/>
          <w:color w:val="auto"/>
        </w:rPr>
        <w:t>Commencement Date</w:t>
      </w:r>
      <w:r>
        <w:rPr>
          <w:rFonts w:ascii="Arial" w:cs="Arial" w:eastAsia="Arial" w:hAnsi="Arial"/>
          <w:sz w:val="13"/>
          <w:szCs w:val="13"/>
          <w:color w:val="auto"/>
        </w:rPr>
        <w:t>") and ending</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803910</wp:posOffset>
            </wp:positionH>
            <wp:positionV relativeFrom="paragraph">
              <wp:posOffset>-17145</wp:posOffset>
            </wp:positionV>
            <wp:extent cx="1936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1390650</wp:posOffset>
            </wp:positionH>
            <wp:positionV relativeFrom="paragraph">
              <wp:posOffset>-17145</wp:posOffset>
            </wp:positionV>
            <wp:extent cx="2921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u w:val="single" w:color="auto"/>
          <w:color w:val="0000FF"/>
        </w:rPr>
        <w:t>August 31, 2024</w:t>
      </w:r>
      <w:r>
        <w:rPr>
          <w:rFonts w:ascii="Arial" w:cs="Arial" w:eastAsia="Arial" w:hAnsi="Arial"/>
          <w:sz w:val="18"/>
          <w:szCs w:val="18"/>
          <w:color w:val="0000FF"/>
        </w:rPr>
        <w:t xml:space="preserve"> </w:t>
      </w:r>
      <w:r>
        <w:rPr>
          <w:rFonts w:ascii="Arial" w:cs="Arial" w:eastAsia="Arial" w:hAnsi="Arial"/>
          <w:sz w:val="14"/>
          <w:szCs w:val="14"/>
          <w:color w:val="000000"/>
        </w:rPr>
        <w:t>("</w:t>
      </w:r>
      <w:r>
        <w:rPr>
          <w:rFonts w:ascii="Arial" w:cs="Arial" w:eastAsia="Arial" w:hAnsi="Arial"/>
          <w:sz w:val="14"/>
          <w:szCs w:val="14"/>
          <w:b w:val="1"/>
          <w:bCs w:val="1"/>
          <w:color w:val="000000"/>
        </w:rPr>
        <w:t>Expiration Date</w:t>
      </w:r>
      <w:r>
        <w:rPr>
          <w:rFonts w:ascii="Arial" w:cs="Arial" w:eastAsia="Arial" w:hAnsi="Arial"/>
          <w:sz w:val="14"/>
          <w:szCs w:val="14"/>
          <w:color w:val="000000"/>
        </w:rPr>
        <w:t>"). (See also Paragraph 3)</w:t>
      </w:r>
    </w:p>
    <w:p>
      <w:pPr>
        <w:spacing w:after="0" w:line="9" w:lineRule="exact"/>
        <w:rPr>
          <w:rFonts w:ascii="Arial" w:cs="Arial" w:eastAsia="Arial" w:hAnsi="Arial"/>
          <w:sz w:val="16"/>
          <w:szCs w:val="16"/>
          <w:u w:val="single" w:color="auto"/>
          <w:color w:val="0000FF"/>
        </w:rPr>
      </w:pPr>
    </w:p>
    <w:p>
      <w:pPr>
        <w:ind w:left="480"/>
        <w:spacing w:after="0"/>
        <w:tabs>
          <w:tab w:leader="none" w:pos="8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b w:val="1"/>
          <w:bCs w:val="1"/>
          <w:color w:val="auto"/>
        </w:rPr>
        <w:t xml:space="preserve">Early Possession: </w:t>
      </w:r>
      <w:r>
        <w:rPr>
          <w:rFonts w:ascii="Arial" w:cs="Arial" w:eastAsia="Arial" w:hAnsi="Arial"/>
          <w:sz w:val="13"/>
          <w:szCs w:val="13"/>
          <w:u w:val="single" w:color="auto"/>
          <w:color w:val="FF0000"/>
        </w:rPr>
        <w:t>If the Premises are available</w:t>
      </w:r>
      <w:r>
        <w:rPr>
          <w:rFonts w:ascii="Arial" w:cs="Arial" w:eastAsia="Arial" w:hAnsi="Arial"/>
          <w:sz w:val="13"/>
          <w:szCs w:val="13"/>
          <w:b w:val="1"/>
          <w:bCs w:val="1"/>
          <w:color w:val="auto"/>
        </w:rPr>
        <w:t xml:space="preserve"> </w:t>
      </w:r>
      <w:r>
        <w:rPr>
          <w:rFonts w:ascii="Arial" w:cs="Arial" w:eastAsia="Arial" w:hAnsi="Arial"/>
          <w:sz w:val="13"/>
          <w:szCs w:val="13"/>
          <w:color w:val="auto"/>
        </w:rPr>
        <w:t>Lessee may have nonexclusive possession of the Premises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FF0000"/>
        </w:rPr>
        <w:t>commencing</w:t>
      </w:r>
      <w:r>
        <w:rPr>
          <w:rFonts w:ascii="Arial" w:cs="Arial" w:eastAsia="Arial" w:hAnsi="Arial"/>
          <w:sz w:val="13"/>
          <w:szCs w:val="13"/>
          <w:b w:val="1"/>
          <w:bCs w:val="1"/>
          <w:color w:val="auto"/>
        </w:rPr>
        <w:t xml:space="preserve"> </w:t>
      </w:r>
      <w:r>
        <w:rPr>
          <w:rFonts w:ascii="Arial" w:cs="Arial" w:eastAsia="Arial" w:hAnsi="Arial"/>
          <w:sz w:val="15"/>
          <w:szCs w:val="15"/>
          <w:u w:val="single" w:color="auto"/>
          <w:color w:val="0000FF"/>
        </w:rPr>
        <w:t>upon mutual lease execution, Lessor's</w:t>
      </w:r>
    </w:p>
    <w:p>
      <w:pPr>
        <w:spacing w:after="0" w:line="24"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7"/>
          <w:szCs w:val="17"/>
          <w:color w:val="0000FF"/>
        </w:rPr>
        <w:t xml:space="preserve">receipt of the Monies Due Upon Execution of this Lease and Lessee's proof of Liability Insurance </w:t>
      </w:r>
      <w:r>
        <w:rPr>
          <w:rFonts w:ascii="Arial" w:cs="Arial" w:eastAsia="Arial" w:hAnsi="Arial"/>
          <w:sz w:val="13"/>
          <w:szCs w:val="13"/>
          <w:color w:val="000000"/>
        </w:rPr>
        <w:t>("</w:t>
      </w:r>
      <w:r>
        <w:rPr>
          <w:rFonts w:ascii="Arial" w:cs="Arial" w:eastAsia="Arial" w:hAnsi="Arial"/>
          <w:sz w:val="13"/>
          <w:szCs w:val="13"/>
          <w:b w:val="1"/>
          <w:bCs w:val="1"/>
          <w:color w:val="000000"/>
        </w:rPr>
        <w:t>Early Possession Date</w:t>
      </w:r>
      <w:r>
        <w:rPr>
          <w:rFonts w:ascii="Arial" w:cs="Arial" w:eastAsia="Arial" w:hAnsi="Arial"/>
          <w:sz w:val="13"/>
          <w:szCs w:val="13"/>
          <w:color w:val="000000"/>
        </w:rPr>
        <w:t>"). (See also Paragraphs 3.2 and 3.3)</w:t>
      </w:r>
    </w:p>
    <w:p>
      <w:pPr>
        <w:spacing w:after="0" w:line="20" w:lineRule="exact"/>
        <w:rPr>
          <w:rFonts w:ascii="Arial" w:cs="Arial" w:eastAsia="Arial" w:hAnsi="Arial"/>
          <w:sz w:val="16"/>
          <w:szCs w:val="16"/>
          <w:u w:val="single" w:color="auto"/>
          <w:color w:val="0000FF"/>
        </w:rPr>
      </w:pPr>
    </w:p>
    <w:tbl>
      <w:tblPr>
        <w:tblLayout w:type="fixed"/>
        <w:tblInd w:w="120" w:type="dxa"/>
        <w:tblCellMar>
          <w:top w:w="0" w:type="dxa"/>
          <w:left w:w="0" w:type="dxa"/>
          <w:bottom w:w="0" w:type="dxa"/>
          <w:right w:w="0" w:type="dxa"/>
        </w:tblCellMar>
      </w:tblP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Base Rent:</w:t>
            </w:r>
          </w:p>
        </w:tc>
        <w:tc>
          <w:tcPr>
            <w:tcW w:w="80" w:type="dxa"/>
            <w:vAlign w:val="bottom"/>
          </w:tcPr>
          <w:p>
            <w:pPr>
              <w:spacing w:after="0"/>
              <w:rPr>
                <w:sz w:val="14"/>
                <w:szCs w:val="14"/>
                <w:color w:val="auto"/>
              </w:rPr>
            </w:pPr>
          </w:p>
        </w:tc>
        <w:tc>
          <w:tcPr>
            <w:tcW w:w="3820" w:type="dxa"/>
            <w:vAlign w:val="bottom"/>
            <w:gridSpan w:val="17"/>
          </w:tcPr>
          <w:p>
            <w:pPr>
              <w:ind w:left="20"/>
              <w:spacing w:after="0" w:line="163" w:lineRule="exact"/>
              <w:rPr>
                <w:sz w:val="20"/>
                <w:szCs w:val="20"/>
                <w:color w:val="auto"/>
              </w:rPr>
            </w:pPr>
            <w:r>
              <w:rPr>
                <w:rFonts w:ascii="Arial" w:cs="Arial" w:eastAsia="Arial" w:hAnsi="Arial"/>
                <w:sz w:val="18"/>
                <w:szCs w:val="18"/>
                <w:color w:val="0000FF"/>
                <w:w w:val="97"/>
              </w:rPr>
              <w:t xml:space="preserve">$15,738.30 </w:t>
            </w:r>
            <w:r>
              <w:rPr>
                <w:rFonts w:ascii="Arial" w:cs="Arial" w:eastAsia="Arial" w:hAnsi="Arial"/>
                <w:sz w:val="14"/>
                <w:szCs w:val="14"/>
                <w:color w:val="000000"/>
                <w:w w:val="97"/>
              </w:rPr>
              <w:t>per month ("</w:t>
            </w:r>
            <w:r>
              <w:rPr>
                <w:rFonts w:ascii="Arial" w:cs="Arial" w:eastAsia="Arial" w:hAnsi="Arial"/>
                <w:sz w:val="14"/>
                <w:szCs w:val="14"/>
                <w:b w:val="1"/>
                <w:bCs w:val="1"/>
                <w:color w:val="000000"/>
                <w:w w:val="97"/>
              </w:rPr>
              <w:t>Base Rent</w:t>
            </w:r>
            <w:r>
              <w:rPr>
                <w:rFonts w:ascii="Arial" w:cs="Arial" w:eastAsia="Arial" w:hAnsi="Arial"/>
                <w:sz w:val="14"/>
                <w:szCs w:val="14"/>
                <w:color w:val="000000"/>
                <w:w w:val="97"/>
              </w:rPr>
              <w:t>"), payable on the</w:t>
            </w:r>
            <w:r>
              <w:rPr>
                <w:rFonts w:ascii="Arial" w:cs="Arial" w:eastAsia="Arial" w:hAnsi="Arial"/>
                <w:sz w:val="18"/>
                <w:szCs w:val="18"/>
                <w:color w:val="0000FF"/>
                <w:w w:val="97"/>
              </w:rPr>
              <w:t xml:space="preserve">   1st</w:t>
            </w:r>
          </w:p>
        </w:tc>
        <w:tc>
          <w:tcPr>
            <w:tcW w:w="5340" w:type="dxa"/>
            <w:vAlign w:val="bottom"/>
            <w:gridSpan w:val="12"/>
          </w:tcPr>
          <w:p>
            <w:pPr>
              <w:spacing w:after="0" w:line="163" w:lineRule="exact"/>
              <w:rPr>
                <w:sz w:val="20"/>
                <w:szCs w:val="20"/>
                <w:color w:val="auto"/>
              </w:rPr>
            </w:pPr>
            <w:r>
              <w:rPr>
                <w:rFonts w:ascii="Arial" w:cs="Arial" w:eastAsia="Arial" w:hAnsi="Arial"/>
                <w:sz w:val="14"/>
                <w:szCs w:val="14"/>
                <w:color w:val="auto"/>
              </w:rPr>
              <w:t xml:space="preserve">day of each month commencing </w:t>
            </w:r>
            <w:r>
              <w:rPr>
                <w:rFonts w:ascii="Arial" w:cs="Arial" w:eastAsia="Arial" w:hAnsi="Arial"/>
                <w:sz w:val="17"/>
                <w:szCs w:val="17"/>
                <w:color w:val="0000FF"/>
              </w:rPr>
              <w:t>May 1, 2022</w:t>
            </w:r>
            <w:r>
              <w:rPr>
                <w:rFonts w:ascii="Arial" w:cs="Arial" w:eastAsia="Arial" w:hAnsi="Arial"/>
                <w:sz w:val="14"/>
                <w:szCs w:val="14"/>
                <w:color w:val="auto"/>
              </w:rPr>
              <w:t xml:space="preserve"> . (See also Paragraph 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 xml:space="preserve">50  </w:t>
            </w:r>
            <w:r>
              <w:rPr>
                <w:rFonts w:ascii="Arial" w:cs="Arial" w:eastAsia="Arial" w:hAnsi="Arial"/>
                <w:sz w:val="14"/>
                <w:szCs w:val="14"/>
                <w:color w:val="000000"/>
              </w:rPr>
              <w:t>.</w:t>
            </w: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6120" w:type="dxa"/>
            <w:vAlign w:val="bottom"/>
            <w:gridSpan w:val="24"/>
          </w:tcPr>
          <w:p>
            <w:pPr>
              <w:ind w:left="80"/>
              <w:spacing w:after="0"/>
              <w:rPr>
                <w:sz w:val="20"/>
                <w:szCs w:val="20"/>
                <w:color w:val="auto"/>
              </w:rPr>
            </w:pPr>
            <w:r>
              <w:rPr>
                <w:rFonts w:ascii="Arial" w:cs="Arial" w:eastAsia="Arial" w:hAnsi="Arial"/>
                <w:sz w:val="14"/>
                <w:szCs w:val="14"/>
                <w:color w:val="auto"/>
                <w:w w:val="92"/>
              </w:rPr>
              <w:t>If this box is checked, there are provisions in this Lease for the Base Rent to be adjusted. See Paragraph</w:t>
            </w:r>
          </w:p>
        </w:tc>
        <w:tc>
          <w:tcPr>
            <w:tcW w:w="80" w:type="dxa"/>
            <w:vAlign w:val="bottom"/>
          </w:tcPr>
          <w:p>
            <w:pPr>
              <w:spacing w:after="0"/>
              <w:rPr>
                <w:sz w:val="20"/>
                <w:szCs w:val="20"/>
                <w:color w:val="auto"/>
              </w:rPr>
            </w:pPr>
          </w:p>
        </w:tc>
        <w:tc>
          <w:tcPr>
            <w:tcW w:w="420" w:type="dxa"/>
            <w:vAlign w:val="bottom"/>
            <w:gridSpan w:val="4"/>
            <w:vMerge w:val="continue"/>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4780" w:type="dxa"/>
            <w:vAlign w:val="bottom"/>
            <w:gridSpan w:val="20"/>
          </w:tcPr>
          <w:p>
            <w:pPr>
              <w:ind w:left="120"/>
              <w:spacing w:after="0"/>
              <w:rPr>
                <w:sz w:val="20"/>
                <w:szCs w:val="20"/>
                <w:color w:val="auto"/>
              </w:rPr>
            </w:pPr>
            <w:r>
              <w:rPr>
                <w:rFonts w:ascii="Arial" w:cs="Arial" w:eastAsia="Arial" w:hAnsi="Arial"/>
                <w:sz w:val="14"/>
                <w:szCs w:val="14"/>
                <w:b w:val="1"/>
                <w:bCs w:val="1"/>
                <w:color w:val="auto"/>
                <w:w w:val="93"/>
              </w:rPr>
              <w:t xml:space="preserve">Lessee's Share of Common Area Operating Expenses:  </w:t>
            </w:r>
            <w:r>
              <w:rPr>
                <w:rFonts w:ascii="Arial" w:cs="Arial" w:eastAsia="Arial" w:hAnsi="Arial"/>
                <w:sz w:val="17"/>
                <w:szCs w:val="17"/>
                <w:color w:val="0000FF"/>
                <w:w w:val="93"/>
              </w:rPr>
              <w:t>forty-two</w:t>
            </w:r>
            <w:r>
              <w:rPr>
                <w:rFonts w:ascii="Arial" w:cs="Arial" w:eastAsia="Arial" w:hAnsi="Arial"/>
                <w:sz w:val="14"/>
                <w:szCs w:val="14"/>
                <w:b w:val="1"/>
                <w:bCs w:val="1"/>
                <w:color w:val="auto"/>
                <w:w w:val="93"/>
              </w:rPr>
              <w:t xml:space="preserve"> </w:t>
            </w:r>
            <w:r>
              <w:rPr>
                <w:rFonts w:ascii="Arial" w:cs="Arial" w:eastAsia="Arial" w:hAnsi="Arial"/>
                <w:sz w:val="14"/>
                <w:szCs w:val="14"/>
                <w:color w:val="auto"/>
                <w:w w:val="93"/>
              </w:rPr>
              <w:t>percent (</w:t>
            </w:r>
          </w:p>
        </w:tc>
        <w:tc>
          <w:tcPr>
            <w:tcW w:w="40" w:type="dxa"/>
            <w:vAlign w:val="bottom"/>
          </w:tcPr>
          <w:p>
            <w:pPr>
              <w:spacing w:after="0"/>
              <w:rPr>
                <w:sz w:val="17"/>
                <w:szCs w:val="17"/>
                <w:color w:val="auto"/>
              </w:rPr>
            </w:pPr>
          </w:p>
        </w:tc>
        <w:tc>
          <w:tcPr>
            <w:tcW w:w="5300" w:type="dxa"/>
            <w:vAlign w:val="bottom"/>
            <w:gridSpan w:val="11"/>
          </w:tcPr>
          <w:p>
            <w:pPr>
              <w:ind w:left="40"/>
              <w:spacing w:after="0" w:line="196" w:lineRule="exact"/>
              <w:rPr>
                <w:sz w:val="20"/>
                <w:szCs w:val="20"/>
                <w:color w:val="auto"/>
              </w:rPr>
            </w:pPr>
            <w:r>
              <w:rPr>
                <w:rFonts w:ascii="Arial" w:cs="Arial" w:eastAsia="Arial" w:hAnsi="Arial"/>
                <w:sz w:val="18"/>
                <w:szCs w:val="18"/>
                <w:color w:val="0000FF"/>
                <w:w w:val="92"/>
              </w:rPr>
              <w:t xml:space="preserve">42 </w:t>
            </w:r>
            <w:r>
              <w:rPr>
                <w:rFonts w:ascii="Arial" w:cs="Arial" w:eastAsia="Arial" w:hAnsi="Arial"/>
                <w:sz w:val="14"/>
                <w:szCs w:val="14"/>
                <w:color w:val="000000"/>
                <w:w w:val="92"/>
              </w:rPr>
              <w:t>%) ("</w:t>
            </w:r>
            <w:r>
              <w:rPr>
                <w:rFonts w:ascii="Arial" w:cs="Arial" w:eastAsia="Arial" w:hAnsi="Arial"/>
                <w:sz w:val="14"/>
                <w:szCs w:val="14"/>
                <w:b w:val="1"/>
                <w:bCs w:val="1"/>
                <w:color w:val="000000"/>
                <w:w w:val="92"/>
              </w:rPr>
              <w:t>Lessee's Share</w:t>
            </w:r>
            <w:r>
              <w:rPr>
                <w:rFonts w:ascii="Arial" w:cs="Arial" w:eastAsia="Arial" w:hAnsi="Arial"/>
                <w:sz w:val="14"/>
                <w:szCs w:val="14"/>
                <w:color w:val="000000"/>
                <w:w w:val="92"/>
              </w:rPr>
              <w:t>"). In the event that the size of the Premises and/or the Project are</w:t>
            </w:r>
          </w:p>
        </w:tc>
        <w:tc>
          <w:tcPr>
            <w:tcW w:w="0" w:type="dxa"/>
            <w:vAlign w:val="bottom"/>
          </w:tcPr>
          <w:p>
            <w:pPr>
              <w:spacing w:after="0"/>
              <w:rPr>
                <w:sz w:val="1"/>
                <w:szCs w:val="1"/>
                <w:color w:val="auto"/>
              </w:rPr>
            </w:pPr>
          </w:p>
        </w:tc>
      </w:tr>
      <w:tr>
        <w:trPr>
          <w:trHeight w:val="20"/>
        </w:trPr>
        <w:tc>
          <w:tcPr>
            <w:tcW w:w="1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FF"/>
            </w:tcBorders>
            <w:gridSpan w:val="4"/>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20" w:type="dxa"/>
            <w:vAlign w:val="bottom"/>
            <w:gridSpan w:val="26"/>
          </w:tcPr>
          <w:p>
            <w:pPr>
              <w:spacing w:after="0"/>
              <w:rPr>
                <w:sz w:val="20"/>
                <w:szCs w:val="20"/>
                <w:color w:val="auto"/>
              </w:rPr>
            </w:pPr>
            <w:r>
              <w:rPr>
                <w:rFonts w:ascii="Arial" w:cs="Arial" w:eastAsia="Arial" w:hAnsi="Arial"/>
                <w:sz w:val="14"/>
                <w:szCs w:val="14"/>
                <w:color w:val="auto"/>
              </w:rPr>
              <w:t>modified during the term of this Lease, Lessor shall recalculate Lessee's Share to reflect such modification.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4780" w:type="dxa"/>
            <w:vAlign w:val="bottom"/>
            <w:gridSpan w:val="20"/>
          </w:tcPr>
          <w:p>
            <w:pPr>
              <w:ind w:left="120"/>
              <w:spacing w:after="0"/>
              <w:rPr>
                <w:sz w:val="20"/>
                <w:szCs w:val="20"/>
                <w:color w:val="auto"/>
              </w:rPr>
            </w:pPr>
            <w:r>
              <w:rPr>
                <w:rFonts w:ascii="Arial" w:cs="Arial" w:eastAsia="Arial" w:hAnsi="Arial"/>
                <w:sz w:val="14"/>
                <w:szCs w:val="14"/>
                <w:b w:val="1"/>
                <w:bCs w:val="1"/>
                <w:color w:val="auto"/>
              </w:rPr>
              <w:t>Base Rent and Other Monies Paid Upon Execution:</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Arial" w:cs="Arial" w:eastAsia="Arial" w:hAnsi="Arial"/>
                <w:sz w:val="14"/>
                <w:szCs w:val="14"/>
                <w:color w:val="auto"/>
              </w:rPr>
              <w:t>(a)</w:t>
            </w:r>
          </w:p>
        </w:tc>
        <w:tc>
          <w:tcPr>
            <w:tcW w:w="4400" w:type="dxa"/>
            <w:vAlign w:val="bottom"/>
            <w:gridSpan w:val="19"/>
          </w:tcPr>
          <w:p>
            <w:pPr>
              <w:ind w:left="100"/>
              <w:spacing w:after="0" w:line="190" w:lineRule="exact"/>
              <w:rPr>
                <w:sz w:val="20"/>
                <w:szCs w:val="20"/>
                <w:color w:val="auto"/>
              </w:rPr>
            </w:pPr>
            <w:r>
              <w:rPr>
                <w:rFonts w:ascii="Arial" w:cs="Arial" w:eastAsia="Arial" w:hAnsi="Arial"/>
                <w:sz w:val="14"/>
                <w:szCs w:val="14"/>
                <w:b w:val="1"/>
                <w:bCs w:val="1"/>
                <w:color w:val="auto"/>
              </w:rPr>
              <w:t xml:space="preserve">Base Rent:   </w:t>
            </w:r>
            <w:r>
              <w:rPr>
                <w:rFonts w:ascii="Arial" w:cs="Arial" w:eastAsia="Arial" w:hAnsi="Arial"/>
                <w:sz w:val="17"/>
                <w:szCs w:val="17"/>
                <w:color w:val="0000FF"/>
              </w:rPr>
              <w:t>$15,738.30</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period</w:t>
            </w:r>
            <w:r>
              <w:rPr>
                <w:rFonts w:ascii="Arial" w:cs="Arial" w:eastAsia="Arial" w:hAnsi="Arial"/>
                <w:sz w:val="14"/>
                <w:szCs w:val="14"/>
                <w:b w:val="1"/>
                <w:bCs w:val="1"/>
                <w:color w:val="auto"/>
              </w:rPr>
              <w:t xml:space="preserve">  </w:t>
            </w:r>
            <w:r>
              <w:rPr>
                <w:rFonts w:ascii="Arial" w:cs="Arial" w:eastAsia="Arial" w:hAnsi="Arial"/>
                <w:sz w:val="17"/>
                <w:szCs w:val="17"/>
                <w:color w:val="0000FF"/>
              </w:rPr>
              <w:t>May 1-31, 2022</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380" w:type="dxa"/>
            <w:vAlign w:val="bottom"/>
            <w:gridSpan w:val="4"/>
            <w:vMerge w:val="restart"/>
          </w:tcPr>
          <w:p>
            <w:pPr>
              <w:ind w:left="80"/>
              <w:spacing w:after="0"/>
              <w:rPr>
                <w:sz w:val="20"/>
                <w:szCs w:val="20"/>
                <w:color w:val="auto"/>
              </w:rPr>
            </w:pPr>
            <w:r>
              <w:rPr>
                <w:rFonts w:ascii="Arial" w:cs="Arial" w:eastAsia="Arial" w:hAnsi="Arial"/>
                <w:sz w:val="18"/>
                <w:szCs w:val="18"/>
                <w:color w:val="0000FF"/>
                <w:w w:val="91"/>
              </w:rPr>
              <w:t xml:space="preserve">May 1-31, 2022 </w:t>
            </w:r>
            <w:r>
              <w:rPr>
                <w:rFonts w:ascii="Arial" w:cs="Arial" w:eastAsia="Arial" w:hAnsi="Arial"/>
                <w:sz w:val="14"/>
                <w:szCs w:val="14"/>
                <w:color w:val="000000"/>
                <w:w w:val="91"/>
              </w:rPr>
              <w:t>is</w:t>
            </w:r>
          </w:p>
        </w:tc>
        <w:tc>
          <w:tcPr>
            <w:tcW w:w="1380" w:type="dxa"/>
            <w:vAlign w:val="bottom"/>
            <w:gridSpan w:val="6"/>
            <w:vMerge w:val="restart"/>
          </w:tcPr>
          <w:p>
            <w:pPr>
              <w:jc w:val="right"/>
              <w:ind w:right="420"/>
              <w:spacing w:after="0"/>
              <w:rPr>
                <w:sz w:val="20"/>
                <w:szCs w:val="20"/>
                <w:color w:val="auto"/>
              </w:rPr>
            </w:pPr>
            <w:r>
              <w:rPr>
                <w:rFonts w:ascii="Arial" w:cs="Arial" w:eastAsia="Arial" w:hAnsi="Arial"/>
                <w:sz w:val="18"/>
                <w:szCs w:val="18"/>
                <w:color w:val="0000FF"/>
              </w:rPr>
              <w:t xml:space="preserve">$4,667.22 </w:t>
            </w:r>
            <w:r>
              <w:rPr>
                <w:rFonts w:ascii="Arial" w:cs="Arial" w:eastAsia="Arial" w:hAnsi="Arial"/>
                <w:sz w:val="14"/>
                <w:szCs w:val="14"/>
                <w:color w:val="000000"/>
              </w:rPr>
              <w:t>.</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380" w:type="dxa"/>
            <w:vAlign w:val="bottom"/>
            <w:gridSpan w:val="6"/>
            <w:vMerge w:val="continu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4780" w:type="dxa"/>
            <w:vAlign w:val="bottom"/>
            <w:gridSpan w:val="20"/>
          </w:tcPr>
          <w:p>
            <w:pPr>
              <w:ind w:left="120"/>
              <w:spacing w:after="0"/>
              <w:rPr>
                <w:sz w:val="20"/>
                <w:szCs w:val="20"/>
                <w:color w:val="auto"/>
              </w:rPr>
            </w:pPr>
            <w:r>
              <w:rPr>
                <w:rFonts w:ascii="Arial" w:cs="Arial" w:eastAsia="Arial" w:hAnsi="Arial"/>
                <w:sz w:val="14"/>
                <w:szCs w:val="14"/>
                <w:color w:val="auto"/>
                <w:w w:val="95"/>
              </w:rPr>
              <w:t xml:space="preserve">(b)   </w:t>
            </w:r>
            <w:r>
              <w:rPr>
                <w:rFonts w:ascii="Arial" w:cs="Arial" w:eastAsia="Arial" w:hAnsi="Arial"/>
                <w:sz w:val="14"/>
                <w:szCs w:val="14"/>
                <w:b w:val="1"/>
                <w:bCs w:val="1"/>
                <w:color w:val="auto"/>
                <w:w w:val="95"/>
              </w:rPr>
              <w:t>Common Area Operating Expenses:</w:t>
            </w:r>
            <w:r>
              <w:rPr>
                <w:rFonts w:ascii="Arial" w:cs="Arial" w:eastAsia="Arial" w:hAnsi="Arial"/>
                <w:sz w:val="14"/>
                <w:szCs w:val="14"/>
                <w:color w:val="auto"/>
                <w:w w:val="95"/>
              </w:rPr>
              <w:t xml:space="preserve"> The current estimate for the period</w:t>
            </w:r>
          </w:p>
        </w:tc>
        <w:tc>
          <w:tcPr>
            <w:tcW w:w="40" w:type="dxa"/>
            <w:vAlign w:val="bottom"/>
          </w:tcPr>
          <w:p>
            <w:pPr>
              <w:spacing w:after="0"/>
              <w:rPr>
                <w:sz w:val="17"/>
                <w:szCs w:val="17"/>
                <w:color w:val="auto"/>
              </w:rPr>
            </w:pPr>
          </w:p>
        </w:tc>
        <w:tc>
          <w:tcPr>
            <w:tcW w:w="1380" w:type="dxa"/>
            <w:vAlign w:val="bottom"/>
            <w:gridSpan w:val="4"/>
            <w:vMerge w:val="continue"/>
          </w:tcPr>
          <w:p>
            <w:pPr>
              <w:spacing w:after="0"/>
              <w:rPr>
                <w:sz w:val="17"/>
                <w:szCs w:val="17"/>
                <w:color w:val="auto"/>
              </w:rPr>
            </w:pPr>
          </w:p>
        </w:tc>
        <w:tc>
          <w:tcPr>
            <w:tcW w:w="1380" w:type="dxa"/>
            <w:vAlign w:val="bottom"/>
            <w:gridSpan w:val="6"/>
            <w:vMerge w:val="continue"/>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200" w:type="dxa"/>
            <w:vAlign w:val="bottom"/>
            <w:gridSpan w:val="25"/>
          </w:tcPr>
          <w:p>
            <w:pPr>
              <w:ind w:left="120"/>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b w:val="1"/>
                <w:bCs w:val="1"/>
                <w:color w:val="auto"/>
              </w:rPr>
              <w:t>Security Deposit:</w:t>
            </w:r>
            <w:r>
              <w:rPr>
                <w:rFonts w:ascii="Arial" w:cs="Arial" w:eastAsia="Arial" w:hAnsi="Arial"/>
                <w:sz w:val="14"/>
                <w:szCs w:val="14"/>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color w:val="0000FF"/>
              </w:rPr>
              <w:t>16,829.90</w:t>
            </w:r>
            <w:r>
              <w:rPr>
                <w:rFonts w:ascii="Arial" w:cs="Arial" w:eastAsia="Arial" w:hAnsi="Arial"/>
                <w:sz w:val="14"/>
                <w:szCs w:val="14"/>
                <w:color w:val="auto"/>
              </w:rPr>
              <w:t xml:space="preserve"> ("</w:t>
            </w:r>
            <w:r>
              <w:rPr>
                <w:rFonts w:ascii="Arial" w:cs="Arial" w:eastAsia="Arial" w:hAnsi="Arial"/>
                <w:sz w:val="14"/>
                <w:szCs w:val="14"/>
                <w:b w:val="1"/>
                <w:bCs w:val="1"/>
                <w:color w:val="auto"/>
              </w:rPr>
              <w:t>Security Deposit</w:t>
            </w:r>
            <w:r>
              <w:rPr>
                <w:rFonts w:ascii="Arial" w:cs="Arial" w:eastAsia="Arial" w:hAnsi="Arial"/>
                <w:sz w:val="14"/>
                <w:szCs w:val="14"/>
                <w:color w:val="auto"/>
              </w:rPr>
              <w:t>"). (See also Paragraph 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380" w:type="dxa"/>
            <w:vAlign w:val="bottom"/>
          </w:tcPr>
          <w:p>
            <w:pPr>
              <w:ind w:left="120"/>
              <w:spacing w:after="0"/>
              <w:rPr>
                <w:sz w:val="20"/>
                <w:szCs w:val="20"/>
                <w:color w:val="auto"/>
              </w:rPr>
            </w:pPr>
            <w:r>
              <w:rPr>
                <w:rFonts w:ascii="Arial" w:cs="Arial" w:eastAsia="Arial" w:hAnsi="Arial"/>
                <w:sz w:val="14"/>
                <w:szCs w:val="14"/>
                <w:color w:val="auto"/>
              </w:rPr>
              <w:t>(d)</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Other:</w:t>
            </w:r>
          </w:p>
        </w:tc>
        <w:tc>
          <w:tcPr>
            <w:tcW w:w="120" w:type="dxa"/>
            <w:vAlign w:val="bottom"/>
          </w:tcPr>
          <w:p>
            <w:pPr>
              <w:spacing w:after="0"/>
              <w:rPr>
                <w:sz w:val="15"/>
                <w:szCs w:val="15"/>
                <w:color w:val="auto"/>
              </w:rPr>
            </w:pPr>
          </w:p>
        </w:tc>
        <w:tc>
          <w:tcPr>
            <w:tcW w:w="500" w:type="dxa"/>
            <w:vAlign w:val="bottom"/>
            <w:gridSpan w:val="4"/>
          </w:tcPr>
          <w:p>
            <w:pPr>
              <w:spacing w:after="0"/>
              <w:rPr>
                <w:sz w:val="20"/>
                <w:szCs w:val="20"/>
                <w:color w:val="auto"/>
              </w:rPr>
            </w:pPr>
            <w:r>
              <w:rPr>
                <w:rFonts w:ascii="Arial" w:cs="Arial" w:eastAsia="Arial" w:hAnsi="Arial"/>
                <w:sz w:val="14"/>
                <w:szCs w:val="14"/>
                <w:color w:val="auto"/>
              </w:rPr>
              <w:t>for  .</w:t>
            </w:r>
          </w:p>
        </w:tc>
        <w:tc>
          <w:tcPr>
            <w:tcW w:w="880" w:type="dxa"/>
            <w:vAlign w:val="bottom"/>
            <w:tcBorders>
              <w:top w:val="single" w:sz="8" w:color="0000FF"/>
            </w:tcBorders>
            <w:gridSpan w:val="3"/>
          </w:tcPr>
          <w:p>
            <w:pPr>
              <w:spacing w:after="0"/>
              <w:rPr>
                <w:sz w:val="15"/>
                <w:szCs w:val="15"/>
                <w:color w:val="auto"/>
              </w:rPr>
            </w:pPr>
          </w:p>
        </w:tc>
        <w:tc>
          <w:tcPr>
            <w:tcW w:w="232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tcBorders>
              <w:right w:val="single" w:sz="8" w:color="auto"/>
            </w:tcBorders>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4780" w:type="dxa"/>
            <w:vAlign w:val="bottom"/>
            <w:gridSpan w:val="20"/>
          </w:tcPr>
          <w:p>
            <w:pPr>
              <w:ind w:left="120"/>
              <w:spacing w:after="0"/>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b w:val="1"/>
                <w:bCs w:val="1"/>
                <w:color w:val="auto"/>
              </w:rPr>
              <w:t>Total Due Upon Execution of this Lease:</w:t>
            </w:r>
            <w:r>
              <w:rPr>
                <w:rFonts w:ascii="Arial" w:cs="Arial" w:eastAsia="Arial" w:hAnsi="Arial"/>
                <w:sz w:val="14"/>
                <w:szCs w:val="14"/>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color w:val="0000FF"/>
              </w:rPr>
              <w:t>37,235.42</w:t>
            </w:r>
            <w:r>
              <w:rPr>
                <w:rFonts w:ascii="Arial" w:cs="Arial" w:eastAsia="Arial" w:hAnsi="Arial"/>
                <w:sz w:val="14"/>
                <w:szCs w:val="14"/>
                <w:color w:val="auto"/>
              </w:rPr>
              <w:t xml:space="preserve"> .</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120" w:type="dxa"/>
            <w:vAlign w:val="bottom"/>
            <w:gridSpan w:val="32"/>
          </w:tcPr>
          <w:p>
            <w:pPr>
              <w:ind w:left="120"/>
              <w:spacing w:after="0"/>
              <w:rPr>
                <w:sz w:val="20"/>
                <w:szCs w:val="20"/>
                <w:color w:val="auto"/>
              </w:rPr>
            </w:pPr>
            <w:r>
              <w:rPr>
                <w:rFonts w:ascii="Arial" w:cs="Arial" w:eastAsia="Arial" w:hAnsi="Arial"/>
                <w:sz w:val="14"/>
                <w:szCs w:val="14"/>
                <w:b w:val="1"/>
                <w:bCs w:val="1"/>
                <w:color w:val="auto"/>
              </w:rPr>
              <w:t>Agreed Use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7"/>
                <w:szCs w:val="17"/>
                <w:color w:val="0000FF"/>
              </w:rPr>
              <w:t>General office for an optical medical products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 (See also Paragraph 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20" w:type="dxa"/>
            <w:vAlign w:val="bottom"/>
            <w:gridSpan w:val="1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4780" w:type="dxa"/>
            <w:vAlign w:val="bottom"/>
            <w:gridSpan w:val="20"/>
          </w:tcPr>
          <w:p>
            <w:pPr>
              <w:ind w:left="120"/>
              <w:spacing w:after="0"/>
              <w:rPr>
                <w:sz w:val="20"/>
                <w:szCs w:val="20"/>
                <w:color w:val="auto"/>
              </w:rPr>
            </w:pPr>
            <w:r>
              <w:rPr>
                <w:rFonts w:ascii="Arial" w:cs="Arial" w:eastAsia="Arial" w:hAnsi="Arial"/>
                <w:sz w:val="14"/>
                <w:szCs w:val="14"/>
                <w:b w:val="1"/>
                <w:bCs w:val="1"/>
                <w:color w:val="auto"/>
              </w:rPr>
              <w:t xml:space="preserve">Insuring Party. </w:t>
            </w:r>
            <w:r>
              <w:rPr>
                <w:rFonts w:ascii="Arial" w:cs="Arial" w:eastAsia="Arial" w:hAnsi="Arial"/>
                <w:sz w:val="14"/>
                <w:szCs w:val="14"/>
                <w:color w:val="auto"/>
              </w:rPr>
              <w:t>Lessor is the "</w:t>
            </w:r>
            <w:r>
              <w:rPr>
                <w:rFonts w:ascii="Arial" w:cs="Arial" w:eastAsia="Arial" w:hAnsi="Arial"/>
                <w:sz w:val="14"/>
                <w:szCs w:val="14"/>
                <w:b w:val="1"/>
                <w:bCs w:val="1"/>
                <w:color w:val="auto"/>
              </w:rPr>
              <w:t>Insuring Party</w:t>
            </w:r>
            <w:r>
              <w:rPr>
                <w:rFonts w:ascii="Arial" w:cs="Arial" w:eastAsia="Arial" w:hAnsi="Arial"/>
                <w:sz w:val="14"/>
                <w:szCs w:val="14"/>
                <w:color w:val="auto"/>
              </w:rPr>
              <w:t>". (See also Paragraph 8)</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80"/>
        <w:spacing w:after="0"/>
        <w:tabs>
          <w:tab w:leader="none" w:pos="84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2"/>
          <w:szCs w:val="12"/>
          <w:b w:val="1"/>
          <w:bCs w:val="1"/>
          <w:color w:val="auto"/>
        </w:rPr>
        <w:t xml:space="preserve">Real Estate Brokers. </w:t>
      </w:r>
      <w:r>
        <w:rPr>
          <w:rFonts w:ascii="Arial" w:cs="Arial" w:eastAsia="Arial" w:hAnsi="Arial"/>
          <w:sz w:val="12"/>
          <w:szCs w:val="12"/>
          <w:color w:val="auto"/>
        </w:rPr>
        <w:t>(See also Paragraphs 15 and 25)</w:t>
      </w:r>
    </w:p>
    <w:p>
      <w:pPr>
        <w:spacing w:after="0" w:line="15" w:lineRule="exact"/>
        <w:rPr>
          <w:rFonts w:ascii="Arial" w:cs="Arial" w:eastAsia="Arial" w:hAnsi="Arial"/>
          <w:sz w:val="16"/>
          <w:szCs w:val="16"/>
          <w:u w:val="single" w:color="auto"/>
          <w:color w:val="0000FF"/>
        </w:rPr>
      </w:pPr>
    </w:p>
    <w:p>
      <w:pPr>
        <w:ind w:left="120" w:right="520" w:firstLine="741"/>
        <w:spacing w:after="0" w:line="283" w:lineRule="auto"/>
        <w:tabs>
          <w:tab w:leader="none" w:pos="1598"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Representation</w:t>
      </w:r>
      <w:r>
        <w:rPr>
          <w:rFonts w:ascii="Arial" w:cs="Arial" w:eastAsia="Arial" w:hAnsi="Arial"/>
          <w:sz w:val="14"/>
          <w:szCs w:val="14"/>
          <w:color w:val="auto"/>
        </w:rPr>
        <w:t>: Each Party acknowledges receiving a Disclosure Regarding Real Estate Agency Relationship, confirms and consents to the following agency</w:t>
      </w:r>
      <w:r>
        <w:rPr>
          <w:rFonts w:ascii="Arial" w:cs="Arial" w:eastAsia="Arial" w:hAnsi="Arial"/>
          <w:sz w:val="14"/>
          <w:szCs w:val="14"/>
          <w:b w:val="1"/>
          <w:bCs w:val="1"/>
          <w:color w:val="auto"/>
        </w:rPr>
        <w:t xml:space="preserve"> </w:t>
      </w:r>
      <w:r>
        <w:rPr>
          <w:rFonts w:ascii="Arial" w:cs="Arial" w:eastAsia="Arial" w:hAnsi="Arial"/>
          <w:sz w:val="14"/>
          <w:szCs w:val="14"/>
          <w:color w:val="auto"/>
        </w:rPr>
        <w:t>relationships in this Lease with the following real estate brokers ("</w:t>
      </w:r>
      <w:r>
        <w:rPr>
          <w:rFonts w:ascii="Arial" w:cs="Arial" w:eastAsia="Arial" w:hAnsi="Arial"/>
          <w:sz w:val="14"/>
          <w:szCs w:val="14"/>
          <w:b w:val="1"/>
          <w:bCs w:val="1"/>
          <w:color w:val="auto"/>
        </w:rPr>
        <w:t>Broker(s)</w:t>
      </w:r>
      <w:r>
        <w:rPr>
          <w:rFonts w:ascii="Arial" w:cs="Arial" w:eastAsia="Arial" w:hAnsi="Arial"/>
          <w:sz w:val="14"/>
          <w:szCs w:val="14"/>
          <w:color w:val="auto"/>
        </w:rPr>
        <w:t>") and/or their agents ("Agent(s)"):</w:t>
      </w:r>
    </w:p>
    <w:p>
      <w:pPr>
        <w:spacing w:after="0" w:line="6" w:lineRule="exact"/>
        <w:rPr>
          <w:rFonts w:ascii="Arial" w:cs="Arial" w:eastAsia="Arial" w:hAnsi="Arial"/>
          <w:sz w:val="16"/>
          <w:szCs w:val="16"/>
          <w:u w:val="single" w:color="auto"/>
          <w:color w:val="0000FF"/>
        </w:rPr>
      </w:pPr>
    </w:p>
    <w:tbl>
      <w:tblPr>
        <w:tblLayout w:type="fixed"/>
        <w:tblInd w:w="120" w:type="dxa"/>
        <w:tblCellMar>
          <w:top w:w="0" w:type="dxa"/>
          <w:left w:w="0" w:type="dxa"/>
          <w:bottom w:w="0" w:type="dxa"/>
          <w:right w:w="0" w:type="dxa"/>
        </w:tblCellMar>
      </w:tblPr>
      <w:tr>
        <w:trPr>
          <w:trHeight w:val="207"/>
        </w:trPr>
        <w:tc>
          <w:tcPr>
            <w:tcW w:w="1840" w:type="dxa"/>
            <w:vAlign w:val="bottom"/>
            <w:gridSpan w:val="2"/>
          </w:tcPr>
          <w:p>
            <w:pPr>
              <w:ind w:left="360"/>
              <w:spacing w:after="0"/>
              <w:rPr>
                <w:sz w:val="20"/>
                <w:szCs w:val="20"/>
                <w:color w:val="auto"/>
              </w:rPr>
            </w:pPr>
            <w:r>
              <w:rPr>
                <w:rFonts w:ascii="Arial" w:cs="Arial" w:eastAsia="Arial" w:hAnsi="Arial"/>
                <w:sz w:val="14"/>
                <w:szCs w:val="14"/>
                <w:color w:val="auto"/>
                <w:w w:val="94"/>
              </w:rPr>
              <w:t>Lessor's Brokerage Firm</w:t>
            </w:r>
          </w:p>
        </w:tc>
        <w:tc>
          <w:tcPr>
            <w:tcW w:w="8900" w:type="dxa"/>
            <w:vAlign w:val="bottom"/>
            <w:gridSpan w:val="16"/>
          </w:tcPr>
          <w:p>
            <w:pPr>
              <w:ind w:left="60"/>
              <w:spacing w:after="0"/>
              <w:rPr>
                <w:sz w:val="20"/>
                <w:szCs w:val="20"/>
                <w:color w:val="auto"/>
              </w:rPr>
            </w:pPr>
            <w:r>
              <w:rPr>
                <w:rFonts w:ascii="Arial" w:cs="Arial" w:eastAsia="Arial" w:hAnsi="Arial"/>
                <w:sz w:val="18"/>
                <w:szCs w:val="18"/>
                <w:color w:val="0000FF"/>
              </w:rPr>
              <w:t xml:space="preserve">CBRE, Inc. </w:t>
            </w:r>
            <w:r>
              <w:rPr>
                <w:rFonts w:ascii="Arial" w:cs="Arial" w:eastAsia="Arial" w:hAnsi="Arial"/>
                <w:sz w:val="14"/>
                <w:szCs w:val="14"/>
                <w:color w:val="000000"/>
              </w:rPr>
              <w:t>License No.</w:t>
            </w:r>
            <w:r>
              <w:rPr>
                <w:rFonts w:ascii="Arial" w:cs="Arial" w:eastAsia="Arial" w:hAnsi="Arial"/>
                <w:sz w:val="18"/>
                <w:szCs w:val="18"/>
                <w:color w:val="0000FF"/>
              </w:rPr>
              <w:t xml:space="preserve">   00409987 </w:t>
            </w:r>
            <w:r>
              <w:rPr>
                <w:rFonts w:ascii="Arial" w:cs="Arial" w:eastAsia="Arial" w:hAnsi="Arial"/>
                <w:sz w:val="14"/>
                <w:szCs w:val="14"/>
                <w:color w:val="000000"/>
              </w:rPr>
              <w:t>Is the broker of (check one): the Lessor; or both the Lessee and Lessor (dual agent).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360"/>
              <w:spacing w:after="0"/>
              <w:rPr>
                <w:sz w:val="20"/>
                <w:szCs w:val="20"/>
                <w:color w:val="auto"/>
              </w:rPr>
            </w:pPr>
            <w:r>
              <w:rPr>
                <w:rFonts w:ascii="Arial" w:cs="Arial" w:eastAsia="Arial" w:hAnsi="Arial"/>
                <w:sz w:val="14"/>
                <w:szCs w:val="14"/>
                <w:color w:val="auto"/>
                <w:w w:val="95"/>
              </w:rPr>
              <w:t>Lessor's Agent</w:t>
            </w:r>
          </w:p>
        </w:tc>
        <w:tc>
          <w:tcPr>
            <w:tcW w:w="1900" w:type="dxa"/>
            <w:vAlign w:val="bottom"/>
            <w:gridSpan w:val="7"/>
          </w:tcPr>
          <w:p>
            <w:pPr>
              <w:ind w:left="120"/>
              <w:spacing w:after="0"/>
              <w:rPr>
                <w:sz w:val="20"/>
                <w:szCs w:val="20"/>
                <w:color w:val="auto"/>
              </w:rPr>
            </w:pPr>
            <w:r>
              <w:rPr>
                <w:rFonts w:ascii="Arial" w:cs="Arial" w:eastAsia="Arial" w:hAnsi="Arial"/>
                <w:sz w:val="18"/>
                <w:szCs w:val="18"/>
                <w:color w:val="0000FF"/>
              </w:rPr>
              <w:t xml:space="preserve">Keith Black </w:t>
            </w:r>
            <w:r>
              <w:rPr>
                <w:rFonts w:ascii="Arial" w:cs="Arial" w:eastAsia="Arial" w:hAnsi="Arial"/>
                <w:sz w:val="14"/>
                <w:szCs w:val="14"/>
                <w:color w:val="000000"/>
              </w:rPr>
              <w:t>License No.</w:t>
            </w:r>
          </w:p>
        </w:tc>
        <w:tc>
          <w:tcPr>
            <w:tcW w:w="5100" w:type="dxa"/>
            <w:vAlign w:val="bottom"/>
            <w:gridSpan w:val="9"/>
          </w:tcPr>
          <w:p>
            <w:pPr>
              <w:spacing w:after="0"/>
              <w:rPr>
                <w:sz w:val="20"/>
                <w:szCs w:val="20"/>
                <w:color w:val="auto"/>
              </w:rPr>
            </w:pPr>
            <w:r>
              <w:rPr>
                <w:rFonts w:ascii="Arial" w:cs="Arial" w:eastAsia="Arial" w:hAnsi="Arial"/>
                <w:sz w:val="18"/>
                <w:szCs w:val="18"/>
                <w:color w:val="0000FF"/>
                <w:w w:val="94"/>
              </w:rPr>
              <w:t xml:space="preserve">01266477 </w:t>
            </w:r>
            <w:r>
              <w:rPr>
                <w:rFonts w:ascii="Arial" w:cs="Arial" w:eastAsia="Arial" w:hAnsi="Arial"/>
                <w:sz w:val="14"/>
                <w:szCs w:val="14"/>
                <w:color w:val="000000"/>
                <w:w w:val="94"/>
              </w:rPr>
              <w:t>is (check one):   the Lessor's Agent (salesperson or broker associate); or</w:t>
            </w:r>
          </w:p>
        </w:tc>
        <w:tc>
          <w:tcPr>
            <w:tcW w:w="2460" w:type="dxa"/>
            <w:vAlign w:val="bottom"/>
          </w:tcPr>
          <w:p>
            <w:pPr>
              <w:ind w:left="140"/>
              <w:spacing w:after="0"/>
              <w:rPr>
                <w:sz w:val="20"/>
                <w:szCs w:val="20"/>
                <w:color w:val="auto"/>
              </w:rPr>
            </w:pPr>
            <w:r>
              <w:rPr>
                <w:rFonts w:ascii="Arial" w:cs="Arial" w:eastAsia="Arial" w:hAnsi="Arial"/>
                <w:sz w:val="14"/>
                <w:szCs w:val="14"/>
                <w:color w:val="auto"/>
                <w:w w:val="89"/>
              </w:rPr>
              <w:t>both the Lessee's Agent and the Lessor's</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4"/>
                <w:szCs w:val="14"/>
                <w:color w:val="auto"/>
              </w:rPr>
              <w:t>Agent (dual agent).</w:t>
            </w: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900" w:type="dxa"/>
            <w:vAlign w:val="bottom"/>
            <w:gridSpan w:val="16"/>
            <w:vMerge w:val="restart"/>
          </w:tcPr>
          <w:p>
            <w:pPr>
              <w:ind w:left="60"/>
              <w:spacing w:after="0"/>
              <w:rPr>
                <w:sz w:val="20"/>
                <w:szCs w:val="20"/>
                <w:color w:val="auto"/>
              </w:rPr>
            </w:pPr>
            <w:r>
              <w:rPr>
                <w:rFonts w:ascii="Arial" w:cs="Arial" w:eastAsia="Arial" w:hAnsi="Arial"/>
                <w:sz w:val="18"/>
                <w:szCs w:val="18"/>
                <w:color w:val="0000FF"/>
              </w:rPr>
              <w:t xml:space="preserve">Lee &amp; Associates </w:t>
            </w:r>
            <w:r>
              <w:rPr>
                <w:rFonts w:ascii="Arial" w:cs="Arial" w:eastAsia="Arial" w:hAnsi="Arial"/>
                <w:sz w:val="14"/>
                <w:szCs w:val="14"/>
                <w:color w:val="000000"/>
              </w:rPr>
              <w:t>License No.</w:t>
            </w:r>
            <w:r>
              <w:rPr>
                <w:rFonts w:ascii="Arial" w:cs="Arial" w:eastAsia="Arial" w:hAnsi="Arial"/>
                <w:sz w:val="18"/>
                <w:szCs w:val="18"/>
                <w:color w:val="0000FF"/>
              </w:rPr>
              <w:t xml:space="preserve">   01044791 </w:t>
            </w:r>
            <w:r>
              <w:rPr>
                <w:rFonts w:ascii="Arial" w:cs="Arial" w:eastAsia="Arial" w:hAnsi="Arial"/>
                <w:sz w:val="14"/>
                <w:szCs w:val="14"/>
                <w:color w:val="000000"/>
              </w:rPr>
              <w:t>Is the broker of (check one):   the Lessee; or both the Lessee and Lessor (dual agent).</w:t>
            </w:r>
          </w:p>
        </w:tc>
        <w:tc>
          <w:tcPr>
            <w:tcW w:w="0" w:type="dxa"/>
            <w:vAlign w:val="bottom"/>
          </w:tcPr>
          <w:p>
            <w:pPr>
              <w:spacing w:after="0"/>
              <w:rPr>
                <w:sz w:val="1"/>
                <w:szCs w:val="1"/>
                <w:color w:val="auto"/>
              </w:rPr>
            </w:pPr>
          </w:p>
        </w:tc>
      </w:tr>
      <w:tr>
        <w:trPr>
          <w:trHeight w:val="242"/>
        </w:trPr>
        <w:tc>
          <w:tcPr>
            <w:tcW w:w="1840" w:type="dxa"/>
            <w:vAlign w:val="bottom"/>
            <w:gridSpan w:val="2"/>
          </w:tcPr>
          <w:p>
            <w:pPr>
              <w:ind w:left="360"/>
              <w:spacing w:after="0"/>
              <w:rPr>
                <w:sz w:val="20"/>
                <w:szCs w:val="20"/>
                <w:color w:val="auto"/>
              </w:rPr>
            </w:pPr>
            <w:r>
              <w:rPr>
                <w:rFonts w:ascii="Arial" w:cs="Arial" w:eastAsia="Arial" w:hAnsi="Arial"/>
                <w:sz w:val="14"/>
                <w:szCs w:val="14"/>
                <w:color w:val="auto"/>
                <w:w w:val="92"/>
              </w:rPr>
              <w:t>Lessee's Brokerage Firm</w:t>
            </w:r>
          </w:p>
        </w:tc>
        <w:tc>
          <w:tcPr>
            <w:tcW w:w="8900" w:type="dxa"/>
            <w:vAlign w:val="bottom"/>
            <w:gridSpan w:val="1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360"/>
              <w:spacing w:after="0"/>
              <w:rPr>
                <w:sz w:val="20"/>
                <w:szCs w:val="20"/>
                <w:color w:val="auto"/>
              </w:rPr>
            </w:pPr>
            <w:r>
              <w:rPr>
                <w:rFonts w:ascii="Arial" w:cs="Arial" w:eastAsia="Arial" w:hAnsi="Arial"/>
                <w:sz w:val="14"/>
                <w:szCs w:val="14"/>
                <w:color w:val="auto"/>
                <w:w w:val="92"/>
              </w:rPr>
              <w:t>Lessee's Agent</w:t>
            </w:r>
          </w:p>
        </w:tc>
        <w:tc>
          <w:tcPr>
            <w:tcW w:w="1900" w:type="dxa"/>
            <w:vAlign w:val="bottom"/>
            <w:gridSpan w:val="7"/>
          </w:tcPr>
          <w:p>
            <w:pPr>
              <w:ind w:left="120"/>
              <w:spacing w:after="0"/>
              <w:rPr>
                <w:sz w:val="20"/>
                <w:szCs w:val="20"/>
                <w:color w:val="auto"/>
              </w:rPr>
            </w:pPr>
            <w:r>
              <w:rPr>
                <w:rFonts w:ascii="Arial" w:cs="Arial" w:eastAsia="Arial" w:hAnsi="Arial"/>
                <w:sz w:val="18"/>
                <w:szCs w:val="18"/>
                <w:color w:val="0000FF"/>
                <w:w w:val="92"/>
              </w:rPr>
              <w:t xml:space="preserve">Guy Laferrara </w:t>
            </w:r>
            <w:r>
              <w:rPr>
                <w:rFonts w:ascii="Arial" w:cs="Arial" w:eastAsia="Arial" w:hAnsi="Arial"/>
                <w:sz w:val="14"/>
                <w:szCs w:val="14"/>
                <w:color w:val="000000"/>
                <w:w w:val="92"/>
              </w:rPr>
              <w:t>License No.</w:t>
            </w:r>
          </w:p>
        </w:tc>
        <w:tc>
          <w:tcPr>
            <w:tcW w:w="100" w:type="dxa"/>
            <w:vAlign w:val="bottom"/>
          </w:tcPr>
          <w:p>
            <w:pPr>
              <w:spacing w:after="0"/>
              <w:rPr>
                <w:sz w:val="21"/>
                <w:szCs w:val="21"/>
                <w:color w:val="auto"/>
              </w:rPr>
            </w:pPr>
          </w:p>
        </w:tc>
        <w:tc>
          <w:tcPr>
            <w:tcW w:w="1840" w:type="dxa"/>
            <w:vAlign w:val="bottom"/>
            <w:gridSpan w:val="7"/>
          </w:tcPr>
          <w:p>
            <w:pPr>
              <w:ind w:left="100"/>
              <w:spacing w:after="0"/>
              <w:rPr>
                <w:sz w:val="20"/>
                <w:szCs w:val="20"/>
                <w:color w:val="auto"/>
              </w:rPr>
            </w:pPr>
            <w:r>
              <w:rPr>
                <w:rFonts w:ascii="Arial" w:cs="Arial" w:eastAsia="Arial" w:hAnsi="Arial"/>
                <w:sz w:val="18"/>
                <w:szCs w:val="18"/>
                <w:color w:val="0000FF"/>
                <w:w w:val="97"/>
              </w:rPr>
              <w:t xml:space="preserve">01012355 </w:t>
            </w:r>
            <w:r>
              <w:rPr>
                <w:rFonts w:ascii="Arial" w:cs="Arial" w:eastAsia="Arial" w:hAnsi="Arial"/>
                <w:sz w:val="14"/>
                <w:szCs w:val="14"/>
                <w:color w:val="000000"/>
                <w:w w:val="97"/>
              </w:rPr>
              <w:t>is (check one):</w:t>
            </w:r>
          </w:p>
        </w:tc>
        <w:tc>
          <w:tcPr>
            <w:tcW w:w="5620" w:type="dxa"/>
            <w:vAlign w:val="bottom"/>
            <w:gridSpan w:val="2"/>
          </w:tcPr>
          <w:p>
            <w:pPr>
              <w:ind w:left="140"/>
              <w:spacing w:after="0"/>
              <w:rPr>
                <w:sz w:val="20"/>
                <w:szCs w:val="20"/>
                <w:color w:val="auto"/>
              </w:rPr>
            </w:pPr>
            <w:r>
              <w:rPr>
                <w:rFonts w:ascii="Arial" w:cs="Arial" w:eastAsia="Arial" w:hAnsi="Arial"/>
                <w:sz w:val="14"/>
                <w:szCs w:val="14"/>
                <w:color w:val="auto"/>
                <w:w w:val="98"/>
              </w:rPr>
              <w:t>the Lessee's Agent (salesperson or broker associate); or both the Lessee's Agent and the</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20"/>
                <w:szCs w:val="20"/>
                <w:color w:val="auto"/>
              </w:rPr>
            </w:pPr>
            <w:r>
              <w:rPr>
                <w:rFonts w:ascii="Arial" w:cs="Arial" w:eastAsia="Arial" w:hAnsi="Arial"/>
                <w:sz w:val="14"/>
                <w:szCs w:val="14"/>
                <w:color w:val="auto"/>
                <w:w w:val="97"/>
              </w:rPr>
              <w:t>Lessor's Agent (dual</w:t>
            </w:r>
          </w:p>
        </w:tc>
        <w:tc>
          <w:tcPr>
            <w:tcW w:w="560" w:type="dxa"/>
            <w:vAlign w:val="bottom"/>
            <w:tcBorders>
              <w:top w:val="single" w:sz="8" w:color="0000FF"/>
            </w:tcBorders>
          </w:tcPr>
          <w:p>
            <w:pPr>
              <w:ind w:left="20"/>
              <w:spacing w:after="0"/>
              <w:rPr>
                <w:sz w:val="20"/>
                <w:szCs w:val="20"/>
                <w:color w:val="auto"/>
              </w:rPr>
            </w:pPr>
            <w:r>
              <w:rPr>
                <w:rFonts w:ascii="Arial" w:cs="Arial" w:eastAsia="Arial" w:hAnsi="Arial"/>
                <w:sz w:val="14"/>
                <w:szCs w:val="14"/>
                <w:color w:val="auto"/>
              </w:rPr>
              <w:t>agent).</w:t>
            </w:r>
          </w:p>
        </w:tc>
        <w:tc>
          <w:tcPr>
            <w:tcW w:w="4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600" w:hanging="740"/>
        <w:spacing w:after="0"/>
        <w:tabs>
          <w:tab w:leader="none" w:pos="1600" w:val="left"/>
        </w:tabs>
        <w:numPr>
          <w:ilvl w:val="0"/>
          <w:numId w:val="87"/>
        </w:numPr>
        <w:rPr>
          <w:rFonts w:ascii="Arial" w:cs="Arial" w:eastAsia="Arial" w:hAnsi="Arial"/>
          <w:sz w:val="13"/>
          <w:szCs w:val="13"/>
          <w:color w:val="auto"/>
        </w:rPr>
      </w:pPr>
      <w:r>
        <w:rPr>
          <w:rFonts w:ascii="Arial" w:cs="Arial" w:eastAsia="Arial" w:hAnsi="Arial"/>
          <w:sz w:val="13"/>
          <w:szCs w:val="13"/>
          <w:b w:val="1"/>
          <w:bCs w:val="1"/>
          <w:color w:val="auto"/>
        </w:rPr>
        <w:t xml:space="preserve">Payment to Brokers. </w:t>
      </w:r>
      <w:r>
        <w:rPr>
          <w:rFonts w:ascii="Arial" w:cs="Arial" w:eastAsia="Arial" w:hAnsi="Arial"/>
          <w:sz w:val="13"/>
          <w:szCs w:val="13"/>
          <w:color w:val="auto"/>
        </w:rPr>
        <w:t>Upon execution and delivery of this Lease by both Parties, Lessor shall pay to the Brokers the brokerage fee agreed to in a separate written</w:t>
      </w:r>
    </w:p>
    <w:p>
      <w:pPr>
        <w:spacing w:after="0" w:line="9" w:lineRule="exact"/>
        <w:rPr>
          <w:rFonts w:ascii="Arial" w:cs="Arial" w:eastAsia="Arial" w:hAnsi="Arial"/>
          <w:sz w:val="16"/>
          <w:szCs w:val="16"/>
          <w:u w:val="single" w:color="auto"/>
          <w:color w:val="0000FF"/>
        </w:rPr>
      </w:pPr>
    </w:p>
    <w:tbl>
      <w:tblPr>
        <w:tblLayout w:type="fixed"/>
        <w:tblInd w:w="120" w:type="dxa"/>
        <w:tblCellMar>
          <w:top w:w="0" w:type="dxa"/>
          <w:left w:w="0" w:type="dxa"/>
          <w:bottom w:w="0" w:type="dxa"/>
          <w:right w:w="0" w:type="dxa"/>
        </w:tblCellMar>
      </w:tblPr>
      <w:tr>
        <w:trPr>
          <w:trHeight w:val="161"/>
        </w:trPr>
        <w:tc>
          <w:tcPr>
            <w:tcW w:w="3440" w:type="dxa"/>
            <w:vAlign w:val="bottom"/>
            <w:gridSpan w:val="4"/>
          </w:tcPr>
          <w:p>
            <w:pPr>
              <w:spacing w:after="0"/>
              <w:rPr>
                <w:sz w:val="20"/>
                <w:szCs w:val="20"/>
                <w:color w:val="auto"/>
              </w:rPr>
            </w:pPr>
            <w:r>
              <w:rPr>
                <w:rFonts w:ascii="Arial" w:cs="Arial" w:eastAsia="Arial" w:hAnsi="Arial"/>
                <w:sz w:val="14"/>
                <w:szCs w:val="14"/>
                <w:color w:val="auto"/>
                <w:w w:val="98"/>
              </w:rPr>
              <w:t>agreement (or if there is no such agreement, the sum of</w:t>
            </w:r>
          </w:p>
        </w:tc>
        <w:tc>
          <w:tcPr>
            <w:tcW w:w="160" w:type="dxa"/>
            <w:vAlign w:val="bottom"/>
          </w:tcPr>
          <w:p>
            <w:pPr>
              <w:spacing w:after="0"/>
              <w:rPr>
                <w:sz w:val="20"/>
                <w:szCs w:val="20"/>
                <w:color w:val="auto"/>
              </w:rPr>
            </w:pPr>
            <w:r>
              <w:rPr>
                <w:rFonts w:ascii="Arial" w:cs="Arial" w:eastAsia="Arial" w:hAnsi="Arial"/>
                <w:sz w:val="14"/>
                <w:szCs w:val="14"/>
                <w:color w:val="auto"/>
                <w:w w:val="96"/>
              </w:rPr>
              <w:t>or</w:t>
            </w:r>
          </w:p>
        </w:tc>
        <w:tc>
          <w:tcPr>
            <w:tcW w:w="140" w:type="dxa"/>
            <w:vAlign w:val="bottom"/>
          </w:tcPr>
          <w:p>
            <w:pPr>
              <w:spacing w:after="0"/>
              <w:rPr>
                <w:sz w:val="14"/>
                <w:szCs w:val="14"/>
                <w:color w:val="auto"/>
              </w:rPr>
            </w:pPr>
          </w:p>
        </w:tc>
        <w:tc>
          <w:tcPr>
            <w:tcW w:w="4420" w:type="dxa"/>
            <w:vAlign w:val="bottom"/>
            <w:gridSpan w:val="4"/>
          </w:tcPr>
          <w:p>
            <w:pPr>
              <w:spacing w:after="0"/>
              <w:rPr>
                <w:sz w:val="20"/>
                <w:szCs w:val="20"/>
                <w:color w:val="auto"/>
              </w:rPr>
            </w:pPr>
            <w:r>
              <w:rPr>
                <w:rFonts w:ascii="Arial" w:cs="Arial" w:eastAsia="Arial" w:hAnsi="Arial"/>
                <w:sz w:val="14"/>
                <w:szCs w:val="14"/>
                <w:color w:val="auto"/>
                <w:w w:val="91"/>
              </w:rPr>
              <w:t>% of the total Base Rent) for the brokerage services rendered by the Brokers.</w:t>
            </w:r>
          </w:p>
        </w:tc>
      </w:tr>
      <w:tr>
        <w:trPr>
          <w:trHeight w:val="20"/>
        </w:trPr>
        <w:tc>
          <w:tcPr>
            <w:tcW w:w="2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5"/>
        </w:trPr>
        <w:tc>
          <w:tcPr>
            <w:tcW w:w="8160" w:type="dxa"/>
            <w:vAlign w:val="bottom"/>
            <w:gridSpan w:val="10"/>
          </w:tcPr>
          <w:p>
            <w:pPr>
              <w:ind w:left="360"/>
              <w:spacing w:after="0" w:line="155" w:lineRule="exact"/>
              <w:rPr>
                <w:sz w:val="20"/>
                <w:szCs w:val="20"/>
                <w:color w:val="auto"/>
              </w:rPr>
            </w:pPr>
            <w:r>
              <w:rPr>
                <w:rFonts w:ascii="Arial" w:cs="Arial" w:eastAsia="Arial" w:hAnsi="Arial"/>
                <w:sz w:val="14"/>
                <w:szCs w:val="14"/>
                <w:color w:val="auto"/>
                <w:w w:val="96"/>
              </w:rPr>
              <w:t xml:space="preserve">1.11  </w:t>
            </w:r>
            <w:r>
              <w:rPr>
                <w:rFonts w:ascii="Arial" w:cs="Arial" w:eastAsia="Arial" w:hAnsi="Arial"/>
                <w:sz w:val="14"/>
                <w:szCs w:val="14"/>
                <w:b w:val="1"/>
                <w:bCs w:val="1"/>
                <w:color w:val="auto"/>
                <w:w w:val="96"/>
              </w:rPr>
              <w:t>Guarantor.</w:t>
            </w:r>
            <w:r>
              <w:rPr>
                <w:rFonts w:ascii="Arial" w:cs="Arial" w:eastAsia="Arial" w:hAnsi="Arial"/>
                <w:sz w:val="14"/>
                <w:szCs w:val="14"/>
                <w:color w:val="auto"/>
                <w:w w:val="96"/>
              </w:rPr>
              <w:t xml:space="preserve"> The obligations of the Lessee under this Lease are to be guaranteed by  ("</w:t>
            </w:r>
            <w:r>
              <w:rPr>
                <w:rFonts w:ascii="Arial" w:cs="Arial" w:eastAsia="Arial" w:hAnsi="Arial"/>
                <w:sz w:val="14"/>
                <w:szCs w:val="14"/>
                <w:b w:val="1"/>
                <w:bCs w:val="1"/>
                <w:color w:val="auto"/>
                <w:w w:val="96"/>
              </w:rPr>
              <w:t>Guarantor</w:t>
            </w:r>
            <w:r>
              <w:rPr>
                <w:rFonts w:ascii="Arial" w:cs="Arial" w:eastAsia="Arial" w:hAnsi="Arial"/>
                <w:sz w:val="14"/>
                <w:szCs w:val="14"/>
                <w:color w:val="auto"/>
                <w:w w:val="96"/>
              </w:rPr>
              <w:t>"). (See also Paragraph 37)</w:t>
            </w:r>
          </w:p>
        </w:tc>
      </w:tr>
      <w:tr>
        <w:trPr>
          <w:trHeight w:val="20"/>
        </w:trPr>
        <w:tc>
          <w:tcPr>
            <w:tcW w:w="2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25"/>
        </w:trPr>
        <w:tc>
          <w:tcPr>
            <w:tcW w:w="8160" w:type="dxa"/>
            <w:vAlign w:val="bottom"/>
            <w:gridSpan w:val="10"/>
          </w:tcPr>
          <w:p>
            <w:pPr>
              <w:ind w:left="360"/>
              <w:spacing w:after="0"/>
              <w:rPr>
                <w:sz w:val="20"/>
                <w:szCs w:val="20"/>
                <w:color w:val="auto"/>
              </w:rPr>
            </w:pPr>
            <w:r>
              <w:rPr>
                <w:rFonts w:ascii="Arial" w:cs="Arial" w:eastAsia="Arial" w:hAnsi="Arial"/>
                <w:sz w:val="14"/>
                <w:szCs w:val="14"/>
                <w:color w:val="auto"/>
              </w:rPr>
              <w:t>1.12</w:t>
            </w:r>
            <w:r>
              <w:rPr>
                <w:rFonts w:ascii="Arial" w:cs="Arial" w:eastAsia="Arial" w:hAnsi="Arial"/>
                <w:sz w:val="14"/>
                <w:szCs w:val="14"/>
                <w:b w:val="1"/>
                <w:bCs w:val="1"/>
                <w:color w:val="auto"/>
              </w:rPr>
              <w:t>Attachments.</w:t>
            </w:r>
            <w:r>
              <w:rPr>
                <w:rFonts w:ascii="Arial" w:cs="Arial" w:eastAsia="Arial" w:hAnsi="Arial"/>
                <w:sz w:val="14"/>
                <w:szCs w:val="14"/>
                <w:color w:val="auto"/>
              </w:rPr>
              <w:t xml:space="preserve"> Attached hereto are the following, all of which constitute a part of this Lease: an</w:t>
            </w:r>
          </w:p>
        </w:tc>
      </w:tr>
      <w:tr>
        <w:trPr>
          <w:trHeight w:val="241"/>
        </w:trPr>
        <w:tc>
          <w:tcPr>
            <w:tcW w:w="3600" w:type="dxa"/>
            <w:vAlign w:val="bottom"/>
            <w:gridSpan w:val="5"/>
          </w:tcPr>
          <w:p>
            <w:pPr>
              <w:ind w:left="560"/>
              <w:spacing w:after="0"/>
              <w:rPr>
                <w:sz w:val="20"/>
                <w:szCs w:val="20"/>
                <w:color w:val="auto"/>
              </w:rPr>
            </w:pPr>
            <w:r>
              <w:rPr>
                <w:rFonts w:ascii="Arial" w:cs="Arial" w:eastAsia="Arial" w:hAnsi="Arial"/>
                <w:sz w:val="14"/>
                <w:szCs w:val="14"/>
                <w:color w:val="auto"/>
                <w:w w:val="98"/>
              </w:rPr>
              <w:t xml:space="preserve">Addendum consisting of Paragraphs </w:t>
            </w:r>
            <w:r>
              <w:rPr>
                <w:rFonts w:ascii="Arial" w:cs="Arial" w:eastAsia="Arial" w:hAnsi="Arial"/>
                <w:sz w:val="17"/>
                <w:szCs w:val="17"/>
                <w:color w:val="0000FF"/>
                <w:w w:val="98"/>
              </w:rPr>
              <w:t>54</w:t>
            </w:r>
            <w:r>
              <w:rPr>
                <w:rFonts w:ascii="Arial" w:cs="Arial" w:eastAsia="Arial" w:hAnsi="Arial"/>
                <w:sz w:val="14"/>
                <w:szCs w:val="14"/>
                <w:color w:val="auto"/>
                <w:w w:val="98"/>
              </w:rPr>
              <w:t xml:space="preserve">  through</w:t>
            </w:r>
          </w:p>
        </w:tc>
        <w:tc>
          <w:tcPr>
            <w:tcW w:w="560" w:type="dxa"/>
            <w:vAlign w:val="bottom"/>
            <w:gridSpan w:val="2"/>
          </w:tcPr>
          <w:p>
            <w:pPr>
              <w:jc w:val="right"/>
              <w:ind w:right="248"/>
              <w:spacing w:after="0"/>
              <w:rPr>
                <w:sz w:val="20"/>
                <w:szCs w:val="20"/>
                <w:color w:val="auto"/>
              </w:rPr>
            </w:pPr>
            <w:r>
              <w:rPr>
                <w:rFonts w:ascii="Arial" w:cs="Arial" w:eastAsia="Arial" w:hAnsi="Arial"/>
                <w:sz w:val="18"/>
                <w:szCs w:val="18"/>
                <w:color w:val="0000FF"/>
              </w:rPr>
              <w:t>58</w:t>
            </w:r>
          </w:p>
        </w:tc>
        <w:tc>
          <w:tcPr>
            <w:tcW w:w="1340" w:type="dxa"/>
            <w:vAlign w:val="bottom"/>
          </w:tcPr>
          <w:p>
            <w:pPr>
              <w:jc w:val="right"/>
              <w:ind w:right="1249"/>
              <w:spacing w:after="0"/>
              <w:rPr>
                <w:sz w:val="20"/>
                <w:szCs w:val="20"/>
                <w:color w:val="auto"/>
              </w:rPr>
            </w:pPr>
            <w:r>
              <w:rPr>
                <w:rFonts w:ascii="Arial" w:cs="Arial" w:eastAsia="Arial" w:hAnsi="Arial"/>
                <w:sz w:val="10"/>
                <w:szCs w:val="10"/>
                <w:color w:val="auto"/>
                <w:w w:val="70"/>
              </w:rPr>
              <w:t>;</w:t>
            </w:r>
          </w:p>
        </w:tc>
        <w:tc>
          <w:tcPr>
            <w:tcW w:w="12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0"/>
        </w:trPr>
        <w:tc>
          <w:tcPr>
            <w:tcW w:w="26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3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INITIALS</w:t>
      </w:r>
    </w:p>
    <w:p>
      <w:pPr>
        <w:spacing w:after="0" w:line="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ind w:right="20"/>
        <w:spacing w:after="0"/>
        <w:rPr>
          <w:sz w:val="20"/>
          <w:szCs w:val="20"/>
          <w:color w:val="auto"/>
        </w:rPr>
      </w:pPr>
      <w:r>
        <w:rPr>
          <w:rFonts w:ascii="Arial" w:cs="Arial" w:eastAsia="Arial" w:hAnsi="Arial"/>
          <w:sz w:val="16"/>
          <w:szCs w:val="16"/>
          <w:color w:val="auto"/>
        </w:rPr>
        <w:t>Last Edited: 3/7/2022 11:23 AM</w:t>
      </w:r>
    </w:p>
    <w:p>
      <w:pPr>
        <w:spacing w:after="0" w:line="32" w:lineRule="exact"/>
        <w:rPr>
          <w:rFonts w:ascii="Arial" w:cs="Arial" w:eastAsia="Arial" w:hAnsi="Arial"/>
          <w:sz w:val="16"/>
          <w:szCs w:val="16"/>
          <w:u w:val="single" w:color="auto"/>
          <w:color w:val="0000FF"/>
        </w:rPr>
      </w:pPr>
    </w:p>
    <w:p>
      <w:pPr>
        <w:jc w:val="right"/>
        <w:ind w:right="20"/>
        <w:spacing w:after="0"/>
        <w:rPr>
          <w:sz w:val="20"/>
          <w:szCs w:val="20"/>
          <w:color w:val="auto"/>
        </w:rPr>
      </w:pPr>
      <w:r>
        <w:rPr>
          <w:rFonts w:ascii="Arial" w:cs="Arial" w:eastAsia="Arial" w:hAnsi="Arial"/>
          <w:sz w:val="16"/>
          <w:szCs w:val="16"/>
          <w:color w:val="auto"/>
        </w:rPr>
        <w:t>Page 1 of 18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64" w:name="page165"/>
    <w:bookmarkEnd w:id="164"/>
    <w:p>
      <w:pPr>
        <w:ind w:left="820"/>
        <w:spacing w:after="0"/>
        <w:rPr>
          <w:sz w:val="20"/>
          <w:szCs w:val="20"/>
          <w:color w:val="auto"/>
        </w:rPr>
      </w:pPr>
      <w:r>
        <w:rPr>
          <w:rFonts w:ascii="Arial" w:cs="Arial" w:eastAsia="Arial" w:hAnsi="Arial"/>
          <w:sz w:val="14"/>
          <w:szCs w:val="14"/>
          <w:color w:val="auto"/>
        </w:rPr>
        <w:t>a site plan depicting the Premises; a</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site plan depicting the Project;</w:t>
      </w:r>
    </w:p>
    <w:p>
      <w:pPr>
        <w:spacing w:after="0" w:line="4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 current set of the Rules and Regulations for the Project;</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 current set of the Rules and Regulations adopted by the owners' association; a Work</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Letter;</w:t>
      </w:r>
    </w:p>
    <w:p>
      <w:pPr>
        <w:spacing w:after="0" w:line="21"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4"/>
          <w:szCs w:val="14"/>
          <w:color w:val="auto"/>
        </w:rPr>
        <w:t>other (specify):</w:t>
      </w:r>
      <w:r>
        <w:rPr>
          <w:sz w:val="20"/>
          <w:szCs w:val="20"/>
          <w:color w:val="auto"/>
        </w:rPr>
        <w:tab/>
      </w:r>
      <w:r>
        <w:rPr>
          <w:rFonts w:ascii="Arial" w:cs="Arial" w:eastAsia="Arial" w:hAnsi="Arial"/>
          <w:sz w:val="16"/>
          <w:szCs w:val="16"/>
          <w:u w:val="single" w:color="auto"/>
          <w:color w:val="0000FF"/>
        </w:rPr>
        <w:t>Rent Adjustments (Paragraph 50); Option to Extend (Paragraph 51);</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FF"/>
        </w:rPr>
        <w:t>Arbitration Agreement (Paragraph 52); Right of First Refusal to Lease Additional Space (Paragraph 53); Exhibit A - Site Plan</w:t>
      </w:r>
      <w:r>
        <w:rPr>
          <w:rFonts w:ascii="Arial" w:cs="Arial" w:eastAsia="Arial" w:hAnsi="Arial"/>
          <w:sz w:val="18"/>
          <w:szCs w:val="18"/>
          <w:color w:val="0000FF"/>
        </w:rPr>
        <w:t xml:space="preserve"> </w:t>
      </w:r>
      <w:r>
        <w:rPr>
          <w:rFonts w:ascii="Arial" w:cs="Arial" w:eastAsia="Arial" w:hAnsi="Arial"/>
          <w:sz w:val="14"/>
          <w:szCs w:val="14"/>
          <w:color w:val="000000"/>
        </w:rPr>
        <w:t>.</w:t>
      </w:r>
    </w:p>
    <w:p>
      <w:pPr>
        <w:spacing w:after="0" w:line="81" w:lineRule="exact"/>
        <w:rPr>
          <w:sz w:val="20"/>
          <w:szCs w:val="20"/>
          <w:color w:val="auto"/>
        </w:rPr>
      </w:pPr>
    </w:p>
    <w:p>
      <w:pPr>
        <w:ind w:left="500" w:hanging="388"/>
        <w:spacing w:after="0"/>
        <w:tabs>
          <w:tab w:leader="none" w:pos="50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Premises.</w:t>
      </w:r>
    </w:p>
    <w:p>
      <w:pPr>
        <w:spacing w:after="0" w:line="25" w:lineRule="exact"/>
        <w:rPr>
          <w:sz w:val="20"/>
          <w:szCs w:val="20"/>
          <w:color w:val="auto"/>
        </w:rPr>
      </w:pPr>
    </w:p>
    <w:p>
      <w:pPr>
        <w:ind w:left="120" w:right="500" w:firstLine="374"/>
        <w:spacing w:after="0" w:line="261"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Letting</w:t>
      </w:r>
      <w:r>
        <w:rPr>
          <w:rFonts w:ascii="Arial" w:cs="Arial" w:eastAsia="Arial" w:hAnsi="Arial"/>
          <w:sz w:val="14"/>
          <w:szCs w:val="14"/>
          <w:color w:val="auto"/>
        </w:rPr>
        <w:t xml:space="preserve">.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diﬀerent. </w:t>
      </w:r>
      <w:r>
        <w:rPr>
          <w:rFonts w:ascii="Arial" w:cs="Arial" w:eastAsia="Arial" w:hAnsi="Arial"/>
          <w:sz w:val="14"/>
          <w:szCs w:val="14"/>
          <w:b w:val="1"/>
          <w:bCs w:val="1"/>
          <w:color w:val="auto"/>
        </w:rPr>
        <w:t>NOTE: Lessee is advised to verify the actual size prior to</w:t>
      </w:r>
      <w:r>
        <w:rPr>
          <w:rFonts w:ascii="Arial" w:cs="Arial" w:eastAsia="Arial" w:hAnsi="Arial"/>
          <w:sz w:val="14"/>
          <w:szCs w:val="14"/>
          <w:color w:val="auto"/>
        </w:rPr>
        <w:t xml:space="preserve"> </w:t>
      </w:r>
      <w:r>
        <w:rPr>
          <w:rFonts w:ascii="Arial" w:cs="Arial" w:eastAsia="Arial" w:hAnsi="Arial"/>
          <w:sz w:val="14"/>
          <w:szCs w:val="14"/>
          <w:b w:val="1"/>
          <w:bCs w:val="1"/>
          <w:color w:val="auto"/>
        </w:rPr>
        <w:t>executing this Lease.</w:t>
      </w:r>
    </w:p>
    <w:p>
      <w:pPr>
        <w:spacing w:after="0" w:line="2" w:lineRule="exact"/>
        <w:rPr>
          <w:sz w:val="20"/>
          <w:szCs w:val="20"/>
          <w:color w:val="auto"/>
        </w:rPr>
      </w:pPr>
    </w:p>
    <w:p>
      <w:pPr>
        <w:ind w:left="120" w:right="220" w:firstLine="374"/>
        <w:spacing w:after="0" w:line="279"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color w:val="auto"/>
        </w:rPr>
        <w:t>Condition</w:t>
      </w:r>
      <w:r>
        <w:rPr>
          <w:rFonts w:ascii="Arial" w:cs="Arial" w:eastAsia="Arial" w:hAnsi="Arial"/>
          <w:sz w:val="13"/>
          <w:szCs w:val="13"/>
          <w:color w:val="auto"/>
        </w:rPr>
        <w:t>. Lessor shall deliver that portion of the Premises contained within the Building ("</w:t>
      </w:r>
      <w:r>
        <w:rPr>
          <w:rFonts w:ascii="Arial" w:cs="Arial" w:eastAsia="Arial" w:hAnsi="Arial"/>
          <w:sz w:val="13"/>
          <w:szCs w:val="13"/>
          <w:b w:val="1"/>
          <w:bCs w:val="1"/>
          <w:color w:val="auto"/>
        </w:rPr>
        <w:t>Unit</w:t>
      </w:r>
      <w:r>
        <w:rPr>
          <w:rFonts w:ascii="Arial" w:cs="Arial" w:eastAsia="Arial" w:hAnsi="Arial"/>
          <w:sz w:val="13"/>
          <w:szCs w:val="13"/>
          <w:color w:val="auto"/>
        </w:rPr>
        <w:t>") to Lessee broom clean and free of debris on the Commencement Date or the Early Possession Date, whichever first occurs ("</w:t>
      </w:r>
      <w:r>
        <w:rPr>
          <w:rFonts w:ascii="Arial" w:cs="Arial" w:eastAsia="Arial" w:hAnsi="Arial"/>
          <w:sz w:val="13"/>
          <w:szCs w:val="13"/>
          <w:b w:val="1"/>
          <w:bCs w:val="1"/>
          <w:color w:val="auto"/>
        </w:rPr>
        <w:t>Start Date</w:t>
      </w:r>
      <w:r>
        <w:rPr>
          <w:rFonts w:ascii="Arial" w:cs="Arial" w:eastAsia="Arial" w:hAnsi="Arial"/>
          <w:sz w:val="13"/>
          <w:szCs w:val="13"/>
          <w:color w:val="auto"/>
        </w:rPr>
        <w:t>"), and, so long as the required service contracts described in Paragraph 7.1(b) below are obtained by Lessee and in eﬀect within thirty days following the Start Date, warrants that the existing electrical, plumbing, fire sprinkler, lighting, heating, ventilating and air conditioning systems ("</w:t>
      </w:r>
      <w:r>
        <w:rPr>
          <w:rFonts w:ascii="Arial" w:cs="Arial" w:eastAsia="Arial" w:hAnsi="Arial"/>
          <w:sz w:val="13"/>
          <w:szCs w:val="13"/>
          <w:b w:val="1"/>
          <w:bCs w:val="1"/>
          <w:color w:val="auto"/>
        </w:rPr>
        <w:t>HVAC</w:t>
      </w:r>
      <w:r>
        <w:rPr>
          <w:rFonts w:ascii="Arial" w:cs="Arial" w:eastAsia="Arial" w:hAnsi="Arial"/>
          <w:sz w:val="13"/>
          <w:szCs w:val="13"/>
          <w:color w:val="auto"/>
        </w:rPr>
        <w:t>"), loading doors, sump pumps, if any, and all other such elements in the Unit, other than those constructed by Lessee, shall be in good operating condition on said date, that the structural elements of the roof, bearing walls and foundation of the Unit shall be free of material defects, and that the Unit does not contain hazardous levels of any mold or fungi defined as toxic under applicable state or federal law. If a noncompliance with such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 (except for the repairs to the fire sprinkler systems, roof, foundations, and/or bearing walls see Paragraph 7). Lessor also warrants, that unless otherwise specified in writing, Lessor is unaware of (i) any recorded Notices of Default aﬀecting the Premise; (ii) any delinquent amounts due under any loan secured by the Premises; and</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(iii) any bankruptcy proceeding aﬀecting the Premises.</w:t>
      </w:r>
    </w:p>
    <w:p>
      <w:pPr>
        <w:spacing w:after="0" w:line="18" w:lineRule="exact"/>
        <w:rPr>
          <w:sz w:val="20"/>
          <w:szCs w:val="20"/>
          <w:color w:val="auto"/>
        </w:rPr>
      </w:pPr>
    </w:p>
    <w:p>
      <w:pPr>
        <w:ind w:left="120" w:right="200" w:firstLine="374"/>
        <w:spacing w:after="0" w:line="27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color w:val="auto"/>
        </w:rPr>
        <w:t>Compliance</w:t>
      </w:r>
      <w:r>
        <w:rPr>
          <w:rFonts w:ascii="Arial" w:cs="Arial" w:eastAsia="Arial" w:hAnsi="Arial"/>
          <w:sz w:val="13"/>
          <w:szCs w:val="13"/>
          <w:color w:val="auto"/>
        </w:rPr>
        <w:t>. Lessor warrants that to the best of its knowledge the improvements on the Premises comply with the building codes, applicable laws, covenants or restrictions of record, regulations, and ordinances ("</w:t>
      </w:r>
      <w:r>
        <w:rPr>
          <w:rFonts w:ascii="Arial" w:cs="Arial" w:eastAsia="Arial" w:hAnsi="Arial"/>
          <w:sz w:val="13"/>
          <w:szCs w:val="13"/>
          <w:b w:val="1"/>
          <w:bCs w:val="1"/>
          <w:color w:val="auto"/>
        </w:rPr>
        <w:t>Applicable Requirements</w:t>
      </w:r>
      <w:r>
        <w:rPr>
          <w:rFonts w:ascii="Arial" w:cs="Arial" w:eastAsia="Arial" w:hAnsi="Arial"/>
          <w:sz w:val="13"/>
          <w:szCs w:val="13"/>
          <w:color w:val="auto"/>
        </w:rPr>
        <w:t xml:space="preserve">") that were in eﬀect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Arial" w:cs="Arial" w:eastAsia="Arial" w:hAnsi="Arial"/>
          <w:sz w:val="13"/>
          <w:szCs w:val="13"/>
          <w:b w:val="1"/>
          <w:bCs w:val="1"/>
          <w:color w:val="auto"/>
        </w:rPr>
        <w:t>NOTE: Lessee is responsible for determining whether or not the Applicable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Requirements, and especially the zoning are appropriate for Lessee's intended use, and acknowledges that past uses of the Premises may no longer be allowed. </w:t>
      </w:r>
      <w:r>
        <w:rPr>
          <w:rFonts w:ascii="Arial" w:cs="Arial" w:eastAsia="Arial" w:hAnsi="Arial"/>
          <w:sz w:val="13"/>
          <w:szCs w:val="13"/>
          <w:color w:val="auto"/>
        </w:rPr>
        <w:t>If the Premises do</w:t>
      </w:r>
      <w:r>
        <w:rPr>
          <w:rFonts w:ascii="Arial" w:cs="Arial" w:eastAsia="Arial" w:hAnsi="Arial"/>
          <w:sz w:val="13"/>
          <w:szCs w:val="13"/>
          <w:b w:val="1"/>
          <w:bCs w:val="1"/>
          <w:color w:val="auto"/>
        </w:rPr>
        <w:t xml:space="preserve"> </w:t>
      </w:r>
      <w:r>
        <w:rPr>
          <w:rFonts w:ascii="Arial" w:cs="Arial" w:eastAsia="Arial" w:hAnsi="Arial"/>
          <w:sz w:val="13"/>
          <w:szCs w:val="13"/>
          <w:color w:val="auto"/>
        </w:rPr>
        <w:t>not comply with said warranty, Lessor shall, except as otherwise provided, promptly after receipt of written notice from Lessee setting forth with specificity the nature and extent of such non 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Premises and/or Building, the remediation of any Hazardous Substance, or the reinforcement or other physical modification of the Unit, Premises and/or Building ("</w:t>
      </w:r>
      <w:r>
        <w:rPr>
          <w:rFonts w:ascii="Arial" w:cs="Arial" w:eastAsia="Arial" w:hAnsi="Arial"/>
          <w:sz w:val="13"/>
          <w:szCs w:val="13"/>
          <w:b w:val="1"/>
          <w:bCs w:val="1"/>
          <w:color w:val="auto"/>
        </w:rPr>
        <w:t>Capital Expenditure</w:t>
      </w:r>
      <w:r>
        <w:rPr>
          <w:rFonts w:ascii="Arial" w:cs="Arial" w:eastAsia="Arial" w:hAnsi="Arial"/>
          <w:sz w:val="13"/>
          <w:szCs w:val="13"/>
          <w:color w:val="auto"/>
        </w:rPr>
        <w:t>"), Lessor and Lessee shall allocate the cost of such work as follows:</w:t>
      </w:r>
    </w:p>
    <w:p>
      <w:pPr>
        <w:spacing w:after="0" w:line="6" w:lineRule="exact"/>
        <w:rPr>
          <w:sz w:val="20"/>
          <w:szCs w:val="20"/>
          <w:color w:val="auto"/>
        </w:rPr>
      </w:pPr>
    </w:p>
    <w:p>
      <w:pPr>
        <w:ind w:left="1220" w:hanging="360"/>
        <w:spacing w:after="0"/>
        <w:tabs>
          <w:tab w:leader="none" w:pos="1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Subject to Paragraph 2.3(c) below, if such Capital Expenditures are required as a result of the specific and unique use of the Premises by Lessee as</w:t>
      </w:r>
    </w:p>
    <w:p>
      <w:pPr>
        <w:spacing w:after="0" w:line="6" w:lineRule="exact"/>
        <w:rPr>
          <w:sz w:val="20"/>
          <w:szCs w:val="20"/>
          <w:color w:val="auto"/>
        </w:rPr>
      </w:pPr>
    </w:p>
    <w:p>
      <w:pPr>
        <w:ind w:left="120" w:right="180"/>
        <w:spacing w:after="0" w:line="280" w:lineRule="auto"/>
        <w:rPr>
          <w:sz w:val="20"/>
          <w:szCs w:val="20"/>
          <w:color w:val="auto"/>
        </w:rPr>
      </w:pPr>
      <w:r>
        <w:rPr>
          <w:rFonts w:ascii="Arial" w:cs="Arial" w:eastAsia="Arial" w:hAnsi="Arial"/>
          <w:sz w:val="13"/>
          <w:szCs w:val="13"/>
          <w:color w:val="auto"/>
        </w:rPr>
        <w:t>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diﬀerence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ind w:left="120" w:right="140" w:firstLine="740"/>
        <w:spacing w:after="0" w:line="303" w:lineRule="auto"/>
        <w:tabs>
          <w:tab w:leader="none" w:pos="1607" w:val="left"/>
        </w:tabs>
        <w:numPr>
          <w:ilvl w:val="0"/>
          <w:numId w:val="90"/>
        </w:numPr>
        <w:rPr>
          <w:rFonts w:ascii="Arial" w:cs="Arial" w:eastAsia="Arial" w:hAnsi="Arial"/>
          <w:sz w:val="12"/>
          <w:szCs w:val="12"/>
          <w:color w:val="auto"/>
        </w:rPr>
      </w:pPr>
      <w:r>
        <w:rPr>
          <w:rFonts w:ascii="Arial" w:cs="Arial" w:eastAsia="Arial" w:hAnsi="Arial"/>
          <w:sz w:val="12"/>
          <w:szCs w:val="12"/>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suﬃcient to fully reimburse Lessee on an oﬀset basis, Lessee shall have the right to terminate this Lease upon 30 days written notice to Lessor.</w:t>
      </w:r>
    </w:p>
    <w:p>
      <w:pPr>
        <w:spacing w:after="0" w:line="2" w:lineRule="exact"/>
        <w:rPr>
          <w:rFonts w:ascii="Arial" w:cs="Arial" w:eastAsia="Arial" w:hAnsi="Arial"/>
          <w:sz w:val="12"/>
          <w:szCs w:val="12"/>
          <w:color w:val="auto"/>
        </w:rPr>
      </w:pPr>
    </w:p>
    <w:p>
      <w:pPr>
        <w:ind w:left="120" w:right="280" w:firstLine="740"/>
        <w:spacing w:after="0" w:line="269" w:lineRule="auto"/>
        <w:tabs>
          <w:tab w:leader="none" w:pos="1601" w:val="left"/>
        </w:tabs>
        <w:numPr>
          <w:ilvl w:val="0"/>
          <w:numId w:val="90"/>
        </w:numPr>
        <w:rPr>
          <w:rFonts w:ascii="Arial" w:cs="Arial" w:eastAsia="Arial" w:hAnsi="Arial"/>
          <w:sz w:val="13"/>
          <w:szCs w:val="13"/>
          <w:color w:val="auto"/>
        </w:rPr>
      </w:pPr>
      <w:r>
        <w:rPr>
          <w:rFonts w:ascii="Arial" w:cs="Arial" w:eastAsia="Arial" w:hAnsi="Arial"/>
          <w:sz w:val="13"/>
          <w:szCs w:val="13"/>
          <w:color w:val="auto"/>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spacing w:after="0" w:line="2"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4"/>
          <w:szCs w:val="14"/>
          <w:color w:val="auto"/>
        </w:rPr>
        <w:t xml:space="preserve">2.4   </w:t>
      </w:r>
      <w:r>
        <w:rPr>
          <w:rFonts w:ascii="Arial" w:cs="Arial" w:eastAsia="Arial" w:hAnsi="Arial"/>
          <w:sz w:val="14"/>
          <w:szCs w:val="14"/>
          <w:b w:val="1"/>
          <w:bCs w:val="1"/>
          <w:color w:val="auto"/>
        </w:rPr>
        <w:t>Acknowledgements</w:t>
      </w:r>
      <w:r>
        <w:rPr>
          <w:rFonts w:ascii="Arial" w:cs="Arial" w:eastAsia="Arial" w:hAnsi="Arial"/>
          <w:sz w:val="14"/>
          <w:szCs w:val="14"/>
          <w:color w:val="auto"/>
        </w:rPr>
        <w:t>. Lessee acknowledges that: (a) it has been given an opportunity to inspect and measure the Premises; (b) it has been advised by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165" w:name="page166"/>
    <w:bookmarkEnd w:id="165"/>
    <w:p>
      <w:pPr>
        <w:ind w:left="120" w:right="220"/>
        <w:spacing w:after="0" w:line="283" w:lineRule="auto"/>
        <w:rPr>
          <w:sz w:val="20"/>
          <w:szCs w:val="20"/>
          <w:color w:val="auto"/>
        </w:rPr>
      </w:pPr>
      <w:r>
        <w:rPr>
          <w:rFonts w:ascii="Arial" w:cs="Arial" w:eastAsia="Arial" w:hAnsi="Arial"/>
          <w:sz w:val="13"/>
          <w:szCs w:val="13"/>
          <w:color w:val="auto"/>
        </w:rPr>
        <w:t>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1" w:lineRule="exact"/>
        <w:rPr>
          <w:sz w:val="20"/>
          <w:szCs w:val="20"/>
          <w:color w:val="auto"/>
        </w:rPr>
      </w:pPr>
    </w:p>
    <w:p>
      <w:pPr>
        <w:ind w:left="120" w:right="280" w:firstLine="374"/>
        <w:spacing w:after="0" w:line="261"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b w:val="1"/>
          <w:bCs w:val="1"/>
          <w:color w:val="auto"/>
        </w:rPr>
        <w:t>Lessee as Prior Owner/Occupant</w:t>
      </w:r>
      <w:r>
        <w:rPr>
          <w:rFonts w:ascii="Arial" w:cs="Arial" w:eastAsia="Arial" w:hAnsi="Arial"/>
          <w:sz w:val="14"/>
          <w:szCs w:val="14"/>
          <w:color w:val="auto"/>
        </w:rPr>
        <w:t>. The warranties made by Lessor in Paragraph 2 shall be of no force or eﬀect if immediately prior to the Start Date Lessee was the owner or occupant of the Premises. In such event, Lessee shall be responsible for any necessary corrective work.</w:t>
      </w:r>
    </w:p>
    <w:p>
      <w:pPr>
        <w:spacing w:after="0" w:line="1" w:lineRule="exact"/>
        <w:rPr>
          <w:sz w:val="20"/>
          <w:szCs w:val="20"/>
          <w:color w:val="auto"/>
        </w:rPr>
      </w:pPr>
    </w:p>
    <w:p>
      <w:pPr>
        <w:ind w:left="120" w:right="420" w:firstLine="374"/>
        <w:spacing w:after="0" w:line="278"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b w:val="1"/>
          <w:bCs w:val="1"/>
          <w:color w:val="auto"/>
        </w:rPr>
        <w:t>Vehicle Parking</w:t>
      </w:r>
      <w:r>
        <w:rPr>
          <w:rFonts w:ascii="Arial" w:cs="Arial" w:eastAsia="Arial" w:hAnsi="Arial"/>
          <w:sz w:val="13"/>
          <w:szCs w:val="13"/>
          <w:color w:val="auto"/>
        </w:rPr>
        <w:t>. Lessee shall be entitled to use the number of Parking Spaces specified in Paragraph 1.2(b) on those portions of the Common Areas designated from time to time by Lessor for parking. Lessee shall not use more parking spaces than said number. Said parking spaces shall be used for parking by vehicles no larger than fullsize passenger automobiles or pickup trucks, herein called "</w:t>
      </w:r>
      <w:r>
        <w:rPr>
          <w:rFonts w:ascii="Arial" w:cs="Arial" w:eastAsia="Arial" w:hAnsi="Arial"/>
          <w:sz w:val="13"/>
          <w:szCs w:val="13"/>
          <w:b w:val="1"/>
          <w:bCs w:val="1"/>
          <w:color w:val="auto"/>
        </w:rPr>
        <w:t>Permitted Size Vehicles</w:t>
      </w:r>
      <w:r>
        <w:rPr>
          <w:rFonts w:ascii="Arial" w:cs="Arial" w:eastAsia="Arial" w:hAnsi="Arial"/>
          <w:sz w:val="13"/>
          <w:szCs w:val="13"/>
          <w:color w:val="auto"/>
        </w:rPr>
        <w:t>." Lessor may regulate the loading and unloading of vehicles by adopting Rules and Regulations as provided in Paragraph 2.9. No vehicles other than Permitted Size Vehicles may be parked in the Common Area without the prior written permission of Lessor. In addition:</w:t>
      </w:r>
    </w:p>
    <w:p>
      <w:pPr>
        <w:spacing w:after="0" w:line="1" w:lineRule="exact"/>
        <w:rPr>
          <w:sz w:val="20"/>
          <w:szCs w:val="20"/>
          <w:color w:val="auto"/>
        </w:rPr>
      </w:pPr>
    </w:p>
    <w:p>
      <w:pPr>
        <w:ind w:left="120" w:right="800" w:firstLine="740"/>
        <w:spacing w:after="0" w:line="251" w:lineRule="auto"/>
        <w:tabs>
          <w:tab w:leader="none" w:pos="157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Lessee shall not permit or allow any vehicles that belong to or are controlled by Lessee or Lessee's employees, suppliers, shippers, customers, contractors or invitees to be loaded, unloaded, or parked in areas other than those designated by Lessor for such activities.</w:t>
      </w:r>
    </w:p>
    <w:p>
      <w:pPr>
        <w:ind w:left="1240" w:hanging="380"/>
        <w:spacing w:after="0"/>
        <w:tabs>
          <w:tab w:leader="none" w:pos="12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Lessee shall not service or store any vehicles in the Common Areas.</w:t>
      </w:r>
    </w:p>
    <w:p>
      <w:pPr>
        <w:spacing w:after="0" w:line="9" w:lineRule="exact"/>
        <w:rPr>
          <w:rFonts w:ascii="Arial" w:cs="Arial" w:eastAsia="Arial" w:hAnsi="Arial"/>
          <w:sz w:val="14"/>
          <w:szCs w:val="14"/>
          <w:color w:val="auto"/>
        </w:rPr>
      </w:pPr>
    </w:p>
    <w:p>
      <w:pPr>
        <w:ind w:left="120" w:right="220" w:firstLine="741"/>
        <w:spacing w:after="0" w:line="270" w:lineRule="auto"/>
        <w:tabs>
          <w:tab w:leader="none" w:pos="1605"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Lessee permits or allows any of the prohibited activities described in this Paragraph 2.6, then Lessor shall have the right, without notice, in addition to such other rights and remedies that it may have, to remove or tow away the vehicle involved and charge the cost to Lessee, which cost shall be immediately payable upon demand by Lessor.</w:t>
      </w:r>
    </w:p>
    <w:p>
      <w:pPr>
        <w:spacing w:after="0" w:line="1" w:lineRule="exact"/>
        <w:rPr>
          <w:rFonts w:ascii="Arial" w:cs="Arial" w:eastAsia="Arial" w:hAnsi="Arial"/>
          <w:sz w:val="13"/>
          <w:szCs w:val="13"/>
          <w:color w:val="auto"/>
        </w:rPr>
      </w:pPr>
    </w:p>
    <w:p>
      <w:pPr>
        <w:ind w:left="120" w:right="520" w:firstLine="373"/>
        <w:spacing w:after="0" w:line="256" w:lineRule="auto"/>
        <w:rPr>
          <w:rFonts w:ascii="Arial" w:cs="Arial" w:eastAsia="Arial" w:hAnsi="Arial"/>
          <w:sz w:val="13"/>
          <w:szCs w:val="13"/>
          <w:color w:val="auto"/>
        </w:rPr>
      </w:pPr>
      <w:r>
        <w:rPr>
          <w:rFonts w:ascii="Arial" w:cs="Arial" w:eastAsia="Arial" w:hAnsi="Arial"/>
          <w:sz w:val="14"/>
          <w:szCs w:val="14"/>
          <w:color w:val="auto"/>
        </w:rPr>
        <w:t xml:space="preserve">4.7 </w:t>
      </w:r>
      <w:r>
        <w:rPr>
          <w:rFonts w:ascii="Arial" w:cs="Arial" w:eastAsia="Arial" w:hAnsi="Arial"/>
          <w:sz w:val="14"/>
          <w:szCs w:val="14"/>
          <w:b w:val="1"/>
          <w:bCs w:val="1"/>
          <w:color w:val="auto"/>
        </w:rPr>
        <w:t>Common Areas Definition</w:t>
      </w:r>
      <w:r>
        <w:rPr>
          <w:rFonts w:ascii="Arial" w:cs="Arial" w:eastAsia="Arial" w:hAnsi="Arial"/>
          <w:sz w:val="14"/>
          <w:szCs w:val="14"/>
          <w:color w:val="auto"/>
        </w:rPr>
        <w:t>. The term "</w:t>
      </w:r>
      <w:r>
        <w:rPr>
          <w:rFonts w:ascii="Arial" w:cs="Arial" w:eastAsia="Arial" w:hAnsi="Arial"/>
          <w:sz w:val="14"/>
          <w:szCs w:val="14"/>
          <w:b w:val="1"/>
          <w:bCs w:val="1"/>
          <w:color w:val="auto"/>
        </w:rPr>
        <w:t>Common Areas</w:t>
      </w:r>
      <w:r>
        <w:rPr>
          <w:rFonts w:ascii="Arial" w:cs="Arial" w:eastAsia="Arial" w:hAnsi="Arial"/>
          <w:sz w:val="14"/>
          <w:szCs w:val="14"/>
          <w:color w:val="auto"/>
        </w:rPr>
        <w:t>" is defined as all areas and facilities outside the Premises and within the exterior boundary line of 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roofs, roadways, walkways, driveways and landscaped areas.</w:t>
      </w:r>
    </w:p>
    <w:p>
      <w:pPr>
        <w:spacing w:after="0" w:line="1" w:lineRule="exact"/>
        <w:rPr>
          <w:rFonts w:ascii="Arial" w:cs="Arial" w:eastAsia="Arial" w:hAnsi="Arial"/>
          <w:sz w:val="13"/>
          <w:szCs w:val="13"/>
          <w:color w:val="auto"/>
        </w:rPr>
      </w:pPr>
    </w:p>
    <w:p>
      <w:pPr>
        <w:ind w:left="120" w:right="240" w:firstLine="374"/>
        <w:spacing w:after="0" w:line="258" w:lineRule="auto"/>
        <w:rPr>
          <w:rFonts w:ascii="Arial" w:cs="Arial" w:eastAsia="Arial" w:hAnsi="Arial"/>
          <w:sz w:val="13"/>
          <w:szCs w:val="13"/>
          <w:color w:val="auto"/>
        </w:rPr>
      </w:pPr>
      <w:r>
        <w:rPr>
          <w:rFonts w:ascii="Arial" w:cs="Arial" w:eastAsia="Arial" w:hAnsi="Arial"/>
          <w:sz w:val="14"/>
          <w:szCs w:val="14"/>
          <w:color w:val="auto"/>
        </w:rPr>
        <w:t xml:space="preserve">4.8 </w:t>
      </w:r>
      <w:r>
        <w:rPr>
          <w:rFonts w:ascii="Arial" w:cs="Arial" w:eastAsia="Arial" w:hAnsi="Arial"/>
          <w:sz w:val="14"/>
          <w:szCs w:val="14"/>
          <w:b w:val="1"/>
          <w:bCs w:val="1"/>
          <w:color w:val="auto"/>
        </w:rPr>
        <w:t>Common Areas Lessee's Rights</w:t>
      </w:r>
      <w:r>
        <w:rPr>
          <w:rFonts w:ascii="Arial" w:cs="Arial" w:eastAsia="Arial" w:hAnsi="Arial"/>
          <w:sz w:val="14"/>
          <w:szCs w:val="14"/>
          <w:color w:val="auto"/>
        </w:rPr>
        <w:t>. 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spacing w:after="0" w:line="3" w:lineRule="exact"/>
        <w:rPr>
          <w:rFonts w:ascii="Arial" w:cs="Arial" w:eastAsia="Arial" w:hAnsi="Arial"/>
          <w:sz w:val="13"/>
          <w:szCs w:val="13"/>
          <w:color w:val="auto"/>
        </w:rPr>
      </w:pPr>
    </w:p>
    <w:p>
      <w:pPr>
        <w:ind w:left="120" w:right="140" w:firstLine="374"/>
        <w:spacing w:after="0" w:line="281" w:lineRule="auto"/>
        <w:rPr>
          <w:rFonts w:ascii="Arial" w:cs="Arial" w:eastAsia="Arial" w:hAnsi="Arial"/>
          <w:sz w:val="13"/>
          <w:szCs w:val="13"/>
          <w:color w:val="auto"/>
        </w:rPr>
      </w:pPr>
      <w:r>
        <w:rPr>
          <w:rFonts w:ascii="Arial" w:cs="Arial" w:eastAsia="Arial" w:hAnsi="Arial"/>
          <w:sz w:val="13"/>
          <w:szCs w:val="13"/>
          <w:color w:val="auto"/>
        </w:rPr>
        <w:t xml:space="preserve">4.9 </w:t>
      </w:r>
      <w:r>
        <w:rPr>
          <w:rFonts w:ascii="Arial" w:cs="Arial" w:eastAsia="Arial" w:hAnsi="Arial"/>
          <w:sz w:val="13"/>
          <w:szCs w:val="13"/>
          <w:b w:val="1"/>
          <w:bCs w:val="1"/>
          <w:color w:val="auto"/>
        </w:rPr>
        <w:t>Common Areas Rules and Regulations</w:t>
      </w:r>
      <w:r>
        <w:rPr>
          <w:rFonts w:ascii="Arial" w:cs="Arial" w:eastAsia="Arial" w:hAnsi="Arial"/>
          <w:sz w:val="13"/>
          <w:szCs w:val="13"/>
          <w:color w:val="auto"/>
        </w:rPr>
        <w:t>. Lessor or such other person(s) as Lessor may appoint shall have the exclusive control and management of the Common Areas and shall have the right, from time to time, to establish, modify, amend and enforce reasonable rules and regulations ("</w:t>
      </w:r>
      <w:r>
        <w:rPr>
          <w:rFonts w:ascii="Arial" w:cs="Arial" w:eastAsia="Arial" w:hAnsi="Arial"/>
          <w:sz w:val="13"/>
          <w:szCs w:val="13"/>
          <w:b w:val="1"/>
          <w:bCs w:val="1"/>
          <w:color w:val="auto"/>
        </w:rPr>
        <w:t>Rules and Regulations</w:t>
      </w:r>
      <w:r>
        <w:rPr>
          <w:rFonts w:ascii="Arial" w:cs="Arial" w:eastAsia="Arial" w:hAnsi="Arial"/>
          <w:sz w:val="13"/>
          <w:szCs w:val="13"/>
          <w:color w:val="auto"/>
        </w:rPr>
        <w:t>") for the management, safety, care, and cleanliness of the grounds, the parking and unloading of vehicles and the preservation of good order, as well as for the convenience of other occupants or tenants of the Building and the Project and their invitees. Lessee agrees to abide by and conform to all such Rules and Regulations, and shall use its best eﬀorts to cause its employees, suppliers, shippers, customers, contractors and invitees to so abide and conform. Lessor shall not be responsible to Lessee for the noncompliance with said Rules and Regulations by other tenants of the Project.</w:t>
      </w:r>
    </w:p>
    <w:p>
      <w:pPr>
        <w:spacing w:after="0" w:line="2"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4"/>
          <w:szCs w:val="14"/>
          <w:color w:val="auto"/>
        </w:rPr>
        <w:t xml:space="preserve">4.10  </w:t>
      </w:r>
      <w:r>
        <w:rPr>
          <w:rFonts w:ascii="Arial" w:cs="Arial" w:eastAsia="Arial" w:hAnsi="Arial"/>
          <w:sz w:val="14"/>
          <w:szCs w:val="14"/>
          <w:b w:val="1"/>
          <w:bCs w:val="1"/>
          <w:color w:val="auto"/>
        </w:rPr>
        <w:t>Common Areas Changes</w:t>
      </w:r>
      <w:r>
        <w:rPr>
          <w:rFonts w:ascii="Arial" w:cs="Arial" w:eastAsia="Arial" w:hAnsi="Arial"/>
          <w:sz w:val="14"/>
          <w:szCs w:val="14"/>
          <w:color w:val="auto"/>
        </w:rPr>
        <w:t>. Lessor shall have the right, in Lessor's sole discretion, from time to time:</w:t>
      </w:r>
    </w:p>
    <w:p>
      <w:pPr>
        <w:spacing w:after="0" w:line="14" w:lineRule="exact"/>
        <w:rPr>
          <w:rFonts w:ascii="Arial" w:cs="Arial" w:eastAsia="Arial" w:hAnsi="Arial"/>
          <w:sz w:val="13"/>
          <w:szCs w:val="13"/>
          <w:color w:val="auto"/>
        </w:rPr>
      </w:pPr>
    </w:p>
    <w:p>
      <w:pPr>
        <w:ind w:left="1560" w:hanging="699"/>
        <w:spacing w:after="0"/>
        <w:tabs>
          <w:tab w:leader="none" w:pos="15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To make changes to the Common Areas, including, without limitation, changes in the location, size, shape and number of driveways, entrances, parking</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spaces, parking areas, loading and unloading areas, ingress, egress, direction of traﬃc, landscaped areas, walkways and utility raceways;</w:t>
      </w:r>
    </w:p>
    <w:p>
      <w:pPr>
        <w:spacing w:after="0" w:line="20" w:lineRule="exact"/>
        <w:rPr>
          <w:sz w:val="20"/>
          <w:szCs w:val="20"/>
          <w:color w:val="auto"/>
        </w:rPr>
      </w:pPr>
    </w:p>
    <w:p>
      <w:pPr>
        <w:ind w:left="1240" w:hanging="381"/>
        <w:spacing w:after="0"/>
        <w:tabs>
          <w:tab w:leader="none" w:pos="12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To close temporarily any of the Common Areas for maintenance purposes so long as reasonable access to the Premises remains available;</w:t>
      </w:r>
    </w:p>
    <w:p>
      <w:pPr>
        <w:spacing w:after="0" w:line="9" w:lineRule="exact"/>
        <w:rPr>
          <w:rFonts w:ascii="Arial" w:cs="Arial" w:eastAsia="Arial" w:hAnsi="Arial"/>
          <w:sz w:val="14"/>
          <w:szCs w:val="14"/>
          <w:color w:val="auto"/>
        </w:rPr>
      </w:pPr>
    </w:p>
    <w:p>
      <w:pPr>
        <w:ind w:left="1240" w:hanging="381"/>
        <w:spacing w:after="0"/>
        <w:tabs>
          <w:tab w:leader="none" w:pos="12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To designate other land outside the boundaries of the Project to be a part of the Common Areas;</w:t>
      </w:r>
    </w:p>
    <w:p>
      <w:pPr>
        <w:spacing w:after="0" w:line="14" w:lineRule="exact"/>
        <w:rPr>
          <w:rFonts w:ascii="Arial" w:cs="Arial" w:eastAsia="Arial" w:hAnsi="Arial"/>
          <w:sz w:val="14"/>
          <w:szCs w:val="14"/>
          <w:color w:val="auto"/>
        </w:rPr>
      </w:pPr>
    </w:p>
    <w:p>
      <w:pPr>
        <w:ind w:left="1240" w:hanging="381"/>
        <w:spacing w:after="0"/>
        <w:tabs>
          <w:tab w:leader="none" w:pos="12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To add additional buildings and improvements to the Common Areas;</w:t>
      </w:r>
    </w:p>
    <w:p>
      <w:pPr>
        <w:spacing w:after="0" w:line="14" w:lineRule="exact"/>
        <w:rPr>
          <w:rFonts w:ascii="Arial" w:cs="Arial" w:eastAsia="Arial" w:hAnsi="Arial"/>
          <w:sz w:val="14"/>
          <w:szCs w:val="14"/>
          <w:color w:val="auto"/>
        </w:rPr>
      </w:pPr>
    </w:p>
    <w:p>
      <w:pPr>
        <w:ind w:left="1240" w:hanging="381"/>
        <w:spacing w:after="0"/>
        <w:tabs>
          <w:tab w:leader="none" w:pos="12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To use the Common Areas while engaged in making additional improvements, repairs or alterations to the Project, or any portion thereof; and</w:t>
      </w:r>
    </w:p>
    <w:p>
      <w:pPr>
        <w:spacing w:after="0" w:line="6" w:lineRule="exact"/>
        <w:rPr>
          <w:rFonts w:ascii="Arial" w:cs="Arial" w:eastAsia="Arial" w:hAnsi="Arial"/>
          <w:sz w:val="14"/>
          <w:szCs w:val="14"/>
          <w:color w:val="auto"/>
        </w:rPr>
      </w:pPr>
    </w:p>
    <w:p>
      <w:pPr>
        <w:ind w:left="120" w:right="840" w:firstLine="740"/>
        <w:spacing w:after="0" w:line="255" w:lineRule="auto"/>
        <w:tabs>
          <w:tab w:leader="none" w:pos="1571" w:val="left"/>
        </w:tabs>
        <w:numPr>
          <w:ilvl w:val="0"/>
          <w:numId w:val="93"/>
        </w:numPr>
        <w:rPr>
          <w:rFonts w:ascii="Arial" w:cs="Arial" w:eastAsia="Arial" w:hAnsi="Arial"/>
          <w:sz w:val="14"/>
          <w:szCs w:val="14"/>
          <w:color w:val="auto"/>
        </w:rPr>
      </w:pPr>
      <w:r>
        <w:rPr>
          <w:rFonts w:ascii="Arial" w:cs="Arial" w:eastAsia="Arial" w:hAnsi="Arial"/>
          <w:sz w:val="14"/>
          <w:szCs w:val="14"/>
          <w:color w:val="auto"/>
        </w:rPr>
        <w:t>To do and perform such other acts and make such other changes in, to or with respect to the Common Areas and Project as Lessor may, in the exercise of sound business judgment, deem to be appropriate.</w:t>
      </w:r>
    </w:p>
    <w:p>
      <w:pPr>
        <w:spacing w:after="0" w:line="60" w:lineRule="exact"/>
        <w:rPr>
          <w:sz w:val="20"/>
          <w:szCs w:val="20"/>
          <w:color w:val="auto"/>
        </w:rPr>
      </w:pPr>
    </w:p>
    <w:p>
      <w:pPr>
        <w:ind w:left="500" w:hanging="389"/>
        <w:spacing w:after="0"/>
        <w:tabs>
          <w:tab w:leader="none" w:pos="500"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auto"/>
        </w:rPr>
        <w:t>Term.</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Term</w:t>
      </w:r>
      <w:r>
        <w:rPr>
          <w:rFonts w:ascii="Arial" w:cs="Arial" w:eastAsia="Arial" w:hAnsi="Arial"/>
          <w:sz w:val="14"/>
          <w:szCs w:val="14"/>
          <w:color w:val="auto"/>
        </w:rPr>
        <w:t>. The Commencement Date, Expiration Date and Original Term of this Lease are as specified in Paragraph 1.3.</w:t>
      </w:r>
    </w:p>
    <w:p>
      <w:pPr>
        <w:spacing w:after="0" w:line="14"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5.2   </w:t>
      </w:r>
      <w:r>
        <w:rPr>
          <w:rFonts w:ascii="Arial" w:cs="Arial" w:eastAsia="Arial" w:hAnsi="Arial"/>
          <w:sz w:val="13"/>
          <w:szCs w:val="13"/>
          <w:b w:val="1"/>
          <w:bCs w:val="1"/>
          <w:color w:val="auto"/>
        </w:rPr>
        <w:t>Early Possession</w:t>
      </w:r>
      <w:r>
        <w:rPr>
          <w:rFonts w:ascii="Arial" w:cs="Arial" w:eastAsia="Arial" w:hAnsi="Arial"/>
          <w:sz w:val="13"/>
          <w:szCs w:val="13"/>
          <w:color w:val="auto"/>
        </w:rPr>
        <w:t xml:space="preserve">. </w:t>
      </w:r>
      <w:r>
        <w:rPr>
          <w:rFonts w:ascii="Arial" w:cs="Arial" w:eastAsia="Arial" w:hAnsi="Arial"/>
          <w:sz w:val="13"/>
          <w:szCs w:val="13"/>
          <w:u w:val="single" w:color="auto"/>
          <w:color w:val="FF0000"/>
        </w:rPr>
        <w:t>Any provision herein granting Lessee Early Possession of the Premises is subject to and conditioned upon the Premises being available for such possession</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FF0000"/>
        </w:rPr>
        <w:t>prior to the Commencement Date.</w:t>
      </w:r>
      <w:r>
        <w:rPr>
          <w:rFonts w:ascii="Arial" w:cs="Arial" w:eastAsia="Arial" w:hAnsi="Arial"/>
          <w:sz w:val="13"/>
          <w:szCs w:val="13"/>
          <w:color w:val="FF0000"/>
        </w:rPr>
        <w:t xml:space="preserve"> </w:t>
      </w:r>
      <w:r>
        <w:rPr>
          <w:rFonts w:ascii="Arial" w:cs="Arial" w:eastAsia="Arial" w:hAnsi="Arial"/>
          <w:sz w:val="13"/>
          <w:szCs w:val="13"/>
          <w:color w:val="000000"/>
        </w:rPr>
        <w:t>Any grant of Early Possession only conveys a nonexclusive right to occupy the Premises. If Lessee totally or partially occupies the Premises prior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Commencement Date, the obligation to pay Base Rent </w:t>
      </w:r>
      <w:r>
        <w:rPr>
          <w:rFonts w:ascii="Arial" w:cs="Arial" w:eastAsia="Arial" w:hAnsi="Arial"/>
          <w:sz w:val="19"/>
          <w:szCs w:val="19"/>
          <w:color w:val="FF0000"/>
        </w:rPr>
        <w:t>and Operating Expenses</w:t>
      </w:r>
      <w:r>
        <w:rPr>
          <w:rFonts w:ascii="Arial" w:cs="Arial" w:eastAsia="Arial" w:hAnsi="Arial"/>
          <w:sz w:val="13"/>
          <w:szCs w:val="13"/>
          <w:color w:val="auto"/>
        </w:rPr>
        <w:t xml:space="preserve"> shall be abated</w:t>
      </w:r>
      <w:r>
        <w:rPr>
          <w:rFonts w:ascii="Arial" w:cs="Arial" w:eastAsia="Arial" w:hAnsi="Arial"/>
          <w:sz w:val="19"/>
          <w:szCs w:val="19"/>
          <w:color w:val="FF0000"/>
        </w:rPr>
        <w:t>, however Lessee shall be responsible for paying its</w:t>
      </w:r>
    </w:p>
    <w:p>
      <w:pPr>
        <w:spacing w:after="0" w:line="25" w:lineRule="exact"/>
        <w:rPr>
          <w:sz w:val="20"/>
          <w:szCs w:val="20"/>
          <w:color w:val="auto"/>
        </w:rPr>
      </w:pPr>
    </w:p>
    <w:p>
      <w:pPr>
        <w:jc w:val="both"/>
        <w:ind w:left="120" w:right="360"/>
        <w:spacing w:after="0" w:line="220" w:lineRule="auto"/>
        <w:rPr>
          <w:sz w:val="20"/>
          <w:szCs w:val="20"/>
          <w:color w:val="auto"/>
        </w:rPr>
      </w:pPr>
      <w:r>
        <w:rPr>
          <w:rFonts w:ascii="Arial" w:cs="Arial" w:eastAsia="Arial" w:hAnsi="Arial"/>
          <w:sz w:val="22"/>
          <w:szCs w:val="22"/>
          <w:color w:val="FF0000"/>
        </w:rPr>
        <w:t xml:space="preserve">proportionate share of the utilities for </w:t>
      </w:r>
      <w:r>
        <w:rPr>
          <w:rFonts w:ascii="Arial" w:cs="Arial" w:eastAsia="Arial" w:hAnsi="Arial"/>
          <w:sz w:val="14"/>
          <w:szCs w:val="14"/>
          <w:color w:val="000000"/>
        </w:rPr>
        <w:t>for the period of such Early Possession. All other terms of this Lease</w:t>
      </w:r>
      <w:r>
        <w:rPr>
          <w:rFonts w:ascii="Arial" w:cs="Arial" w:eastAsia="Arial" w:hAnsi="Arial"/>
          <w:sz w:val="22"/>
          <w:szCs w:val="22"/>
          <w:color w:val="FF0000"/>
        </w:rPr>
        <w:t xml:space="preserve"> </w:t>
      </w:r>
      <w:r>
        <w:rPr>
          <w:rFonts w:ascii="Arial" w:cs="Arial" w:eastAsia="Arial" w:hAnsi="Arial"/>
          <w:sz w:val="14"/>
          <w:szCs w:val="14"/>
          <w:u w:val="single" w:color="auto"/>
          <w:color w:val="FF0000"/>
        </w:rPr>
        <w:t>(including but not limited to the obligations to pay Lessee's</w:t>
      </w:r>
      <w:r>
        <w:rPr>
          <w:rFonts w:ascii="Arial" w:cs="Arial" w:eastAsia="Arial" w:hAnsi="Arial"/>
          <w:sz w:val="22"/>
          <w:szCs w:val="22"/>
          <w:color w:val="FF0000"/>
        </w:rPr>
        <w:t xml:space="preserve"> </w:t>
      </w:r>
      <w:r>
        <w:rPr>
          <w:rFonts w:ascii="Arial" w:cs="Arial" w:eastAsia="Arial" w:hAnsi="Arial"/>
          <w:sz w:val="14"/>
          <w:szCs w:val="14"/>
          <w:u w:val="single" w:color="auto"/>
          <w:color w:val="FF0000"/>
        </w:rPr>
        <w:t>Share of Common Area Operating Expenses, Real Property Taxes and insurance premiums and to maintain the Premises)</w:t>
      </w:r>
      <w:r>
        <w:rPr>
          <w:rFonts w:ascii="Arial" w:cs="Arial" w:eastAsia="Arial" w:hAnsi="Arial"/>
          <w:sz w:val="14"/>
          <w:szCs w:val="14"/>
          <w:color w:val="FF0000"/>
        </w:rPr>
        <w:t xml:space="preserve"> </w:t>
      </w:r>
      <w:r>
        <w:rPr>
          <w:rFonts w:ascii="Arial" w:cs="Arial" w:eastAsia="Arial" w:hAnsi="Arial"/>
          <w:sz w:val="14"/>
          <w:szCs w:val="14"/>
          <w:color w:val="000000"/>
        </w:rPr>
        <w:t>shall be in eﬀect during such period. Any such Early Possession</w:t>
      </w:r>
      <w:r>
        <w:rPr>
          <w:rFonts w:ascii="Arial" w:cs="Arial" w:eastAsia="Arial" w:hAnsi="Arial"/>
          <w:sz w:val="14"/>
          <w:szCs w:val="14"/>
          <w:color w:val="FF0000"/>
        </w:rPr>
        <w:t xml:space="preserve"> </w:t>
      </w:r>
      <w:r>
        <w:rPr>
          <w:rFonts w:ascii="Arial" w:cs="Arial" w:eastAsia="Arial" w:hAnsi="Arial"/>
          <w:sz w:val="14"/>
          <w:szCs w:val="14"/>
          <w:color w:val="000000"/>
        </w:rPr>
        <w:t>shall not aﬀect the Expiration Date.</w:t>
      </w:r>
    </w:p>
    <w:p>
      <w:pPr>
        <w:spacing w:after="0" w:line="1" w:lineRule="exact"/>
        <w:rPr>
          <w:sz w:val="20"/>
          <w:szCs w:val="20"/>
          <w:color w:val="auto"/>
        </w:rPr>
      </w:pPr>
    </w:p>
    <w:p>
      <w:pPr>
        <w:ind w:left="120" w:right="220" w:firstLine="374"/>
        <w:spacing w:after="0" w:line="279"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b w:val="1"/>
          <w:bCs w:val="1"/>
          <w:color w:val="auto"/>
        </w:rPr>
        <w:t>Delay In Possession</w:t>
      </w:r>
      <w:r>
        <w:rPr>
          <w:rFonts w:ascii="Arial" w:cs="Arial" w:eastAsia="Arial" w:hAnsi="Arial"/>
          <w:sz w:val="13"/>
          <w:szCs w:val="13"/>
          <w:color w:val="auto"/>
        </w:rPr>
        <w:t>. Lessor agrees to use commercially reasonable eﬀorts to deliver exclusive possession of the Premises to Lessee by the Commencement Date. If, despite said eﬀorts, Lessor is unable to deliver possession by such date, Lessor shall not be subject to any liability therefor, nor shall such failure aﬀect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w:t>
      </w:r>
    </w:p>
    <w:p>
      <w:pPr>
        <w:spacing w:after="0" w:line="230" w:lineRule="auto"/>
        <w:rPr>
          <w:sz w:val="20"/>
          <w:szCs w:val="20"/>
          <w:color w:val="auto"/>
        </w:rPr>
      </w:pPr>
      <w:r>
        <w:rPr>
          <w:rFonts w:ascii="Arial" w:cs="Arial" w:eastAsia="Arial" w:hAnsi="Arial"/>
          <w:sz w:val="16"/>
          <w:szCs w:val="16"/>
          <w:color w:val="auto"/>
        </w:rPr>
        <w:t>INITIALS</w:t>
      </w: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77" w:right="359" w:bottom="1440" w:gutter="0" w:footer="0" w:header="0"/>
        </w:sectPr>
      </w:pPr>
    </w:p>
    <w:bookmarkStart w:id="166" w:name="page167"/>
    <w:bookmarkEnd w:id="166"/>
    <w:p>
      <w:pPr>
        <w:ind w:left="120" w:right="440"/>
        <w:spacing w:after="0" w:line="266" w:lineRule="auto"/>
        <w:rPr>
          <w:sz w:val="20"/>
          <w:szCs w:val="20"/>
          <w:color w:val="auto"/>
        </w:rPr>
      </w:pPr>
      <w:r>
        <w:rPr>
          <w:rFonts w:ascii="Arial" w:cs="Arial" w:eastAsia="Arial" w:hAnsi="Arial"/>
          <w:sz w:val="14"/>
          <w:szCs w:val="14"/>
          <w:color w:val="auto"/>
        </w:rPr>
        <w:t>possession of the Premises is not delivered within 120 days after the Commencement Date, this Lease shall terminate unless other agreements are reached between Lessor and Lessee, in writing.</w:t>
      </w:r>
    </w:p>
    <w:p>
      <w:pPr>
        <w:spacing w:after="0" w:line="1" w:lineRule="exact"/>
        <w:rPr>
          <w:sz w:val="20"/>
          <w:szCs w:val="20"/>
          <w:color w:val="auto"/>
        </w:rPr>
      </w:pPr>
    </w:p>
    <w:p>
      <w:pPr>
        <w:ind w:left="120" w:right="320" w:firstLine="374"/>
        <w:spacing w:after="0" w:line="295"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b w:val="1"/>
          <w:bCs w:val="1"/>
          <w:color w:val="auto"/>
        </w:rPr>
        <w:t>Lessee Compliance</w:t>
      </w:r>
      <w:r>
        <w:rPr>
          <w:rFonts w:ascii="Arial" w:cs="Arial" w:eastAsia="Arial" w:hAnsi="Arial"/>
          <w:sz w:val="13"/>
          <w:szCs w:val="13"/>
          <w:color w:val="auto"/>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pacing w:after="0" w:line="51" w:lineRule="exact"/>
        <w:rPr>
          <w:sz w:val="20"/>
          <w:szCs w:val="20"/>
          <w:color w:val="auto"/>
        </w:rPr>
      </w:pPr>
    </w:p>
    <w:p>
      <w:pPr>
        <w:ind w:left="500" w:hanging="389"/>
        <w:spacing w:after="0"/>
        <w:tabs>
          <w:tab w:leader="none" w:pos="50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Rent.</w:t>
      </w:r>
    </w:p>
    <w:p>
      <w:pPr>
        <w:spacing w:after="0" w:line="37"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Rent Defined</w:t>
      </w:r>
      <w:r>
        <w:rPr>
          <w:rFonts w:ascii="Arial" w:cs="Arial" w:eastAsia="Arial" w:hAnsi="Arial"/>
          <w:sz w:val="14"/>
          <w:szCs w:val="14"/>
          <w:color w:val="auto"/>
        </w:rPr>
        <w:t>. All monetary obligations of Lessee to Lessor under the terms of this Lease (except for the Security Deposit) are deemed to be rent ("</w:t>
      </w:r>
      <w:r>
        <w:rPr>
          <w:rFonts w:ascii="Arial" w:cs="Arial" w:eastAsia="Arial" w:hAnsi="Arial"/>
          <w:sz w:val="14"/>
          <w:szCs w:val="14"/>
          <w:b w:val="1"/>
          <w:bCs w:val="1"/>
          <w:color w:val="auto"/>
        </w:rPr>
        <w:t>Rent</w:t>
      </w:r>
      <w:r>
        <w:rPr>
          <w:rFonts w:ascii="Arial" w:cs="Arial" w:eastAsia="Arial" w:hAnsi="Arial"/>
          <w:sz w:val="14"/>
          <w:szCs w:val="14"/>
          <w:color w:val="auto"/>
        </w:rPr>
        <w:t>").</w:t>
      </w:r>
    </w:p>
    <w:p>
      <w:pPr>
        <w:spacing w:after="0" w:line="2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b w:val="1"/>
          <w:bCs w:val="1"/>
          <w:color w:val="auto"/>
        </w:rPr>
        <w:t>Common Area Operating Expenses</w:t>
      </w:r>
      <w:r>
        <w:rPr>
          <w:rFonts w:ascii="Arial" w:cs="Arial" w:eastAsia="Arial" w:hAnsi="Arial"/>
          <w:sz w:val="12"/>
          <w:szCs w:val="12"/>
          <w:color w:val="auto"/>
        </w:rPr>
        <w:t>. Lessee shall pay to Lessor during the term hereof, in addition to the Base Rent, Lessee's Share (as specified in Paragraph 1.6) of all</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Common Area Operating Expenses, as hereinafter defined, during each calendar year of the term of this Lease, in accordance with the following provisions:</w:t>
      </w:r>
    </w:p>
    <w:p>
      <w:pPr>
        <w:spacing w:after="0" w:line="15" w:lineRule="exact"/>
        <w:rPr>
          <w:sz w:val="20"/>
          <w:szCs w:val="20"/>
          <w:color w:val="auto"/>
        </w:rPr>
      </w:pPr>
    </w:p>
    <w:p>
      <w:pPr>
        <w:ind w:left="120" w:right="680" w:firstLine="741"/>
        <w:spacing w:after="0" w:line="251" w:lineRule="auto"/>
        <w:tabs>
          <w:tab w:leader="none" w:pos="1581" w:val="left"/>
        </w:tabs>
        <w:numPr>
          <w:ilvl w:val="0"/>
          <w:numId w:val="9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Area Operating Expenses</w:t>
      </w:r>
      <w:r>
        <w:rPr>
          <w:rFonts w:ascii="Arial" w:cs="Arial" w:eastAsia="Arial" w:hAnsi="Arial"/>
          <w:sz w:val="14"/>
          <w:szCs w:val="14"/>
          <w:color w:val="auto"/>
        </w:rPr>
        <w:t>" are defined, for purposes of this Lease, as all costs relating to the ownership and operation of the Project, including, but not limited to, the following:</w:t>
      </w:r>
    </w:p>
    <w:p>
      <w:pPr>
        <w:spacing w:after="0" w:line="1" w:lineRule="exact"/>
        <w:rPr>
          <w:sz w:val="20"/>
          <w:szCs w:val="20"/>
          <w:color w:val="auto"/>
        </w:rPr>
      </w:pPr>
    </w:p>
    <w:p>
      <w:pPr>
        <w:ind w:left="1580" w:right="980" w:hanging="344"/>
        <w:spacing w:after="0" w:line="251" w:lineRule="auto"/>
        <w:tabs>
          <w:tab w:leader="none" w:pos="15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operation, repair and maintenance, in neat, clean, good order and condition, and if necessary the replacement, of the following: (aa) The Common Areas and Common Area improvements, including parking areas, loading and unloading areas, trash areas, roadways,</w:t>
      </w:r>
    </w:p>
    <w:p>
      <w:pPr>
        <w:spacing w:after="0" w:line="1" w:lineRule="exact"/>
        <w:rPr>
          <w:sz w:val="20"/>
          <w:szCs w:val="20"/>
          <w:color w:val="auto"/>
        </w:rPr>
      </w:pPr>
    </w:p>
    <w:p>
      <w:pPr>
        <w:ind w:left="120" w:right="280"/>
        <w:spacing w:after="0" w:line="245" w:lineRule="auto"/>
        <w:rPr>
          <w:sz w:val="20"/>
          <w:szCs w:val="20"/>
          <w:color w:val="auto"/>
        </w:rPr>
      </w:pPr>
      <w:r>
        <w:rPr>
          <w:rFonts w:ascii="Arial" w:cs="Arial" w:eastAsia="Arial" w:hAnsi="Arial"/>
          <w:sz w:val="14"/>
          <w:szCs w:val="14"/>
          <w:color w:val="auto"/>
        </w:rPr>
        <w:t>parkways, walkways, driveways, landscaped areas, bumpers, irrigation systems, Common Area lighting facilities, fences and gates, elevators, roofs, exterior walls of the buildings, building systems and roof drainage systems.</w:t>
      </w:r>
    </w:p>
    <w:p>
      <w:pPr>
        <w:spacing w:after="0" w:line="1" w:lineRule="exact"/>
        <w:rPr>
          <w:sz w:val="20"/>
          <w:szCs w:val="20"/>
          <w:color w:val="auto"/>
        </w:rPr>
      </w:pPr>
    </w:p>
    <w:p>
      <w:pPr>
        <w:ind w:left="1600" w:right="6700" w:firstLine="8"/>
        <w:spacing w:after="0" w:line="251" w:lineRule="auto"/>
        <w:tabs>
          <w:tab w:leader="none" w:pos="1874" w:val="left"/>
        </w:tabs>
        <w:numPr>
          <w:ilvl w:val="0"/>
          <w:numId w:val="98"/>
        </w:numPr>
        <w:rPr>
          <w:rFonts w:ascii="Arial" w:cs="Arial" w:eastAsia="Arial" w:hAnsi="Arial"/>
          <w:sz w:val="14"/>
          <w:szCs w:val="14"/>
          <w:color w:val="auto"/>
        </w:rPr>
      </w:pPr>
      <w:r>
        <w:rPr>
          <w:rFonts w:ascii="Arial" w:cs="Arial" w:eastAsia="Arial" w:hAnsi="Arial"/>
          <w:sz w:val="14"/>
          <w:szCs w:val="14"/>
          <w:color w:val="auto"/>
        </w:rPr>
        <w:t>Exterior signs and any tenant directories. (cc) Any fire sprinkler systems.</w:t>
      </w:r>
    </w:p>
    <w:p>
      <w:pPr>
        <w:ind w:left="1880" w:hanging="270"/>
        <w:spacing w:after="0"/>
        <w:tabs>
          <w:tab w:leader="none" w:pos="18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All other areas and improvements that are within the exterior boundaries of the Project but outside of the Premises and/or any other space occupied by a</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tenant.</w:t>
      </w:r>
    </w:p>
    <w:p>
      <w:pPr>
        <w:spacing w:after="0" w:line="9" w:lineRule="exact"/>
        <w:rPr>
          <w:sz w:val="20"/>
          <w:szCs w:val="20"/>
          <w:color w:val="auto"/>
        </w:rPr>
      </w:pPr>
    </w:p>
    <w:p>
      <w:pPr>
        <w:ind w:left="1620" w:hanging="386"/>
        <w:spacing w:after="0"/>
        <w:tabs>
          <w:tab w:leader="none" w:pos="16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cost of water, gas, electricity and telephone to service the Common Areas and any utilities not separately metered.</w:t>
      </w:r>
    </w:p>
    <w:p>
      <w:pPr>
        <w:spacing w:after="0" w:line="14" w:lineRule="exact"/>
        <w:rPr>
          <w:rFonts w:ascii="Arial" w:cs="Arial" w:eastAsia="Arial" w:hAnsi="Arial"/>
          <w:sz w:val="14"/>
          <w:szCs w:val="14"/>
          <w:color w:val="auto"/>
        </w:rPr>
      </w:pPr>
    </w:p>
    <w:p>
      <w:pPr>
        <w:ind w:left="120" w:right="480" w:firstLine="1115"/>
        <w:spacing w:after="0" w:line="255" w:lineRule="auto"/>
        <w:tabs>
          <w:tab w:leader="none" w:pos="2345"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cost of trash disposal, pest control services, property management, security services, owners' association dues and fees, the cost to repaint the exterior of any structures and the cost of any environmental inspections.</w:t>
      </w:r>
    </w:p>
    <w:p>
      <w:pPr>
        <w:ind w:left="1600" w:hanging="366"/>
        <w:spacing w:after="0"/>
        <w:tabs>
          <w:tab w:leader="none" w:pos="160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Reserves set aside for maintenance, repair and/or replacement of Common Area improvements and equipment.</w:t>
      </w:r>
    </w:p>
    <w:p>
      <w:pPr>
        <w:spacing w:after="0" w:line="9" w:lineRule="exact"/>
        <w:rPr>
          <w:rFonts w:ascii="Arial" w:cs="Arial" w:eastAsia="Arial" w:hAnsi="Arial"/>
          <w:sz w:val="14"/>
          <w:szCs w:val="14"/>
          <w:color w:val="auto"/>
        </w:rPr>
      </w:pPr>
    </w:p>
    <w:p>
      <w:pPr>
        <w:ind w:left="1620" w:hanging="386"/>
        <w:spacing w:after="0"/>
        <w:tabs>
          <w:tab w:leader="none" w:pos="16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Real Property Taxes (as defined in Paragraph 10).</w:t>
      </w:r>
    </w:p>
    <w:p>
      <w:pPr>
        <w:spacing w:after="0" w:line="14" w:lineRule="exact"/>
        <w:rPr>
          <w:rFonts w:ascii="Arial" w:cs="Arial" w:eastAsia="Arial" w:hAnsi="Arial"/>
          <w:sz w:val="14"/>
          <w:szCs w:val="14"/>
          <w:color w:val="auto"/>
        </w:rPr>
      </w:pPr>
    </w:p>
    <w:p>
      <w:pPr>
        <w:ind w:left="1600" w:hanging="365"/>
        <w:spacing w:after="0"/>
        <w:tabs>
          <w:tab w:leader="none" w:pos="160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cost of the premiums for the insurance maintained by Lessor pursuant to Paragraph 8.</w:t>
      </w:r>
    </w:p>
    <w:p>
      <w:pPr>
        <w:spacing w:after="0" w:line="14" w:lineRule="exact"/>
        <w:rPr>
          <w:rFonts w:ascii="Arial" w:cs="Arial" w:eastAsia="Arial" w:hAnsi="Arial"/>
          <w:sz w:val="14"/>
          <w:szCs w:val="14"/>
          <w:color w:val="auto"/>
        </w:rPr>
      </w:pPr>
    </w:p>
    <w:p>
      <w:pPr>
        <w:ind w:left="1620" w:hanging="385"/>
        <w:spacing w:after="0"/>
        <w:tabs>
          <w:tab w:leader="none" w:pos="16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deductible portion of an insured loss concerning the Building or the Common Areas.</w:t>
      </w:r>
    </w:p>
    <w:p>
      <w:pPr>
        <w:spacing w:after="0" w:line="14" w:lineRule="exact"/>
        <w:rPr>
          <w:rFonts w:ascii="Arial" w:cs="Arial" w:eastAsia="Arial" w:hAnsi="Arial"/>
          <w:sz w:val="14"/>
          <w:szCs w:val="14"/>
          <w:color w:val="auto"/>
        </w:rPr>
      </w:pPr>
    </w:p>
    <w:p>
      <w:pPr>
        <w:ind w:left="1600" w:hanging="366"/>
        <w:spacing w:after="0"/>
        <w:tabs>
          <w:tab w:leader="none" w:pos="160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Auditors', accountants' and attorneys' fees and costs related to the operation, maintenance, repair and replacement of the Project.</w:t>
      </w:r>
    </w:p>
    <w:p>
      <w:pPr>
        <w:spacing w:after="0" w:line="6" w:lineRule="exact"/>
        <w:rPr>
          <w:rFonts w:ascii="Arial" w:cs="Arial" w:eastAsia="Arial" w:hAnsi="Arial"/>
          <w:sz w:val="14"/>
          <w:szCs w:val="14"/>
          <w:color w:val="auto"/>
        </w:rPr>
      </w:pPr>
    </w:p>
    <w:p>
      <w:pPr>
        <w:jc w:val="both"/>
        <w:ind w:left="120" w:right="320" w:firstLine="1116"/>
        <w:spacing w:after="0" w:line="255" w:lineRule="auto"/>
        <w:tabs>
          <w:tab w:leader="none" w:pos="233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improvement in any given month. Lessee shall pay Interest on the unamortized balance but may prepay its obligation at any time.</w:t>
      </w:r>
    </w:p>
    <w:p>
      <w:pPr>
        <w:spacing w:after="0" w:line="1" w:lineRule="exact"/>
        <w:rPr>
          <w:rFonts w:ascii="Arial" w:cs="Arial" w:eastAsia="Arial" w:hAnsi="Arial"/>
          <w:sz w:val="14"/>
          <w:szCs w:val="14"/>
          <w:color w:val="auto"/>
        </w:rPr>
      </w:pPr>
    </w:p>
    <w:p>
      <w:pPr>
        <w:ind w:left="1620" w:hanging="386"/>
        <w:spacing w:after="0"/>
        <w:tabs>
          <w:tab w:leader="none" w:pos="16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cost of any other services to be provided by Lessor that are stated elsewhere in this Lease to be a Common Area Operating Expense.</w:t>
      </w:r>
    </w:p>
    <w:p>
      <w:pPr>
        <w:spacing w:after="0" w:line="21" w:lineRule="exact"/>
        <w:rPr>
          <w:rFonts w:ascii="Arial" w:cs="Arial" w:eastAsia="Arial" w:hAnsi="Arial"/>
          <w:sz w:val="14"/>
          <w:szCs w:val="14"/>
          <w:color w:val="auto"/>
        </w:rPr>
      </w:pPr>
    </w:p>
    <w:p>
      <w:pPr>
        <w:ind w:left="120" w:right="280" w:firstLine="740"/>
        <w:spacing w:after="0" w:line="256" w:lineRule="auto"/>
        <w:tabs>
          <w:tab w:leader="none" w:pos="159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Any Common Area Operating Expenses and Real Property Taxes that are specifically attributable to the Unit, the Building or to any other building in the Project or to the operation, repair and maintenance thereof, shall be allocated entirely to such Unit, Building, or other building. However, any Common Area Operating Expenses and Real Property Taxes that are not specifically attributable to the Building or to any other building or to the operation, repair and maintenance thereof, shall be equitably allocated by Lessor to all buildings in the Project.</w:t>
      </w:r>
    </w:p>
    <w:p>
      <w:pPr>
        <w:spacing w:after="0" w:line="1" w:lineRule="exact"/>
        <w:rPr>
          <w:rFonts w:ascii="Arial" w:cs="Arial" w:eastAsia="Arial" w:hAnsi="Arial"/>
          <w:sz w:val="14"/>
          <w:szCs w:val="14"/>
          <w:color w:val="auto"/>
        </w:rPr>
      </w:pPr>
    </w:p>
    <w:p>
      <w:pPr>
        <w:ind w:left="120" w:right="280" w:firstLine="740"/>
        <w:spacing w:after="0" w:line="254" w:lineRule="auto"/>
        <w:tabs>
          <w:tab w:leader="none" w:pos="160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inclusion of the improvements, facilities and services set forth in Subparagraph 4.2(a)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1" w:lineRule="exact"/>
        <w:rPr>
          <w:rFonts w:ascii="Arial" w:cs="Arial" w:eastAsia="Arial" w:hAnsi="Arial"/>
          <w:sz w:val="14"/>
          <w:szCs w:val="14"/>
          <w:color w:val="auto"/>
        </w:rPr>
      </w:pPr>
    </w:p>
    <w:p>
      <w:pPr>
        <w:ind w:left="120" w:right="280" w:firstLine="740"/>
        <w:spacing w:after="0" w:line="261" w:lineRule="auto"/>
        <w:tabs>
          <w:tab w:leader="none" w:pos="160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Lessee's Share of Common Area Operating Expenses is payable monthly on the same day as the Base Rent is due hereunder. The amount of such payments shall be based on Lessor's estimate of the annual Common Area Operating Expenses. Within 60 days after written request (but not more than once each year) Lessor shall deliver to Lessee a reasonably detailed statement showing Lessee's Share of the actual Common Area Operating Expenses for the preceding year. If Lessee's payments during such year exceed Lessee's Share, Lessor shall credit the amount of such overpayment against Lessee's future payments. If Lessee's payments during such year were less than Lessee's Share, Lessee shall pay to Lessor the amount of the deficiency within 10 days after delivery by Lessor to Lessee of the statement.</w:t>
      </w:r>
    </w:p>
    <w:p>
      <w:pPr>
        <w:spacing w:after="0" w:line="2" w:lineRule="exact"/>
        <w:rPr>
          <w:rFonts w:ascii="Arial" w:cs="Arial" w:eastAsia="Arial" w:hAnsi="Arial"/>
          <w:sz w:val="14"/>
          <w:szCs w:val="14"/>
          <w:color w:val="auto"/>
        </w:rPr>
      </w:pPr>
    </w:p>
    <w:p>
      <w:pPr>
        <w:ind w:left="1580" w:hanging="719"/>
        <w:spacing w:after="0"/>
        <w:tabs>
          <w:tab w:leader="none" w:pos="15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Common Area Operating Expenses shall not include any expenses paid by any tenant directly to third parties, or as to which Lessor is otherwise reimbursed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any third party, other tenant, or insurance proceeds.</w:t>
      </w:r>
    </w:p>
    <w:p>
      <w:pPr>
        <w:spacing w:after="0" w:line="9" w:lineRule="exact"/>
        <w:rPr>
          <w:sz w:val="20"/>
          <w:szCs w:val="20"/>
          <w:color w:val="auto"/>
        </w:rPr>
      </w:pPr>
    </w:p>
    <w:p>
      <w:pPr>
        <w:ind w:left="120" w:right="180" w:firstLine="374"/>
        <w:spacing w:after="0" w:line="281"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b w:val="1"/>
          <w:bCs w:val="1"/>
          <w:color w:val="auto"/>
        </w:rPr>
        <w:t>Payment</w:t>
      </w:r>
      <w:r>
        <w:rPr>
          <w:rFonts w:ascii="Arial" w:cs="Arial" w:eastAsia="Arial" w:hAnsi="Arial"/>
          <w:sz w:val="13"/>
          <w:szCs w:val="13"/>
          <w:color w:val="auto"/>
        </w:rPr>
        <w:t>. Lessee shall cause payment of Rent to be received by Lessor in lawful money of the United States, without oﬀset or deduction (except as specifically permitted in this Lease), on or before the day on which it is due. All monetary amounts shall be rounded to the nearest whole dollar. In the event that any statement or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to compensate Lessor for additional time and expenses incurred in handling the dishonored payment and Lessor, 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p>
      <w:pPr>
        <w:spacing w:after="0" w:line="61" w:lineRule="exact"/>
        <w:rPr>
          <w:sz w:val="20"/>
          <w:szCs w:val="20"/>
          <w:color w:val="auto"/>
        </w:rPr>
      </w:pPr>
    </w:p>
    <w:p>
      <w:pPr>
        <w:ind w:left="120" w:right="180"/>
        <w:spacing w:after="0" w:line="261" w:lineRule="auto"/>
        <w:rPr>
          <w:sz w:val="20"/>
          <w:szCs w:val="20"/>
          <w:color w:val="auto"/>
        </w:rPr>
      </w:pPr>
      <w:r>
        <w:rPr>
          <w:rFonts w:ascii="Arial" w:cs="Arial" w:eastAsia="Arial" w:hAnsi="Arial"/>
          <w:sz w:val="14"/>
          <w:szCs w:val="14"/>
          <w:b w:val="1"/>
          <w:bCs w:val="1"/>
          <w:color w:val="auto"/>
        </w:rPr>
        <w:t xml:space="preserve">7.Security Deposit. </w:t>
      </w:r>
      <w:r>
        <w:rPr>
          <w:rFonts w:ascii="Arial" w:cs="Arial" w:eastAsia="Arial" w:hAnsi="Arial"/>
          <w:sz w:val="14"/>
          <w:szCs w:val="14"/>
          <w:color w:val="auto"/>
        </w:rPr>
        <w:t>Lessee shall deposit with Lessor upon execution hereof the Security Deposit as security for Lessee's faithful performance of its obligations under this Lease. If Lessee</w:t>
      </w:r>
      <w:r>
        <w:rPr>
          <w:rFonts w:ascii="Arial" w:cs="Arial" w:eastAsia="Arial" w:hAnsi="Arial"/>
          <w:sz w:val="14"/>
          <w:szCs w:val="14"/>
          <w:b w:val="1"/>
          <w:bCs w:val="1"/>
          <w:color w:val="auto"/>
        </w:rPr>
        <w:t xml:space="preserve"> </w:t>
      </w:r>
      <w:r>
        <w:rPr>
          <w:rFonts w:ascii="Arial" w:cs="Arial" w:eastAsia="Arial" w:hAnsi="Arial"/>
          <w:sz w:val="14"/>
          <w:szCs w:val="14"/>
          <w:color w:val="auto"/>
        </w:rPr>
        <w:t>fails to pay Rent, or otherwise Defaults under this Lease, Lessor may use, apply or retain all or any portion of said Security Deposit for the payment of any amount already due Lessor, for Rents which will be due in the future, and/ or to reimburse or compensate Lessor for any liability, expense, loss or damage which Lessor may suﬀer or incur by reason thereof. If Lessor uses or applies all or any portion of the Security Deposit, Lessee shall within 10 days after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67" w:name="page168"/>
    <w:bookmarkEnd w:id="167"/>
    <w:p>
      <w:pPr>
        <w:ind w:left="120"/>
        <w:spacing w:after="0"/>
        <w:rPr>
          <w:sz w:val="20"/>
          <w:szCs w:val="20"/>
          <w:color w:val="auto"/>
        </w:rPr>
      </w:pPr>
      <w:r>
        <w:rPr>
          <w:rFonts w:ascii="Arial" w:cs="Arial" w:eastAsia="Arial" w:hAnsi="Arial"/>
          <w:sz w:val="13"/>
          <w:szCs w:val="13"/>
          <w:color w:val="auto"/>
        </w:rPr>
        <w:t>written request therefor deposit monies with Lessor suﬃcient to restore said Security Deposit to the full amount required by this Lease. If the Base Rent increases during the term of this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Lease, Lessee shall, upon written request from Lessor, deposit additional monies with Lessor so that the total amount of the Security Deposit shall at all times bear the same proportion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increased Base Rent as the initial Security Deposit bore to the initial Base Rent. Should the Agreed Use be amended to accommodate a material change in the business of Lessee or to</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accommodatea sublessee or assignee, Lessor shall have the right to increase the Security Deposit to the extent necessary, in Lessor's reasonable judgment, to account for any increased wear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and tear that the Premises may suﬀer as a result thereof. If a change in control of Lessee occurs during this Lease and following such change the financial condition of Lessee is, in Lessor's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reasonable judgment, significantly reduced, Lessee shall deposit such additional monies with Lessor as shall be suﬃcient to cause the Security Deposit to be at a commercially reasonable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level based on such change in financial condition. Lessor shall not be required to keep the Security Deposit separate from its general accounts. Within 90 days after the expiration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termination of this Lease, Lessor shall return that portion of the Security Deposit not used or applied by Lessor. Lessor shall upon written request provide Lessee with an accounting showing</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how that portion of the Security Deposit that was not returned was applied. No part of the Security Deposit shall bear interest or be considered prepayment for any monies to be paid by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Lessee under this Lease. THE SECURITY DEPOSIT SHALL NOT BE USED BY LESSEE IN LIEU OF PAYMENT OF THE LAST MONTH'S RENT.</w:t>
      </w:r>
    </w:p>
    <w:p>
      <w:pPr>
        <w:spacing w:after="0" w:line="26" w:lineRule="exact"/>
        <w:rPr>
          <w:sz w:val="20"/>
          <w:szCs w:val="20"/>
          <w:color w:val="auto"/>
        </w:rPr>
      </w:pPr>
    </w:p>
    <w:p>
      <w:pPr>
        <w:ind w:left="500" w:hanging="388"/>
        <w:spacing w:after="0"/>
        <w:tabs>
          <w:tab w:leader="none" w:pos="500" w:val="left"/>
        </w:tabs>
        <w:numPr>
          <w:ilvl w:val="0"/>
          <w:numId w:val="102"/>
        </w:numPr>
        <w:rPr>
          <w:rFonts w:ascii="Arial" w:cs="Arial" w:eastAsia="Arial" w:hAnsi="Arial"/>
          <w:sz w:val="14"/>
          <w:szCs w:val="14"/>
          <w:b w:val="1"/>
          <w:bCs w:val="1"/>
          <w:color w:val="auto"/>
        </w:rPr>
      </w:pPr>
      <w:r>
        <w:rPr>
          <w:rFonts w:ascii="Arial" w:cs="Arial" w:eastAsia="Arial" w:hAnsi="Arial"/>
          <w:sz w:val="14"/>
          <w:szCs w:val="14"/>
          <w:b w:val="1"/>
          <w:bCs w:val="1"/>
          <w:color w:val="auto"/>
        </w:rPr>
        <w:t>Use.</w:t>
      </w:r>
    </w:p>
    <w:p>
      <w:pPr>
        <w:spacing w:after="0" w:line="17"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6.1   </w:t>
      </w:r>
      <w:r>
        <w:rPr>
          <w:rFonts w:ascii="Arial" w:cs="Arial" w:eastAsia="Arial" w:hAnsi="Arial"/>
          <w:sz w:val="13"/>
          <w:szCs w:val="13"/>
          <w:b w:val="1"/>
          <w:bCs w:val="1"/>
          <w:color w:val="auto"/>
        </w:rPr>
        <w:t>Use</w:t>
      </w:r>
      <w:r>
        <w:rPr>
          <w:rFonts w:ascii="Arial" w:cs="Arial" w:eastAsia="Arial" w:hAnsi="Arial"/>
          <w:sz w:val="13"/>
          <w:szCs w:val="13"/>
          <w:color w:val="auto"/>
        </w:rPr>
        <w:t>. Lessee shall use and occupy the Premises only for the Agreed Use, or any other legal use which is reasonably comparable thereto, and for no other purpose. Lessee shall not</w:t>
      </w:r>
    </w:p>
    <w:p>
      <w:pPr>
        <w:spacing w:after="0" w:line="21" w:lineRule="exact"/>
        <w:rPr>
          <w:sz w:val="20"/>
          <w:szCs w:val="20"/>
          <w:color w:val="auto"/>
        </w:rPr>
      </w:pPr>
    </w:p>
    <w:p>
      <w:pPr>
        <w:ind w:left="120" w:right="180"/>
        <w:spacing w:after="0" w:line="267" w:lineRule="auto"/>
        <w:rPr>
          <w:sz w:val="20"/>
          <w:szCs w:val="20"/>
          <w:color w:val="auto"/>
        </w:rPr>
      </w:pPr>
      <w:r>
        <w:rPr>
          <w:rFonts w:ascii="Arial" w:cs="Arial" w:eastAsia="Arial" w:hAnsi="Arial"/>
          <w:sz w:val="14"/>
          <w:szCs w:val="14"/>
          <w:color w:val="auto"/>
        </w:rPr>
        <w:t>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reptiles. Lessor shall not unreasonably withhold or delay its consent to any written request for a modification of the Agreed Use, so long as the same will not impair the structural integrity of the Building or the mechanical or electrical systems therein, and/or is not significantly more burdensome to the Project. If Lessor elects to withhold consent, Lessor shall within 7 days after such request give written notification of same, which notice shall include an explanation of Lessor's objections to the change in the Agreed Use.</w:t>
      </w:r>
    </w:p>
    <w:p>
      <w:pPr>
        <w:spacing w:after="0" w:line="120" w:lineRule="exact"/>
        <w:rPr>
          <w:sz w:val="20"/>
          <w:szCs w:val="20"/>
          <w:color w:val="auto"/>
        </w:rPr>
      </w:pPr>
    </w:p>
    <w:p>
      <w:pPr>
        <w:ind w:left="120" w:right="120" w:firstLine="740"/>
        <w:spacing w:after="0" w:line="279" w:lineRule="auto"/>
        <w:tabs>
          <w:tab w:leader="none" w:pos="1608" w:val="left"/>
        </w:tabs>
        <w:numPr>
          <w:ilvl w:val="0"/>
          <w:numId w:val="103"/>
        </w:numPr>
        <w:rPr>
          <w:rFonts w:ascii="Arial" w:cs="Arial" w:eastAsia="Arial" w:hAnsi="Arial"/>
          <w:sz w:val="13"/>
          <w:szCs w:val="13"/>
          <w:color w:val="auto"/>
        </w:rPr>
      </w:pPr>
      <w:r>
        <w:rPr>
          <w:rFonts w:ascii="Arial" w:cs="Arial" w:eastAsia="Arial" w:hAnsi="Arial"/>
          <w:sz w:val="13"/>
          <w:szCs w:val="13"/>
          <w:b w:val="1"/>
          <w:bCs w:val="1"/>
          <w:color w:val="auto"/>
        </w:rPr>
        <w:t>Reportable Uses Require Consent</w:t>
      </w:r>
      <w:r>
        <w:rPr>
          <w:rFonts w:ascii="Arial" w:cs="Arial" w:eastAsia="Arial" w:hAnsi="Arial"/>
          <w:sz w:val="13"/>
          <w:szCs w:val="13"/>
          <w:color w:val="auto"/>
        </w:rPr>
        <w:t>. The term "</w:t>
      </w:r>
      <w:r>
        <w:rPr>
          <w:rFonts w:ascii="Arial" w:cs="Arial" w:eastAsia="Arial" w:hAnsi="Arial"/>
          <w:sz w:val="13"/>
          <w:szCs w:val="13"/>
          <w:b w:val="1"/>
          <w:bCs w:val="1"/>
          <w:color w:val="auto"/>
        </w:rPr>
        <w:t>Hazardous Substance</w:t>
      </w:r>
      <w:r>
        <w:rPr>
          <w:rFonts w:ascii="Arial" w:cs="Arial" w:eastAsia="Arial" w:hAnsi="Arial"/>
          <w:sz w:val="13"/>
          <w:szCs w:val="13"/>
          <w:color w:val="auto"/>
        </w:rPr>
        <w:t>" as used in this Lease shall mean any product, substance, or waste whose presence, use,</w:t>
      </w:r>
      <w:r>
        <w:rPr>
          <w:rFonts w:ascii="Arial" w:cs="Arial" w:eastAsia="Arial" w:hAnsi="Arial"/>
          <w:sz w:val="13"/>
          <w:szCs w:val="13"/>
          <w:b w:val="1"/>
          <w:bCs w:val="1"/>
          <w:color w:val="auto"/>
        </w:rPr>
        <w:t xml:space="preserve"> </w:t>
      </w:r>
      <w:r>
        <w:rPr>
          <w:rFonts w:ascii="Arial" w:cs="Arial" w:eastAsia="Arial" w:hAnsi="Arial"/>
          <w:sz w:val="13"/>
          <w:szCs w:val="13"/>
          <w:color w:val="auto"/>
        </w:rPr>
        <w:t>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3"/>
          <w:szCs w:val="13"/>
          <w:b w:val="1"/>
          <w:bCs w:val="1"/>
          <w:color w:val="auto"/>
        </w:rPr>
        <w:t>Reportable Use</w:t>
      </w:r>
      <w:r>
        <w:rPr>
          <w:rFonts w:ascii="Arial" w:cs="Arial" w:eastAsia="Arial" w:hAnsi="Arial"/>
          <w:sz w:val="13"/>
          <w:szCs w:val="13"/>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oﬃce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7" w:lineRule="exact"/>
        <w:rPr>
          <w:rFonts w:ascii="Arial" w:cs="Arial" w:eastAsia="Arial" w:hAnsi="Arial"/>
          <w:sz w:val="13"/>
          <w:szCs w:val="13"/>
          <w:color w:val="auto"/>
        </w:rPr>
      </w:pPr>
    </w:p>
    <w:p>
      <w:pPr>
        <w:jc w:val="both"/>
        <w:ind w:left="120" w:right="720" w:firstLine="741"/>
        <w:spacing w:after="0" w:line="261" w:lineRule="auto"/>
        <w:tabs>
          <w:tab w:leader="none" w:pos="1587" w:val="left"/>
        </w:tabs>
        <w:numPr>
          <w:ilvl w:val="0"/>
          <w:numId w:val="103"/>
        </w:numPr>
        <w:rPr>
          <w:rFonts w:ascii="Arial" w:cs="Arial" w:eastAsia="Arial" w:hAnsi="Arial"/>
          <w:sz w:val="14"/>
          <w:szCs w:val="14"/>
          <w:color w:val="auto"/>
        </w:rPr>
      </w:pPr>
      <w:r>
        <w:rPr>
          <w:rFonts w:ascii="Arial" w:cs="Arial" w:eastAsia="Arial" w:hAnsi="Arial"/>
          <w:sz w:val="14"/>
          <w:szCs w:val="14"/>
          <w:b w:val="1"/>
          <w:bCs w:val="1"/>
          <w:color w:val="auto"/>
        </w:rPr>
        <w:t>Duty to Inform Lessor</w:t>
      </w:r>
      <w:r>
        <w:rPr>
          <w:rFonts w:ascii="Arial" w:cs="Arial" w:eastAsia="Arial" w:hAnsi="Arial"/>
          <w:sz w:val="14"/>
          <w:szCs w:val="14"/>
          <w:color w:val="auto"/>
        </w:rPr>
        <w:t>. If Lessee knows, or has reasonable cause to believe, that a Hazardous Substance has come to be located in, on, under or about the</w:t>
      </w:r>
      <w:r>
        <w:rPr>
          <w:rFonts w:ascii="Arial" w:cs="Arial" w:eastAsia="Arial" w:hAnsi="Arial"/>
          <w:sz w:val="14"/>
          <w:szCs w:val="14"/>
          <w:b w:val="1"/>
          <w:bCs w:val="1"/>
          <w:color w:val="auto"/>
        </w:rPr>
        <w:t xml:space="preserve"> </w:t>
      </w:r>
      <w:r>
        <w:rPr>
          <w:rFonts w:ascii="Arial" w:cs="Arial" w:eastAsia="Arial" w:hAnsi="Arial"/>
          <w:sz w:val="14"/>
          <w:szCs w:val="14"/>
          <w:color w:val="auto"/>
        </w:rPr>
        <w:t>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 w:lineRule="exact"/>
        <w:rPr>
          <w:rFonts w:ascii="Arial" w:cs="Arial" w:eastAsia="Arial" w:hAnsi="Arial"/>
          <w:sz w:val="14"/>
          <w:szCs w:val="14"/>
          <w:color w:val="auto"/>
        </w:rPr>
      </w:pPr>
    </w:p>
    <w:p>
      <w:pPr>
        <w:ind w:left="1600" w:hanging="740"/>
        <w:spacing w:after="0"/>
        <w:tabs>
          <w:tab w:leader="none" w:pos="1600" w:val="left"/>
        </w:tabs>
        <w:numPr>
          <w:ilvl w:val="0"/>
          <w:numId w:val="103"/>
        </w:numPr>
        <w:rPr>
          <w:rFonts w:ascii="Arial" w:cs="Arial" w:eastAsia="Arial" w:hAnsi="Arial"/>
          <w:sz w:val="13"/>
          <w:szCs w:val="13"/>
          <w:color w:val="auto"/>
        </w:rPr>
      </w:pPr>
      <w:r>
        <w:rPr>
          <w:rFonts w:ascii="Arial" w:cs="Arial" w:eastAsia="Arial" w:hAnsi="Arial"/>
          <w:sz w:val="13"/>
          <w:szCs w:val="13"/>
          <w:b w:val="1"/>
          <w:bCs w:val="1"/>
          <w:color w:val="auto"/>
        </w:rPr>
        <w:t>Lessee Remediation</w:t>
      </w:r>
      <w:r>
        <w:rPr>
          <w:rFonts w:ascii="Arial" w:cs="Arial" w:eastAsia="Arial" w:hAnsi="Arial"/>
          <w:sz w:val="13"/>
          <w:szCs w:val="13"/>
          <w:color w:val="auto"/>
        </w:rPr>
        <w:t>. Lessee shall not cause or permit any Hazardous Substance to be spilled or released in, on, under, or about the Premises (including through</w:t>
      </w:r>
    </w:p>
    <w:p>
      <w:pPr>
        <w:spacing w:after="0" w:line="26" w:lineRule="exact"/>
        <w:rPr>
          <w:sz w:val="20"/>
          <w:szCs w:val="20"/>
          <w:color w:val="auto"/>
        </w:rPr>
      </w:pPr>
    </w:p>
    <w:p>
      <w:pPr>
        <w:ind w:left="120" w:right="300"/>
        <w:spacing w:after="0" w:line="256" w:lineRule="auto"/>
        <w:rPr>
          <w:sz w:val="20"/>
          <w:szCs w:val="20"/>
          <w:color w:val="auto"/>
        </w:rPr>
      </w:pPr>
      <w:r>
        <w:rPr>
          <w:rFonts w:ascii="Arial" w:cs="Arial" w:eastAsia="Arial" w:hAnsi="Arial"/>
          <w:sz w:val="14"/>
          <w:szCs w:val="14"/>
          <w:color w:val="auto"/>
        </w:rPr>
        <w:t>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2" w:lineRule="exact"/>
        <w:rPr>
          <w:sz w:val="20"/>
          <w:szCs w:val="20"/>
          <w:color w:val="auto"/>
        </w:rPr>
      </w:pPr>
    </w:p>
    <w:p>
      <w:pPr>
        <w:ind w:left="120" w:right="200" w:firstLine="740"/>
        <w:spacing w:after="0" w:line="281" w:lineRule="auto"/>
        <w:tabs>
          <w:tab w:leader="none" w:pos="1607" w:val="left"/>
        </w:tabs>
        <w:numPr>
          <w:ilvl w:val="0"/>
          <w:numId w:val="104"/>
        </w:numPr>
        <w:rPr>
          <w:rFonts w:ascii="Arial" w:cs="Arial" w:eastAsia="Arial" w:hAnsi="Arial"/>
          <w:sz w:val="13"/>
          <w:szCs w:val="13"/>
          <w:color w:val="auto"/>
        </w:rPr>
      </w:pPr>
      <w:r>
        <w:rPr>
          <w:rFonts w:ascii="Arial" w:cs="Arial" w:eastAsia="Arial" w:hAnsi="Arial"/>
          <w:sz w:val="13"/>
          <w:szCs w:val="13"/>
          <w:b w:val="1"/>
          <w:bCs w:val="1"/>
          <w:color w:val="auto"/>
        </w:rPr>
        <w:t>Lessee Indemnification</w:t>
      </w:r>
      <w:r>
        <w:rPr>
          <w:rFonts w:ascii="Arial" w:cs="Arial" w:eastAsia="Arial" w:hAnsi="Arial"/>
          <w:sz w:val="13"/>
          <w:szCs w:val="13"/>
          <w:color w:val="auto"/>
        </w:rPr>
        <w:t>. Lessee shall indemnify, defend and hold Lessor, its agents, employees, lenders and ground lessor, if any, harmless from and against any</w:t>
      </w:r>
      <w:r>
        <w:rPr>
          <w:rFonts w:ascii="Arial" w:cs="Arial" w:eastAsia="Arial" w:hAnsi="Arial"/>
          <w:sz w:val="13"/>
          <w:szCs w:val="13"/>
          <w:b w:val="1"/>
          <w:bCs w:val="1"/>
          <w:color w:val="auto"/>
        </w:rPr>
        <w:t xml:space="preserve"> </w:t>
      </w:r>
      <w:r>
        <w:rPr>
          <w:rFonts w:ascii="Arial" w:cs="Arial" w:eastAsia="Arial" w:hAnsi="Arial"/>
          <w:sz w:val="13"/>
          <w:szCs w:val="13"/>
          <w:color w:val="auto"/>
        </w:rPr>
        <w:t>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eﬀects of any contamination or injury to person, property or the environment created or suﬀered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3" w:lineRule="exact"/>
        <w:rPr>
          <w:rFonts w:ascii="Arial" w:cs="Arial" w:eastAsia="Arial" w:hAnsi="Arial"/>
          <w:sz w:val="13"/>
          <w:szCs w:val="13"/>
          <w:color w:val="auto"/>
        </w:rPr>
      </w:pPr>
    </w:p>
    <w:p>
      <w:pPr>
        <w:ind w:left="120" w:right="180" w:firstLine="740"/>
        <w:spacing w:after="0" w:line="261" w:lineRule="auto"/>
        <w:tabs>
          <w:tab w:leader="none" w:pos="1606" w:val="left"/>
        </w:tabs>
        <w:numPr>
          <w:ilvl w:val="0"/>
          <w:numId w:val="104"/>
        </w:numPr>
        <w:rPr>
          <w:rFonts w:ascii="Arial" w:cs="Arial" w:eastAsia="Arial" w:hAnsi="Arial"/>
          <w:sz w:val="14"/>
          <w:szCs w:val="14"/>
          <w:color w:val="auto"/>
        </w:rPr>
      </w:pPr>
      <w:r>
        <w:rPr>
          <w:rFonts w:ascii="Arial" w:cs="Arial" w:eastAsia="Arial" w:hAnsi="Arial"/>
          <w:sz w:val="14"/>
          <w:szCs w:val="14"/>
          <w:b w:val="1"/>
          <w:bCs w:val="1"/>
          <w:color w:val="auto"/>
        </w:rPr>
        <w:t>Lessor Indemnification</w:t>
      </w:r>
      <w:r>
        <w:rPr>
          <w:rFonts w:ascii="Arial" w:cs="Arial" w:eastAsia="Arial" w:hAnsi="Arial"/>
          <w:sz w:val="14"/>
          <w:szCs w:val="14"/>
          <w:color w:val="auto"/>
        </w:rPr>
        <w:t>. Except as otherwise provided in paragraph 8.7, Lessor and its successors and assigns shall indemnify, defend, reimburse and hold Lessee,</w:t>
      </w:r>
      <w:r>
        <w:rPr>
          <w:rFonts w:ascii="Arial" w:cs="Arial" w:eastAsia="Arial" w:hAnsi="Arial"/>
          <w:sz w:val="14"/>
          <w:szCs w:val="14"/>
          <w:b w:val="1"/>
          <w:bCs w:val="1"/>
          <w:color w:val="auto"/>
        </w:rPr>
        <w:t xml:space="preserve"> </w:t>
      </w:r>
      <w:r>
        <w:rPr>
          <w:rFonts w:ascii="Arial" w:cs="Arial" w:eastAsia="Arial" w:hAnsi="Arial"/>
          <w:sz w:val="14"/>
          <w:szCs w:val="14"/>
          <w:color w:val="auto"/>
        </w:rPr>
        <w:t>its employees and lenders, harmless from and against any and all environmental damages, including the cost of remediation, which are suﬀered as a 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2" w:lineRule="exact"/>
        <w:rPr>
          <w:rFonts w:ascii="Arial" w:cs="Arial" w:eastAsia="Arial" w:hAnsi="Arial"/>
          <w:sz w:val="14"/>
          <w:szCs w:val="14"/>
          <w:color w:val="auto"/>
        </w:rPr>
      </w:pPr>
    </w:p>
    <w:p>
      <w:pPr>
        <w:ind w:left="120" w:right="200" w:firstLine="740"/>
        <w:spacing w:after="0" w:line="261" w:lineRule="auto"/>
        <w:tabs>
          <w:tab w:leader="none" w:pos="1603" w:val="left"/>
        </w:tabs>
        <w:numPr>
          <w:ilvl w:val="0"/>
          <w:numId w:val="104"/>
        </w:numPr>
        <w:rPr>
          <w:rFonts w:ascii="Arial" w:cs="Arial" w:eastAsia="Arial" w:hAnsi="Arial"/>
          <w:sz w:val="14"/>
          <w:szCs w:val="14"/>
          <w:color w:val="auto"/>
        </w:rPr>
      </w:pPr>
      <w:r>
        <w:rPr>
          <w:rFonts w:ascii="Arial" w:cs="Arial" w:eastAsia="Arial" w:hAnsi="Arial"/>
          <w:sz w:val="14"/>
          <w:szCs w:val="14"/>
          <w:b w:val="1"/>
          <w:bCs w:val="1"/>
          <w:color w:val="auto"/>
        </w:rPr>
        <w:t>Investigations and Remediations</w:t>
      </w:r>
      <w:r>
        <w:rPr>
          <w:rFonts w:ascii="Arial" w:cs="Arial" w:eastAsia="Arial" w:hAnsi="Arial"/>
          <w:sz w:val="14"/>
          <w:szCs w:val="14"/>
          <w:color w:val="auto"/>
        </w:rPr>
        <w:t>. Lessor shall retain the responsibility and pay for any investigations or remediation measures required by governmental entities</w:t>
      </w:r>
      <w:r>
        <w:rPr>
          <w:rFonts w:ascii="Arial" w:cs="Arial" w:eastAsia="Arial" w:hAnsi="Arial"/>
          <w:sz w:val="14"/>
          <w:szCs w:val="14"/>
          <w:b w:val="1"/>
          <w:bCs w:val="1"/>
          <w:color w:val="auto"/>
        </w:rPr>
        <w:t xml:space="preserve"> </w:t>
      </w:r>
      <w:r>
        <w:rPr>
          <w:rFonts w:ascii="Arial" w:cs="Arial" w:eastAsia="Arial" w:hAnsi="Arial"/>
          <w:sz w:val="14"/>
          <w:szCs w:val="14"/>
          <w:color w:val="auto"/>
        </w:rPr>
        <w:t>having jurisdiction with respect to the existence of Hazardous Substances on the Premises prior to the Lessee taking possession,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2" w:lineRule="exact"/>
        <w:rPr>
          <w:rFonts w:ascii="Arial" w:cs="Arial" w:eastAsia="Arial" w:hAnsi="Arial"/>
          <w:sz w:val="14"/>
          <w:szCs w:val="14"/>
          <w:color w:val="auto"/>
        </w:rPr>
      </w:pPr>
    </w:p>
    <w:p>
      <w:pPr>
        <w:ind w:left="120" w:right="260" w:firstLine="740"/>
        <w:spacing w:after="0" w:line="253" w:lineRule="auto"/>
        <w:tabs>
          <w:tab w:leader="none" w:pos="1608" w:val="left"/>
        </w:tabs>
        <w:numPr>
          <w:ilvl w:val="0"/>
          <w:numId w:val="104"/>
        </w:numPr>
        <w:rPr>
          <w:rFonts w:ascii="Arial" w:cs="Arial" w:eastAsia="Arial" w:hAnsi="Arial"/>
          <w:sz w:val="14"/>
          <w:szCs w:val="14"/>
          <w:color w:val="auto"/>
        </w:rPr>
      </w:pPr>
      <w:r>
        <w:rPr>
          <w:rFonts w:ascii="Arial" w:cs="Arial" w:eastAsia="Arial" w:hAnsi="Arial"/>
          <w:sz w:val="14"/>
          <w:szCs w:val="14"/>
          <w:b w:val="1"/>
          <w:bCs w:val="1"/>
          <w:color w:val="auto"/>
        </w:rPr>
        <w:t>Lessor Termination Option</w:t>
      </w:r>
      <w:r>
        <w:rPr>
          <w:rFonts w:ascii="Arial" w:cs="Arial" w:eastAsia="Arial" w:hAnsi="Arial"/>
          <w:sz w:val="14"/>
          <w:szCs w:val="14"/>
          <w:color w:val="auto"/>
        </w:rPr>
        <w:t>. If a Hazardous Substance Condition (see Paragraph 9.1(e)) occurs during the term of this Lease, unless Lessee is legally responsible</w:t>
      </w:r>
      <w:r>
        <w:rPr>
          <w:rFonts w:ascii="Arial" w:cs="Arial" w:eastAsia="Arial" w:hAnsi="Arial"/>
          <w:sz w:val="14"/>
          <w:szCs w:val="14"/>
          <w:b w:val="1"/>
          <w:bCs w:val="1"/>
          <w:color w:val="auto"/>
        </w:rPr>
        <w:t xml:space="preserve"> </w:t>
      </w:r>
      <w:r>
        <w:rPr>
          <w:rFonts w:ascii="Arial" w:cs="Arial" w:eastAsia="Arial" w:hAnsi="Arial"/>
          <w:sz w:val="14"/>
          <w:szCs w:val="14"/>
          <w:color w:val="auto"/>
        </w:rPr>
        <w:t>therefor (in which case Lessee shall make the investigation and remediation thereof required by the Applicable Requirements and this Lease shall</w:t>
      </w:r>
    </w:p>
    <w:p>
      <w:pPr>
        <w:spacing w:after="0" w:line="229" w:lineRule="auto"/>
        <w:rPr>
          <w:sz w:val="20"/>
          <w:szCs w:val="20"/>
          <w:color w:val="auto"/>
        </w:rPr>
      </w:pPr>
      <w:r>
        <w:rPr>
          <w:rFonts w:ascii="Arial" w:cs="Arial" w:eastAsia="Arial" w:hAnsi="Arial"/>
          <w:sz w:val="16"/>
          <w:szCs w:val="16"/>
          <w:color w:val="auto"/>
        </w:rPr>
        <w:t>INITIALS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4" w:right="359" w:bottom="1440" w:gutter="0" w:footer="0" w:header="0"/>
        </w:sectPr>
      </w:pPr>
    </w:p>
    <w:bookmarkStart w:id="168" w:name="page169"/>
    <w:bookmarkEnd w:id="168"/>
    <w:p>
      <w:pPr>
        <w:ind w:left="120" w:right="140"/>
        <w:spacing w:after="0" w:line="287" w:lineRule="auto"/>
        <w:rPr>
          <w:sz w:val="20"/>
          <w:szCs w:val="20"/>
          <w:color w:val="auto"/>
        </w:rPr>
      </w:pPr>
      <w:r>
        <w:rPr>
          <w:rFonts w:ascii="Arial" w:cs="Arial" w:eastAsia="Arial" w:hAnsi="Arial"/>
          <w:sz w:val="13"/>
          <w:szCs w:val="13"/>
          <w:color w:val="auto"/>
        </w:rPr>
        <w:t>continue in full force and eﬀect,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eﬀect,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eﬀect,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5" w:lineRule="exact"/>
        <w:rPr>
          <w:sz w:val="20"/>
          <w:szCs w:val="20"/>
          <w:color w:val="auto"/>
        </w:rPr>
      </w:pPr>
    </w:p>
    <w:p>
      <w:pPr>
        <w:ind w:left="120" w:right="260" w:firstLine="374"/>
        <w:spacing w:after="0" w:line="268"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b w:val="1"/>
          <w:bCs w:val="1"/>
          <w:color w:val="auto"/>
        </w:rPr>
        <w:t>Lessee's Compliance with Applicable Requirements</w:t>
      </w:r>
      <w:r>
        <w:rPr>
          <w:rFonts w:ascii="Arial" w:cs="Arial" w:eastAsia="Arial" w:hAnsi="Arial"/>
          <w:sz w:val="14"/>
          <w:szCs w:val="14"/>
          <w:color w:val="auto"/>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Applicable Requirements are now in eﬀect or become eﬀective after the Start Date. Lessee shall, within 10 days after receipt of Lessor's written request, provide Lessor with copies of all permits</w:t>
      </w:r>
    </w:p>
    <w:p>
      <w:pPr>
        <w:spacing w:after="0" w:line="17" w:lineRule="exact"/>
        <w:rPr>
          <w:sz w:val="20"/>
          <w:szCs w:val="20"/>
          <w:color w:val="auto"/>
        </w:rPr>
      </w:pPr>
    </w:p>
    <w:p>
      <w:pPr>
        <w:ind w:left="120" w:right="460"/>
        <w:spacing w:after="0" w:line="284" w:lineRule="auto"/>
        <w:rPr>
          <w:sz w:val="20"/>
          <w:szCs w:val="20"/>
          <w:color w:val="auto"/>
        </w:rPr>
      </w:pPr>
      <w:r>
        <w:rPr>
          <w:rFonts w:ascii="Arial" w:cs="Arial" w:eastAsia="Arial" w:hAnsi="Arial"/>
          <w:sz w:val="13"/>
          <w:szCs w:val="13"/>
          <w:color w:val="auto"/>
        </w:rPr>
        <w:t>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spacing w:after="0" w:line="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2"/>
          <w:szCs w:val="12"/>
          <w:b w:val="1"/>
          <w:bCs w:val="1"/>
          <w:color w:val="auto"/>
        </w:rPr>
        <w:t>Inspection; Compliance</w:t>
      </w:r>
      <w:r>
        <w:rPr>
          <w:rFonts w:ascii="Arial" w:cs="Arial" w:eastAsia="Arial" w:hAnsi="Arial"/>
          <w:sz w:val="12"/>
          <w:szCs w:val="12"/>
          <w:color w:val="auto"/>
        </w:rPr>
        <w:t>. Lessor and Lessor's "</w:t>
      </w:r>
      <w:r>
        <w:rPr>
          <w:rFonts w:ascii="Arial" w:cs="Arial" w:eastAsia="Arial" w:hAnsi="Arial"/>
          <w:sz w:val="12"/>
          <w:szCs w:val="12"/>
          <w:b w:val="1"/>
          <w:bCs w:val="1"/>
          <w:color w:val="auto"/>
        </w:rPr>
        <w:t>Lender</w:t>
      </w:r>
      <w:r>
        <w:rPr>
          <w:rFonts w:ascii="Arial" w:cs="Arial" w:eastAsia="Arial" w:hAnsi="Arial"/>
          <w:sz w:val="12"/>
          <w:szCs w:val="12"/>
          <w:color w:val="auto"/>
        </w:rPr>
        <w:t>" (as defined in Paragraph 30) and consultants authorized by Lessor shall have the right to enter into Premises at any</w:t>
      </w:r>
      <w:r>
        <w:rPr>
          <w:rFonts w:ascii="Arial" w:cs="Arial" w:eastAsia="Arial" w:hAnsi="Arial"/>
          <w:sz w:val="12"/>
          <w:szCs w:val="12"/>
          <w:b w:val="1"/>
          <w:bCs w:val="1"/>
          <w:color w:val="auto"/>
        </w:rPr>
        <w:t xml:space="preserve"> </w:t>
      </w:r>
      <w:r>
        <w:rPr>
          <w:rFonts w:ascii="Arial" w:cs="Arial" w:eastAsia="Arial" w:hAnsi="Arial"/>
          <w:sz w:val="12"/>
          <w:szCs w:val="12"/>
          <w:color w:val="auto"/>
        </w:rPr>
        <w:t>time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 the case of an emergency, and otherwise at reasonable times after reasonable notice, for the purpose of inspecting and/or testing the condition of the Premises and/or for verifying</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compliance by Lessee with this Lease. The cost of any such inspections shall be paid by Lessor, unless a violation of Applicable Requirements, or a Hazardous Substance Condition (see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Paragraph 9.1(e)) is found to exist or be imminent, or the inspection is requested or ordered by a governmental authority. In such case, Lessee shall upon request reimburse Lessor for the cost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of such inspection, so long as such inspection is reasonably related to the violation or contamination. In addition, Lessee shall provide copies of all relevant material safety data sheets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MSDS</w:t>
      </w:r>
      <w:r>
        <w:rPr>
          <w:rFonts w:ascii="Arial" w:cs="Arial" w:eastAsia="Arial" w:hAnsi="Arial"/>
          <w:sz w:val="13"/>
          <w:szCs w:val="13"/>
          <w:color w:val="auto"/>
        </w:rPr>
        <w:t>) to Lessor within 10 days of the receipt of written request therefor. Lessee acknowledges that any failure on its part to allow such inspections or testing will expose Lessor to risks and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potentially cause Lessor to incur costs not contemplated by this Lease, the extent of which will be extremely diﬃcult to ascertain. Accordingly, should the Lessee fail to allow such</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inspections and/or testing in a timely fashion the Base Rent shall be automatically increased, without any requirement for notice to Lessee, by an amount equal to 10% of the then existing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Base Rent or $100, whichever is greater for the remainder to the Lease. The Parties agree that such increase in Base Rent represents fair and reasonable compensation for the additional</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risk/costs that Lessor will incur by reason of Lessee's failure to allow such inspection and/or testing. Such increase in Base Rent shall in no event constitute a waiver of Lessee's Default or</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Breach with respect to such failure nor prevent the exercise of any of the other rights and remedies granted hereunder.</w:t>
      </w:r>
    </w:p>
    <w:p>
      <w:pPr>
        <w:spacing w:after="0" w:line="89" w:lineRule="exact"/>
        <w:rPr>
          <w:sz w:val="20"/>
          <w:szCs w:val="20"/>
          <w:color w:val="auto"/>
        </w:rPr>
      </w:pPr>
    </w:p>
    <w:p>
      <w:pPr>
        <w:ind w:left="500" w:hanging="388"/>
        <w:spacing w:after="0"/>
        <w:tabs>
          <w:tab w:leader="none" w:pos="500"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Maintenance; Repairs; Utility Installations; Trade Fixtures and Alterations.</w:t>
      </w:r>
    </w:p>
    <w:p>
      <w:pPr>
        <w:spacing w:after="0" w:line="2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Lessee's Obligations</w:t>
      </w:r>
      <w:r>
        <w:rPr>
          <w:rFonts w:ascii="Arial" w:cs="Arial" w:eastAsia="Arial" w:hAnsi="Arial"/>
          <w:sz w:val="14"/>
          <w:szCs w:val="14"/>
          <w:color w:val="auto"/>
        </w:rPr>
        <w:t>.</w:t>
      </w:r>
    </w:p>
    <w:p>
      <w:pPr>
        <w:spacing w:after="0" w:line="14" w:lineRule="exact"/>
        <w:rPr>
          <w:rFonts w:ascii="Arial" w:cs="Arial" w:eastAsia="Arial" w:hAnsi="Arial"/>
          <w:sz w:val="14"/>
          <w:szCs w:val="14"/>
          <w:b w:val="1"/>
          <w:bCs w:val="1"/>
          <w:color w:val="auto"/>
        </w:rPr>
      </w:pPr>
    </w:p>
    <w:p>
      <w:pPr>
        <w:ind w:left="120" w:right="180" w:firstLine="741"/>
        <w:spacing w:after="0" w:line="260" w:lineRule="auto"/>
        <w:tabs>
          <w:tab w:leader="none" w:pos="1607" w:val="left"/>
        </w:tabs>
        <w:numPr>
          <w:ilvl w:val="1"/>
          <w:numId w:val="105"/>
        </w:numPr>
        <w:rPr>
          <w:rFonts w:ascii="Arial" w:cs="Arial" w:eastAsia="Arial" w:hAnsi="Arial"/>
          <w:sz w:val="14"/>
          <w:szCs w:val="14"/>
          <w:color w:val="auto"/>
        </w:rPr>
      </w:pPr>
      <w:r>
        <w:rPr>
          <w:rFonts w:ascii="Arial" w:cs="Arial" w:eastAsia="Arial" w:hAnsi="Arial"/>
          <w:sz w:val="14"/>
          <w:szCs w:val="14"/>
          <w:b w:val="1"/>
          <w:bCs w:val="1"/>
          <w:color w:val="auto"/>
        </w:rPr>
        <w:t>In General</w:t>
      </w:r>
      <w:r>
        <w:rPr>
          <w:rFonts w:ascii="Arial" w:cs="Arial" w:eastAsia="Arial" w:hAnsi="Arial"/>
          <w:sz w:val="14"/>
          <w:szCs w:val="14"/>
          <w:color w:val="auto"/>
        </w:rPr>
        <w:t>. Subject to the provisions of Paragraph 2.2 (Condition), 2.3 (Compliance), 6.3 (Lessee's Compliance with Applicable Requirements), 7.2 (Lessor's</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w:t>
      </w:r>
    </w:p>
    <w:p>
      <w:pPr>
        <w:spacing w:after="0" w:line="1" w:lineRule="exact"/>
        <w:rPr>
          <w:rFonts w:ascii="Arial" w:cs="Arial" w:eastAsia="Arial" w:hAnsi="Arial"/>
          <w:sz w:val="14"/>
          <w:szCs w:val="14"/>
          <w:color w:val="auto"/>
        </w:rPr>
      </w:pPr>
    </w:p>
    <w:p>
      <w:pPr>
        <w:ind w:left="120" w:right="160" w:firstLine="740"/>
        <w:spacing w:after="0" w:line="249" w:lineRule="auto"/>
        <w:tabs>
          <w:tab w:leader="none" w:pos="1606" w:val="left"/>
        </w:tabs>
        <w:numPr>
          <w:ilvl w:val="1"/>
          <w:numId w:val="105"/>
        </w:numPr>
        <w:rPr>
          <w:rFonts w:ascii="Arial" w:cs="Arial" w:eastAsia="Arial" w:hAnsi="Arial"/>
          <w:sz w:val="14"/>
          <w:szCs w:val="14"/>
          <w:color w:val="auto"/>
        </w:rPr>
      </w:pPr>
      <w:r>
        <w:rPr>
          <w:rFonts w:ascii="Arial" w:cs="Arial" w:eastAsia="Arial" w:hAnsi="Arial"/>
          <w:sz w:val="14"/>
          <w:szCs w:val="14"/>
          <w:b w:val="1"/>
          <w:bCs w:val="1"/>
          <w:color w:val="auto"/>
        </w:rPr>
        <w:t>Service Contracts</w:t>
      </w:r>
      <w:r>
        <w:rPr>
          <w:rFonts w:ascii="Arial" w:cs="Arial" w:eastAsia="Arial" w:hAnsi="Arial"/>
          <w:sz w:val="14"/>
          <w:szCs w:val="14"/>
          <w:color w:val="auto"/>
        </w:rPr>
        <w:t>. Lessee shall, at Lessee's sole expense, procure and maintain contracts, with copies to Lessor, in customary form and substance for, and with</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contractors specializing and experienced in the maintenance of the following equipment and improvements, if any, if and when installed on the Premises: (i) HVAC equipment, (ii) boiler and pressure vessels, and (iii) clarifiers. However, Lessor reserves the right, upon notice to Lessee, to procure and maintain any or all of such service contracts, and Lessee shall reimburse Lessor, upon demand, for the cost thereof.</w:t>
      </w:r>
    </w:p>
    <w:p>
      <w:pPr>
        <w:spacing w:after="0" w:line="1" w:lineRule="exact"/>
        <w:rPr>
          <w:rFonts w:ascii="Arial" w:cs="Arial" w:eastAsia="Arial" w:hAnsi="Arial"/>
          <w:sz w:val="14"/>
          <w:szCs w:val="14"/>
          <w:color w:val="auto"/>
        </w:rPr>
      </w:pPr>
    </w:p>
    <w:p>
      <w:pPr>
        <w:ind w:left="1580" w:hanging="720"/>
        <w:spacing w:after="0"/>
        <w:tabs>
          <w:tab w:leader="none" w:pos="1580" w:val="left"/>
        </w:tabs>
        <w:numPr>
          <w:ilvl w:val="1"/>
          <w:numId w:val="105"/>
        </w:numPr>
        <w:rPr>
          <w:rFonts w:ascii="Arial" w:cs="Arial" w:eastAsia="Arial" w:hAnsi="Arial"/>
          <w:sz w:val="13"/>
          <w:szCs w:val="13"/>
          <w:color w:val="auto"/>
        </w:rPr>
      </w:pPr>
      <w:r>
        <w:rPr>
          <w:rFonts w:ascii="Arial" w:cs="Arial" w:eastAsia="Arial" w:hAnsi="Arial"/>
          <w:sz w:val="13"/>
          <w:szCs w:val="13"/>
          <w:b w:val="1"/>
          <w:bCs w:val="1"/>
          <w:color w:val="auto"/>
        </w:rPr>
        <w:t>Failure to Perform</w:t>
      </w:r>
      <w:r>
        <w:rPr>
          <w:rFonts w:ascii="Arial" w:cs="Arial" w:eastAsia="Arial" w:hAnsi="Arial"/>
          <w:sz w:val="13"/>
          <w:szCs w:val="13"/>
          <w:color w:val="auto"/>
        </w:rPr>
        <w:t>. If Lessee fails to perform Lessee's obligations under this Paragraph 7.1, Lessor may enter upon the Premises after 10 days' prior written</w:t>
      </w:r>
    </w:p>
    <w:p>
      <w:pPr>
        <w:spacing w:after="0" w:line="26" w:lineRule="exact"/>
        <w:rPr>
          <w:sz w:val="20"/>
          <w:szCs w:val="20"/>
          <w:color w:val="auto"/>
        </w:rPr>
      </w:pPr>
    </w:p>
    <w:p>
      <w:pPr>
        <w:ind w:left="120" w:right="360"/>
        <w:spacing w:after="0" w:line="251" w:lineRule="auto"/>
        <w:rPr>
          <w:sz w:val="20"/>
          <w:szCs w:val="20"/>
          <w:color w:val="auto"/>
        </w:rPr>
      </w:pPr>
      <w:r>
        <w:rPr>
          <w:rFonts w:ascii="Arial" w:cs="Arial" w:eastAsia="Arial" w:hAnsi="Arial"/>
          <w:sz w:val="14"/>
          <w:szCs w:val="14"/>
          <w:color w:val="auto"/>
        </w:rPr>
        <w:t>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spacing w:after="0" w:line="1" w:lineRule="exact"/>
        <w:rPr>
          <w:sz w:val="20"/>
          <w:szCs w:val="20"/>
          <w:color w:val="auto"/>
        </w:rPr>
      </w:pPr>
    </w:p>
    <w:p>
      <w:pPr>
        <w:ind w:left="120" w:right="120" w:firstLine="740"/>
        <w:spacing w:after="0" w:line="305" w:lineRule="auto"/>
        <w:tabs>
          <w:tab w:leader="none" w:pos="1609" w:val="left"/>
        </w:tabs>
        <w:numPr>
          <w:ilvl w:val="0"/>
          <w:numId w:val="106"/>
        </w:numPr>
        <w:rPr>
          <w:rFonts w:ascii="Arial" w:cs="Arial" w:eastAsia="Arial" w:hAnsi="Arial"/>
          <w:sz w:val="12"/>
          <w:szCs w:val="12"/>
          <w:color w:val="auto"/>
        </w:rPr>
      </w:pPr>
      <w:r>
        <w:rPr>
          <w:rFonts w:ascii="Arial" w:cs="Arial" w:eastAsia="Arial" w:hAnsi="Arial"/>
          <w:sz w:val="12"/>
          <w:szCs w:val="12"/>
          <w:b w:val="1"/>
          <w:bCs w:val="1"/>
          <w:color w:val="auto"/>
        </w:rPr>
        <w:t>Replacement</w:t>
      </w:r>
      <w:r>
        <w:rPr>
          <w:rFonts w:ascii="Arial" w:cs="Arial" w:eastAsia="Arial" w:hAnsi="Arial"/>
          <w:sz w:val="12"/>
          <w:szCs w:val="12"/>
          <w:color w:val="auto"/>
        </w:rPr>
        <w:t>. Subject to Lessee's indemnification of Lessor as set forth in Paragraph 8.7 below, and without relieving Lessee of liability resulting from Lessee's</w:t>
      </w:r>
      <w:r>
        <w:rPr>
          <w:rFonts w:ascii="Arial" w:cs="Arial" w:eastAsia="Arial" w:hAnsi="Arial"/>
          <w:sz w:val="12"/>
          <w:szCs w:val="12"/>
          <w:b w:val="1"/>
          <w:bCs w:val="1"/>
          <w:color w:val="auto"/>
        </w:rPr>
        <w:t xml:space="preserve"> </w:t>
      </w:r>
      <w:r>
        <w:rPr>
          <w:rFonts w:ascii="Arial" w:cs="Arial" w:eastAsia="Arial" w:hAnsi="Arial"/>
          <w:sz w:val="12"/>
          <w:szCs w:val="12"/>
          <w:color w:val="auto"/>
        </w:rPr>
        <w:t>failure to 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or any extension thereof,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p>
      <w:pPr>
        <w:ind w:left="120" w:right="260" w:firstLine="374"/>
        <w:spacing w:after="0" w:line="258" w:lineRule="auto"/>
        <w:rPr>
          <w:rFonts w:ascii="Arial" w:cs="Arial" w:eastAsia="Arial" w:hAnsi="Arial"/>
          <w:sz w:val="12"/>
          <w:szCs w:val="12"/>
          <w:color w:val="auto"/>
        </w:rPr>
      </w:pPr>
      <w:r>
        <w:rPr>
          <w:rFonts w:ascii="Arial" w:cs="Arial" w:eastAsia="Arial" w:hAnsi="Arial"/>
          <w:sz w:val="14"/>
          <w:szCs w:val="14"/>
          <w:color w:val="auto"/>
        </w:rPr>
        <w:t xml:space="preserve">9.2 </w:t>
      </w:r>
      <w:r>
        <w:rPr>
          <w:rFonts w:ascii="Arial" w:cs="Arial" w:eastAsia="Arial" w:hAnsi="Arial"/>
          <w:sz w:val="14"/>
          <w:szCs w:val="14"/>
          <w:b w:val="1"/>
          <w:bCs w:val="1"/>
          <w:color w:val="auto"/>
        </w:rPr>
        <w:t>Lessor's Obligations</w:t>
      </w:r>
      <w:r>
        <w:rPr>
          <w:rFonts w:ascii="Arial" w:cs="Arial" w:eastAsia="Arial" w:hAnsi="Arial"/>
          <w:sz w:val="14"/>
          <w:szCs w:val="14"/>
          <w:color w:val="auto"/>
        </w:rPr>
        <w:t>. Subject to the provisions of Paragraphs 2.2 (Condition), 2.3 (Compliance),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w:t>
      </w:r>
    </w:p>
    <w:p>
      <w:pPr>
        <w:spacing w:after="0" w:line="1"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Utility Installations; Trade Fixtures; Alterations</w:t>
      </w:r>
      <w:r>
        <w:rPr>
          <w:rFonts w:ascii="Arial" w:cs="Arial" w:eastAsia="Arial" w:hAnsi="Arial"/>
          <w:sz w:val="14"/>
          <w:szCs w:val="14"/>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0" w:right="359" w:bottom="1440" w:gutter="0" w:footer="0" w:header="0"/>
        </w:sectPr>
      </w:pPr>
    </w:p>
    <w:bookmarkStart w:id="169" w:name="page170"/>
    <w:bookmarkEnd w:id="169"/>
    <w:p>
      <w:pPr>
        <w:ind w:left="1600" w:hanging="740"/>
        <w:spacing w:after="0"/>
        <w:tabs>
          <w:tab w:leader="none" w:pos="1600" w:val="left"/>
        </w:tabs>
        <w:numPr>
          <w:ilvl w:val="0"/>
          <w:numId w:val="107"/>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Utility Installations</w:t>
      </w:r>
      <w:r>
        <w:rPr>
          <w:rFonts w:ascii="Arial" w:cs="Arial" w:eastAsia="Arial" w:hAnsi="Arial"/>
          <w:sz w:val="13"/>
          <w:szCs w:val="13"/>
          <w:color w:val="auto"/>
        </w:rPr>
        <w:t>" refers to all</w:t>
      </w:r>
      <w:r>
        <w:rPr>
          <w:rFonts w:ascii="Arial" w:cs="Arial" w:eastAsia="Arial" w:hAnsi="Arial"/>
          <w:sz w:val="13"/>
          <w:szCs w:val="13"/>
          <w:b w:val="1"/>
          <w:bCs w:val="1"/>
          <w:color w:val="auto"/>
        </w:rPr>
        <w:t xml:space="preserve"> </w:t>
      </w:r>
      <w:r>
        <w:rPr>
          <w:rFonts w:ascii="Arial" w:cs="Arial" w:eastAsia="Arial" w:hAnsi="Arial"/>
          <w:sz w:val="13"/>
          <w:szCs w:val="13"/>
          <w:color w:val="auto"/>
        </w:rPr>
        <w:t>floor and window coverings, air and/or vacuum lines, power panels, electrical distribution, security and</w:t>
      </w:r>
    </w:p>
    <w:p>
      <w:pPr>
        <w:spacing w:after="0" w:line="41" w:lineRule="exact"/>
        <w:rPr>
          <w:sz w:val="20"/>
          <w:szCs w:val="20"/>
          <w:color w:val="auto"/>
        </w:rPr>
      </w:pPr>
    </w:p>
    <w:p>
      <w:pPr>
        <w:ind w:left="120" w:right="220"/>
        <w:spacing w:after="0" w:line="262" w:lineRule="auto"/>
        <w:rPr>
          <w:sz w:val="20"/>
          <w:szCs w:val="20"/>
          <w:color w:val="auto"/>
        </w:rPr>
      </w:pPr>
      <w:r>
        <w:rPr>
          <w:rFonts w:ascii="Arial" w:cs="Arial" w:eastAsia="Arial" w:hAnsi="Arial"/>
          <w:sz w:val="14"/>
          <w:szCs w:val="14"/>
          <w:color w:val="auto"/>
        </w:rPr>
        <w:t>fire protection systems, communication cabling, lighting fixtures, HVAC equipment, plumbing, and fencing in or on the Premises. The term "</w:t>
      </w:r>
      <w:r>
        <w:rPr>
          <w:rFonts w:ascii="Arial" w:cs="Arial" w:eastAsia="Arial" w:hAnsi="Arial"/>
          <w:sz w:val="14"/>
          <w:szCs w:val="14"/>
          <w:b w:val="1"/>
          <w:bCs w:val="1"/>
          <w:color w:val="auto"/>
        </w:rPr>
        <w:t>Trade Fixtures</w:t>
      </w:r>
      <w:r>
        <w:rPr>
          <w:rFonts w:ascii="Arial" w:cs="Arial" w:eastAsia="Arial" w:hAnsi="Arial"/>
          <w:sz w:val="14"/>
          <w:szCs w:val="14"/>
          <w:color w:val="auto"/>
        </w:rPr>
        <w:t>" shall mean Lessee's machinery and equipment that can be removed without doing material damage to the Premises. The term "Alterations" shall mean any modification of the improvements, other than Utility Installations or Trade Fixtures, whether by addition or deletion. "</w:t>
      </w:r>
      <w:r>
        <w:rPr>
          <w:rFonts w:ascii="Arial" w:cs="Arial" w:eastAsia="Arial" w:hAnsi="Arial"/>
          <w:sz w:val="14"/>
          <w:szCs w:val="14"/>
          <w:b w:val="1"/>
          <w:bCs w:val="1"/>
          <w:color w:val="auto"/>
        </w:rPr>
        <w:t>Lessee Owned Alterations and/or Utility Installations</w:t>
      </w:r>
      <w:r>
        <w:rPr>
          <w:rFonts w:ascii="Arial" w:cs="Arial" w:eastAsia="Arial" w:hAnsi="Arial"/>
          <w:sz w:val="14"/>
          <w:szCs w:val="14"/>
          <w:color w:val="auto"/>
        </w:rPr>
        <w:t>" are defined as Alterations and/or Utility Installations made by Lessee that are not yet owned by Lessor pursuant to Paragraph 7.4(a).</w:t>
      </w:r>
    </w:p>
    <w:p>
      <w:pPr>
        <w:spacing w:after="0" w:line="15" w:lineRule="exact"/>
        <w:rPr>
          <w:sz w:val="20"/>
          <w:szCs w:val="20"/>
          <w:color w:val="auto"/>
        </w:rPr>
      </w:pPr>
    </w:p>
    <w:p>
      <w:pPr>
        <w:ind w:left="120" w:right="240" w:firstLine="740"/>
        <w:spacing w:after="0" w:line="282" w:lineRule="auto"/>
        <w:tabs>
          <w:tab w:leader="none" w:pos="1606" w:val="left"/>
        </w:tabs>
        <w:numPr>
          <w:ilvl w:val="1"/>
          <w:numId w:val="108"/>
        </w:numPr>
        <w:rPr>
          <w:rFonts w:ascii="Arial" w:cs="Arial" w:eastAsia="Arial" w:hAnsi="Arial"/>
          <w:sz w:val="13"/>
          <w:szCs w:val="13"/>
          <w:color w:val="auto"/>
        </w:rPr>
      </w:pPr>
      <w:r>
        <w:rPr>
          <w:rFonts w:ascii="Arial" w:cs="Arial" w:eastAsia="Arial" w:hAnsi="Arial"/>
          <w:sz w:val="13"/>
          <w:szCs w:val="13"/>
          <w:b w:val="1"/>
          <w:bCs w:val="1"/>
          <w:color w:val="auto"/>
        </w:rPr>
        <w:t>Consent</w:t>
      </w:r>
      <w:r>
        <w:rPr>
          <w:rFonts w:ascii="Arial" w:cs="Arial" w:eastAsia="Arial" w:hAnsi="Arial"/>
          <w:sz w:val="13"/>
          <w:szCs w:val="13"/>
          <w:color w:val="auto"/>
        </w:rPr>
        <w:t>. Lessee shall not make any Alterations or Utility Installations to the Premises without Lessor's prior written consent. Lessee may, however, make non</w:t>
      </w:r>
      <w:r>
        <w:rPr>
          <w:rFonts w:ascii="Arial" w:cs="Arial" w:eastAsia="Arial" w:hAnsi="Arial"/>
          <w:sz w:val="13"/>
          <w:szCs w:val="13"/>
          <w:b w:val="1"/>
          <w:bCs w:val="1"/>
          <w:color w:val="auto"/>
        </w:rPr>
        <w:t xml:space="preserve"> </w:t>
      </w:r>
      <w:r>
        <w:rPr>
          <w:rFonts w:ascii="Arial" w:cs="Arial" w:eastAsia="Arial" w:hAnsi="Arial"/>
          <w:sz w:val="13"/>
          <w:szCs w:val="13"/>
          <w:color w:val="auto"/>
        </w:rPr>
        <w:t>structural Alterations or Utility Installations to the interior of the Premises (excluding the roof) without such consent but upon notice to Lessor, as long as they are not visible from the outside, do not involve puncturing, relocating or removing the roof or any existing walls, will not aﬀect the electrical, plumbing, HVAC, and/or life safety systems, do not trigger the requirement for additional modifications and/or improvements to the Premises resulting from Applicable Requirements, such as compliance with Title 24, and/or life safety systems,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suﬃcient materials. Lessee shall promptly upon completion furnish Lessor with asbuilt plans and specifications. For work whichcosts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ind w:left="120" w:right="140" w:firstLine="740"/>
        <w:spacing w:after="0" w:line="276" w:lineRule="auto"/>
        <w:tabs>
          <w:tab w:leader="none" w:pos="1608" w:val="left"/>
        </w:tabs>
        <w:numPr>
          <w:ilvl w:val="1"/>
          <w:numId w:val="108"/>
        </w:numPr>
        <w:rPr>
          <w:rFonts w:ascii="Arial" w:cs="Arial" w:eastAsia="Arial" w:hAnsi="Arial"/>
          <w:sz w:val="13"/>
          <w:szCs w:val="13"/>
          <w:color w:val="auto"/>
        </w:rPr>
      </w:pPr>
      <w:r>
        <w:rPr>
          <w:rFonts w:ascii="Arial" w:cs="Arial" w:eastAsia="Arial" w:hAnsi="Arial"/>
          <w:sz w:val="13"/>
          <w:szCs w:val="13"/>
          <w:b w:val="1"/>
          <w:bCs w:val="1"/>
          <w:color w:val="auto"/>
        </w:rPr>
        <w:t>Liens; Bonds</w:t>
      </w:r>
      <w:r>
        <w:rPr>
          <w:rFonts w:ascii="Arial" w:cs="Arial" w:eastAsia="Arial" w:hAnsi="Arial"/>
          <w:sz w:val="13"/>
          <w:szCs w:val="13"/>
          <w:color w:val="auto"/>
        </w:rPr>
        <w:t>. Lessee shall pay, when due, all claims for labor or materials furnished or alleged to have been furnished to or for Lessee at or for use on the</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spacing w:after="0" w:line="2"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4"/>
          <w:szCs w:val="14"/>
          <w:color w:val="auto"/>
        </w:rPr>
        <w:t xml:space="preserve">9.6   </w:t>
      </w:r>
      <w:r>
        <w:rPr>
          <w:rFonts w:ascii="Arial" w:cs="Arial" w:eastAsia="Arial" w:hAnsi="Arial"/>
          <w:sz w:val="14"/>
          <w:szCs w:val="14"/>
          <w:b w:val="1"/>
          <w:bCs w:val="1"/>
          <w:color w:val="auto"/>
        </w:rPr>
        <w:t>Ownership; Removal; Surrender; and Restoration</w:t>
      </w:r>
      <w:r>
        <w:rPr>
          <w:rFonts w:ascii="Arial" w:cs="Arial" w:eastAsia="Arial" w:hAnsi="Arial"/>
          <w:sz w:val="14"/>
          <w:szCs w:val="14"/>
          <w:color w:val="auto"/>
        </w:rPr>
        <w:t>.</w:t>
      </w:r>
    </w:p>
    <w:p>
      <w:pPr>
        <w:spacing w:after="0" w:line="14" w:lineRule="exact"/>
        <w:rPr>
          <w:rFonts w:ascii="Arial" w:cs="Arial" w:eastAsia="Arial" w:hAnsi="Arial"/>
          <w:sz w:val="13"/>
          <w:szCs w:val="13"/>
          <w:color w:val="auto"/>
        </w:rPr>
      </w:pPr>
    </w:p>
    <w:p>
      <w:pPr>
        <w:ind w:left="120" w:right="220" w:firstLine="740"/>
        <w:spacing w:after="0" w:line="256" w:lineRule="auto"/>
        <w:tabs>
          <w:tab w:leader="none" w:pos="1599" w:val="left"/>
        </w:tabs>
        <w:numPr>
          <w:ilvl w:val="1"/>
          <w:numId w:val="109"/>
        </w:numPr>
        <w:rPr>
          <w:rFonts w:ascii="Arial" w:cs="Arial" w:eastAsia="Arial" w:hAnsi="Arial"/>
          <w:sz w:val="14"/>
          <w:szCs w:val="14"/>
          <w:color w:val="auto"/>
        </w:rPr>
      </w:pPr>
      <w:r>
        <w:rPr>
          <w:rFonts w:ascii="Arial" w:cs="Arial" w:eastAsia="Arial" w:hAnsi="Arial"/>
          <w:sz w:val="14"/>
          <w:szCs w:val="14"/>
          <w:b w:val="1"/>
          <w:bCs w:val="1"/>
          <w:color w:val="auto"/>
        </w:rPr>
        <w:t>Ownership</w:t>
      </w:r>
      <w:r>
        <w:rPr>
          <w:rFonts w:ascii="Arial" w:cs="Arial" w:eastAsia="Arial" w:hAnsi="Arial"/>
          <w:sz w:val="14"/>
          <w:szCs w:val="14"/>
          <w:color w:val="auto"/>
        </w:rPr>
        <w:t>. Subject to Lessor's right to require removal or elect ownership as hereinafter provided, all Alterations and Utility Installations made by Lessee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 w:lineRule="exact"/>
        <w:rPr>
          <w:rFonts w:ascii="Arial" w:cs="Arial" w:eastAsia="Arial" w:hAnsi="Arial"/>
          <w:sz w:val="14"/>
          <w:szCs w:val="14"/>
          <w:color w:val="auto"/>
        </w:rPr>
      </w:pPr>
    </w:p>
    <w:p>
      <w:pPr>
        <w:ind w:left="120" w:right="320" w:firstLine="740"/>
        <w:spacing w:after="0" w:line="261" w:lineRule="auto"/>
        <w:tabs>
          <w:tab w:leader="none" w:pos="1605" w:val="left"/>
        </w:tabs>
        <w:numPr>
          <w:ilvl w:val="1"/>
          <w:numId w:val="109"/>
        </w:numPr>
        <w:rPr>
          <w:rFonts w:ascii="Arial" w:cs="Arial" w:eastAsia="Arial" w:hAnsi="Arial"/>
          <w:sz w:val="14"/>
          <w:szCs w:val="14"/>
          <w:color w:val="auto"/>
        </w:rPr>
      </w:pPr>
      <w:r>
        <w:rPr>
          <w:rFonts w:ascii="Arial" w:cs="Arial" w:eastAsia="Arial" w:hAnsi="Arial"/>
          <w:sz w:val="14"/>
          <w:szCs w:val="14"/>
          <w:b w:val="1"/>
          <w:bCs w:val="1"/>
          <w:color w:val="auto"/>
        </w:rPr>
        <w:t>Removal</w:t>
      </w:r>
      <w:r>
        <w:rPr>
          <w:rFonts w:ascii="Arial" w:cs="Arial" w:eastAsia="Arial" w:hAnsi="Arial"/>
          <w:sz w:val="14"/>
          <w:szCs w:val="14"/>
          <w:color w:val="auto"/>
        </w:rPr>
        <w:t>. By delivery to Lessee of written notice from Lessor not earlier than 90 and not later than 30 days prior to the end of the term of this Lease, Lessor may</w:t>
      </w:r>
      <w:r>
        <w:rPr>
          <w:rFonts w:ascii="Arial" w:cs="Arial" w:eastAsia="Arial" w:hAnsi="Arial"/>
          <w:sz w:val="14"/>
          <w:szCs w:val="14"/>
          <w:b w:val="1"/>
          <w:bCs w:val="1"/>
          <w:color w:val="auto"/>
        </w:rPr>
        <w:t xml:space="preserve"> </w:t>
      </w:r>
      <w:r>
        <w:rPr>
          <w:rFonts w:ascii="Arial" w:cs="Arial" w:eastAsia="Arial" w:hAnsi="Arial"/>
          <w:sz w:val="14"/>
          <w:szCs w:val="14"/>
          <w:color w:val="auto"/>
        </w:rPr>
        <w:t>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spacing w:after="0" w:line="1" w:lineRule="exact"/>
        <w:rPr>
          <w:rFonts w:ascii="Arial" w:cs="Arial" w:eastAsia="Arial" w:hAnsi="Arial"/>
          <w:sz w:val="14"/>
          <w:szCs w:val="14"/>
          <w:color w:val="auto"/>
        </w:rPr>
      </w:pPr>
    </w:p>
    <w:p>
      <w:pPr>
        <w:ind w:left="120" w:right="160" w:firstLine="740"/>
        <w:spacing w:after="0" w:line="283" w:lineRule="auto"/>
        <w:tabs>
          <w:tab w:leader="none" w:pos="1605" w:val="left"/>
        </w:tabs>
        <w:numPr>
          <w:ilvl w:val="1"/>
          <w:numId w:val="109"/>
        </w:numPr>
        <w:rPr>
          <w:rFonts w:ascii="Arial" w:cs="Arial" w:eastAsia="Arial" w:hAnsi="Arial"/>
          <w:sz w:val="13"/>
          <w:szCs w:val="13"/>
          <w:color w:val="auto"/>
        </w:rPr>
      </w:pPr>
      <w:r>
        <w:rPr>
          <w:rFonts w:ascii="Arial" w:cs="Arial" w:eastAsia="Arial" w:hAnsi="Arial"/>
          <w:sz w:val="13"/>
          <w:szCs w:val="13"/>
          <w:b w:val="1"/>
          <w:bCs w:val="1"/>
          <w:color w:val="auto"/>
        </w:rPr>
        <w:t>Surrender; Restoration</w:t>
      </w:r>
      <w:r>
        <w:rPr>
          <w:rFonts w:ascii="Arial" w:cs="Arial" w:eastAsia="Arial" w:hAnsi="Arial"/>
          <w:sz w:val="13"/>
          <w:szCs w:val="13"/>
          <w:color w:val="auto"/>
        </w:rPr>
        <w:t>. Lessee shall surrender the Premises by the Expiration Date or any earlier termination date, with all of the improvements, parts and</w:t>
      </w:r>
      <w:r>
        <w:rPr>
          <w:rFonts w:ascii="Arial" w:cs="Arial" w:eastAsia="Arial" w:hAnsi="Arial"/>
          <w:sz w:val="13"/>
          <w:szCs w:val="13"/>
          <w:b w:val="1"/>
          <w:bCs w:val="1"/>
          <w:color w:val="auto"/>
        </w:rPr>
        <w:t xml:space="preserve"> </w:t>
      </w:r>
      <w:r>
        <w:rPr>
          <w:rFonts w:ascii="Arial" w:cs="Arial" w:eastAsia="Arial" w:hAnsi="Arial"/>
          <w:sz w:val="13"/>
          <w:szCs w:val="13"/>
          <w:color w:val="auto"/>
        </w:rPr>
        <w:t>surfaces thereof broom clean and free of debris, and in good operating order, condition and state of repair, ordinary wear and tear excepted. "Ordinary wear and tear" shall not include any damage or deterioration that would have been prevented by good maintenance practice. Notwithstanding the foregoing and the provisions of Paragraph 7.1(a), if the Lessee occupies the Premises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remove from the Premises any and all Hazardous Substances brought onto the Premises by or for Lessee, or any third party (except Hazardous Substances which were deposited via underground migration from areas outside of the Project)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48" w:lineRule="exact"/>
        <w:rPr>
          <w:rFonts w:ascii="Arial" w:cs="Arial" w:eastAsia="Arial" w:hAnsi="Arial"/>
          <w:sz w:val="13"/>
          <w:szCs w:val="13"/>
          <w:color w:val="auto"/>
        </w:rPr>
      </w:pPr>
    </w:p>
    <w:p>
      <w:pPr>
        <w:ind w:left="500" w:hanging="389"/>
        <w:spacing w:after="0"/>
        <w:tabs>
          <w:tab w:leader="none" w:pos="500"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Insurance; Indemnity.</w:t>
      </w:r>
    </w:p>
    <w:p>
      <w:pPr>
        <w:spacing w:after="0" w:line="17"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10.1  </w:t>
      </w:r>
      <w:r>
        <w:rPr>
          <w:rFonts w:ascii="Arial" w:cs="Arial" w:eastAsia="Arial" w:hAnsi="Arial"/>
          <w:sz w:val="13"/>
          <w:szCs w:val="13"/>
          <w:b w:val="1"/>
          <w:bCs w:val="1"/>
          <w:color w:val="auto"/>
        </w:rPr>
        <w:t>Payment of Premiums</w:t>
      </w:r>
      <w:r>
        <w:rPr>
          <w:rFonts w:ascii="Arial" w:cs="Arial" w:eastAsia="Arial" w:hAnsi="Arial"/>
          <w:sz w:val="13"/>
          <w:szCs w:val="13"/>
          <w:color w:val="auto"/>
        </w:rPr>
        <w:t>. The cost of the premiums for the insurance policies required to be carried by Lessor, pursuant to Paragraphs 8.2(b), 8.3(a) and 8.3(b), shall be a</w:t>
      </w:r>
    </w:p>
    <w:p>
      <w:pPr>
        <w:spacing w:after="0" w:line="21" w:lineRule="exact"/>
        <w:rPr>
          <w:sz w:val="20"/>
          <w:szCs w:val="20"/>
          <w:color w:val="auto"/>
        </w:rPr>
      </w:pPr>
    </w:p>
    <w:p>
      <w:pPr>
        <w:ind w:left="120" w:right="560"/>
        <w:spacing w:after="0" w:line="283" w:lineRule="auto"/>
        <w:rPr>
          <w:sz w:val="20"/>
          <w:szCs w:val="20"/>
          <w:color w:val="auto"/>
        </w:rPr>
      </w:pPr>
      <w:r>
        <w:rPr>
          <w:rFonts w:ascii="Arial" w:cs="Arial" w:eastAsia="Arial" w:hAnsi="Arial"/>
          <w:sz w:val="14"/>
          <w:szCs w:val="14"/>
          <w:color w:val="auto"/>
        </w:rPr>
        <w:t>Common Area Operating Expense. Premiums for policy periods commencing prior to, or extending beyond, the term of this Lease shall be prorated to coincide with the corresponding Start Date or Expiration Date.</w:t>
      </w:r>
    </w:p>
    <w:p>
      <w:pPr>
        <w:spacing w:after="0" w:line="123" w:lineRule="exact"/>
        <w:rPr>
          <w:sz w:val="20"/>
          <w:szCs w:val="20"/>
          <w:color w:val="auto"/>
        </w:rPr>
      </w:pPr>
    </w:p>
    <w:p>
      <w:pPr>
        <w:ind w:left="120" w:right="120" w:firstLine="740"/>
        <w:spacing w:after="0" w:line="275" w:lineRule="auto"/>
        <w:tabs>
          <w:tab w:leader="none" w:pos="1609" w:val="left"/>
        </w:tabs>
        <w:numPr>
          <w:ilvl w:val="0"/>
          <w:numId w:val="111"/>
        </w:numPr>
        <w:rPr>
          <w:rFonts w:ascii="Arial" w:cs="Arial" w:eastAsia="Arial" w:hAnsi="Arial"/>
          <w:sz w:val="13"/>
          <w:szCs w:val="13"/>
          <w:color w:val="auto"/>
        </w:rPr>
      </w:pPr>
      <w:r>
        <w:rPr>
          <w:rFonts w:ascii="Arial" w:cs="Arial" w:eastAsia="Arial" w:hAnsi="Arial"/>
          <w:sz w:val="13"/>
          <w:szCs w:val="13"/>
          <w:b w:val="1"/>
          <w:bCs w:val="1"/>
          <w:color w:val="auto"/>
        </w:rPr>
        <w:t>Carried by Lessee</w:t>
      </w:r>
      <w:r>
        <w:rPr>
          <w:rFonts w:ascii="Arial" w:cs="Arial" w:eastAsia="Arial" w:hAnsi="Arial"/>
          <w:sz w:val="13"/>
          <w:szCs w:val="13"/>
          <w:color w:val="auto"/>
        </w:rPr>
        <w:t>. Lessee shall obtain and keep in force a Commercial General Liability policy of insurance protecting Lessee and Lessor as an additional insured</w:t>
      </w:r>
      <w:r>
        <w:rPr>
          <w:rFonts w:ascii="Arial" w:cs="Arial" w:eastAsia="Arial" w:hAnsi="Arial"/>
          <w:sz w:val="13"/>
          <w:szCs w:val="13"/>
          <w:b w:val="1"/>
          <w:bCs w:val="1"/>
          <w:color w:val="auto"/>
        </w:rPr>
        <w:t xml:space="preserve"> </w:t>
      </w:r>
      <w:r>
        <w:rPr>
          <w:rFonts w:ascii="Arial" w:cs="Arial" w:eastAsia="Arial" w:hAnsi="Arial"/>
          <w:sz w:val="13"/>
          <w:szCs w:val="13"/>
          <w:color w:val="auto"/>
        </w:rPr>
        <w:t>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w:t>
      </w:r>
      <w:r>
        <w:rPr>
          <w:rFonts w:ascii="Arial" w:cs="Arial" w:eastAsia="Arial" w:hAnsi="Arial"/>
          <w:sz w:val="13"/>
          <w:szCs w:val="13"/>
          <w:b w:val="1"/>
          <w:bCs w:val="1"/>
          <w:color w:val="auto"/>
        </w:rPr>
        <w:t>insured contract</w:t>
      </w:r>
      <w:r>
        <w:rPr>
          <w:rFonts w:ascii="Arial" w:cs="Arial" w:eastAsia="Arial" w:hAnsi="Arial"/>
          <w:sz w:val="13"/>
          <w:szCs w:val="13"/>
          <w:color w:val="auto"/>
        </w:rPr>
        <w: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3" w:lineRule="exact"/>
        <w:rPr>
          <w:rFonts w:ascii="Arial" w:cs="Arial" w:eastAsia="Arial" w:hAnsi="Arial"/>
          <w:sz w:val="13"/>
          <w:szCs w:val="13"/>
          <w:color w:val="auto"/>
        </w:rPr>
      </w:pPr>
    </w:p>
    <w:p>
      <w:pPr>
        <w:ind w:left="120" w:right="660" w:firstLine="741"/>
        <w:spacing w:after="0" w:line="261" w:lineRule="auto"/>
        <w:tabs>
          <w:tab w:leader="none" w:pos="1608" w:val="left"/>
        </w:tabs>
        <w:numPr>
          <w:ilvl w:val="0"/>
          <w:numId w:val="111"/>
        </w:numPr>
        <w:rPr>
          <w:rFonts w:ascii="Arial" w:cs="Arial" w:eastAsia="Arial" w:hAnsi="Arial"/>
          <w:sz w:val="14"/>
          <w:szCs w:val="14"/>
          <w:color w:val="auto"/>
        </w:rPr>
      </w:pPr>
      <w:r>
        <w:rPr>
          <w:rFonts w:ascii="Arial" w:cs="Arial" w:eastAsia="Arial" w:hAnsi="Arial"/>
          <w:sz w:val="14"/>
          <w:szCs w:val="14"/>
          <w:b w:val="1"/>
          <w:bCs w:val="1"/>
          <w:color w:val="auto"/>
        </w:rPr>
        <w:t>Carried by Lessor</w:t>
      </w:r>
      <w:r>
        <w:rPr>
          <w:rFonts w:ascii="Arial" w:cs="Arial" w:eastAsia="Arial" w:hAnsi="Arial"/>
          <w:sz w:val="14"/>
          <w:szCs w:val="14"/>
          <w:color w:val="auto"/>
        </w:rPr>
        <w:t>. Lessor shall maintain liability insurance as described in Paragraph 8.2(a), in addition to, and not in lieu of, the insurance required to be</w:t>
      </w:r>
      <w:r>
        <w:rPr>
          <w:rFonts w:ascii="Arial" w:cs="Arial" w:eastAsia="Arial" w:hAnsi="Arial"/>
          <w:sz w:val="14"/>
          <w:szCs w:val="14"/>
          <w:b w:val="1"/>
          <w:bCs w:val="1"/>
          <w:color w:val="auto"/>
        </w:rPr>
        <w:t xml:space="preserve"> </w:t>
      </w:r>
      <w:r>
        <w:rPr>
          <w:rFonts w:ascii="Arial" w:cs="Arial" w:eastAsia="Arial" w:hAnsi="Arial"/>
          <w:sz w:val="14"/>
          <w:szCs w:val="14"/>
          <w:color w:val="auto"/>
        </w:rPr>
        <w:t>maintained by Lessee. Lessee shall not be named as an additional insured therein.</w:t>
      </w:r>
    </w:p>
    <w:p>
      <w:pPr>
        <w:spacing w:after="0" w:line="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b w:val="1"/>
          <w:bCs w:val="1"/>
          <w:color w:val="auto"/>
        </w:rPr>
        <w:t>Property Insurance Building, Improvements and Rental Value</w:t>
      </w:r>
      <w:r>
        <w:rPr>
          <w:rFonts w:ascii="Arial" w:cs="Arial" w:eastAsia="Arial" w:hAnsi="Arial"/>
          <w:sz w:val="13"/>
          <w:szCs w:val="13"/>
          <w:color w:val="auto"/>
        </w:rPr>
        <w:t>.</w:t>
      </w:r>
    </w:p>
    <w:p>
      <w:pPr>
        <w:spacing w:after="0" w:line="233" w:lineRule="auto"/>
        <w:rPr>
          <w:sz w:val="20"/>
          <w:szCs w:val="20"/>
          <w:color w:val="auto"/>
        </w:rPr>
      </w:pPr>
      <w:r>
        <w:rPr>
          <w:rFonts w:ascii="Arial" w:cs="Arial" w:eastAsia="Arial" w:hAnsi="Arial"/>
          <w:sz w:val="16"/>
          <w:szCs w:val="16"/>
          <w:color w:val="auto"/>
        </w:rPr>
        <w:t>INITIALS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9" w:right="359" w:bottom="1440" w:gutter="0" w:footer="0" w:header="0"/>
        </w:sectPr>
      </w:pPr>
    </w:p>
    <w:bookmarkStart w:id="170" w:name="page171"/>
    <w:bookmarkEnd w:id="170"/>
    <w:p>
      <w:pPr>
        <w:ind w:left="120" w:right="260" w:firstLine="740"/>
        <w:spacing w:after="0" w:line="279" w:lineRule="auto"/>
        <w:tabs>
          <w:tab w:leader="none" w:pos="1604" w:val="left"/>
        </w:tabs>
        <w:numPr>
          <w:ilvl w:val="0"/>
          <w:numId w:val="112"/>
        </w:numPr>
        <w:rPr>
          <w:rFonts w:ascii="Arial" w:cs="Arial" w:eastAsia="Arial" w:hAnsi="Arial"/>
          <w:sz w:val="13"/>
          <w:szCs w:val="13"/>
          <w:color w:val="auto"/>
        </w:rPr>
      </w:pPr>
      <w:r>
        <w:rPr>
          <w:rFonts w:ascii="Arial" w:cs="Arial" w:eastAsia="Arial" w:hAnsi="Arial"/>
          <w:sz w:val="13"/>
          <w:szCs w:val="13"/>
          <w:b w:val="1"/>
          <w:bCs w:val="1"/>
          <w:color w:val="auto"/>
        </w:rPr>
        <w:t>Building and Improvements</w:t>
      </w:r>
      <w:r>
        <w:rPr>
          <w:rFonts w:ascii="Arial" w:cs="Arial" w:eastAsia="Arial" w:hAnsi="Arial"/>
          <w:sz w:val="13"/>
          <w:szCs w:val="13"/>
          <w:color w:val="auto"/>
        </w:rPr>
        <w:t>. Lessor shall obtain and keep in force a policy or policies of insurance in the name of Lessor, with loss payable to Lessor, any</w:t>
      </w:r>
      <w:r>
        <w:rPr>
          <w:rFonts w:ascii="Arial" w:cs="Arial" w:eastAsia="Arial" w:hAnsi="Arial"/>
          <w:sz w:val="13"/>
          <w:szCs w:val="13"/>
          <w:b w:val="1"/>
          <w:bCs w:val="1"/>
          <w:color w:val="auto"/>
        </w:rPr>
        <w:t xml:space="preserve"> </w:t>
      </w:r>
      <w:r>
        <w:rPr>
          <w:rFonts w:ascii="Arial" w:cs="Arial" w:eastAsia="Arial" w:hAnsi="Arial"/>
          <w:sz w:val="13"/>
          <w:szCs w:val="13"/>
          <w:color w:val="auto"/>
        </w:rPr>
        <w:t>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w:t>
      </w:r>
    </w:p>
    <w:p>
      <w:pPr>
        <w:spacing w:after="0" w:line="4" w:lineRule="exact"/>
        <w:rPr>
          <w:rFonts w:ascii="Arial" w:cs="Arial" w:eastAsia="Arial" w:hAnsi="Arial"/>
          <w:sz w:val="13"/>
          <w:szCs w:val="13"/>
          <w:color w:val="auto"/>
        </w:rPr>
      </w:pPr>
    </w:p>
    <w:p>
      <w:pPr>
        <w:ind w:left="120" w:right="240" w:firstLine="740"/>
        <w:spacing w:after="0" w:line="274" w:lineRule="auto"/>
        <w:tabs>
          <w:tab w:leader="none" w:pos="1606" w:val="left"/>
        </w:tabs>
        <w:numPr>
          <w:ilvl w:val="0"/>
          <w:numId w:val="112"/>
        </w:numPr>
        <w:rPr>
          <w:rFonts w:ascii="Arial" w:cs="Arial" w:eastAsia="Arial" w:hAnsi="Arial"/>
          <w:sz w:val="13"/>
          <w:szCs w:val="13"/>
          <w:color w:val="auto"/>
        </w:rPr>
      </w:pPr>
      <w:r>
        <w:rPr>
          <w:rFonts w:ascii="Arial" w:cs="Arial" w:eastAsia="Arial" w:hAnsi="Arial"/>
          <w:sz w:val="13"/>
          <w:szCs w:val="13"/>
          <w:b w:val="1"/>
          <w:bCs w:val="1"/>
          <w:color w:val="auto"/>
        </w:rPr>
        <w:t>Rental Value</w:t>
      </w:r>
      <w:r>
        <w:rPr>
          <w:rFonts w:ascii="Arial" w:cs="Arial" w:eastAsia="Arial" w:hAnsi="Arial"/>
          <w:sz w:val="13"/>
          <w:szCs w:val="13"/>
          <w:color w:val="auto"/>
        </w:rPr>
        <w:t>. Lessor shall also obtain and keep in force a policy or policies in the name of Lessor with loss payable to Lessor and any Lender, insuring the loss of</w:t>
      </w:r>
      <w:r>
        <w:rPr>
          <w:rFonts w:ascii="Arial" w:cs="Arial" w:eastAsia="Arial" w:hAnsi="Arial"/>
          <w:sz w:val="13"/>
          <w:szCs w:val="13"/>
          <w:b w:val="1"/>
          <w:bCs w:val="1"/>
          <w:color w:val="auto"/>
        </w:rPr>
        <w:t xml:space="preserve"> </w:t>
      </w:r>
      <w:r>
        <w:rPr>
          <w:rFonts w:ascii="Arial" w:cs="Arial" w:eastAsia="Arial" w:hAnsi="Arial"/>
          <w:sz w:val="13"/>
          <w:szCs w:val="13"/>
          <w:color w:val="auto"/>
        </w:rPr>
        <w:t>the full Rent for one year with an extended period of indemnity for an additional 180 days ("Rental Value insurance"). Said insurance shall contain an agreed valuation provision in lieu of any coinsurance clause, and the amount of coverage shall be adjusted annually to reflect the projected Rent otherwise payable by Lessee, for the next 12 month period.</w:t>
      </w:r>
    </w:p>
    <w:p>
      <w:pPr>
        <w:ind w:left="120" w:right="280" w:firstLine="740"/>
        <w:spacing w:after="0" w:line="247" w:lineRule="auto"/>
        <w:tabs>
          <w:tab w:leader="none" w:pos="1601" w:val="left"/>
        </w:tabs>
        <w:numPr>
          <w:ilvl w:val="0"/>
          <w:numId w:val="112"/>
        </w:numPr>
        <w:rPr>
          <w:rFonts w:ascii="Arial" w:cs="Arial" w:eastAsia="Arial" w:hAnsi="Arial"/>
          <w:sz w:val="14"/>
          <w:szCs w:val="14"/>
          <w:color w:val="auto"/>
        </w:rPr>
      </w:pPr>
      <w:r>
        <w:rPr>
          <w:rFonts w:ascii="Arial" w:cs="Arial" w:eastAsia="Arial" w:hAnsi="Arial"/>
          <w:sz w:val="14"/>
          <w:szCs w:val="14"/>
          <w:b w:val="1"/>
          <w:bCs w:val="1"/>
          <w:color w:val="auto"/>
        </w:rPr>
        <w:t>Adjacent Premises</w:t>
      </w:r>
      <w:r>
        <w:rPr>
          <w:rFonts w:ascii="Arial" w:cs="Arial" w:eastAsia="Arial" w:hAnsi="Arial"/>
          <w:sz w:val="14"/>
          <w:szCs w:val="14"/>
          <w:color w:val="auto"/>
        </w:rPr>
        <w:t>. Lessee shall pay for any increase in the premiums for the property insurance of the Building and for the Common Areas or other buildings in</w:t>
      </w:r>
      <w:r>
        <w:rPr>
          <w:rFonts w:ascii="Arial" w:cs="Arial" w:eastAsia="Arial" w:hAnsi="Arial"/>
          <w:sz w:val="14"/>
          <w:szCs w:val="14"/>
          <w:b w:val="1"/>
          <w:bCs w:val="1"/>
          <w:color w:val="auto"/>
        </w:rPr>
        <w:t xml:space="preserve"> </w:t>
      </w:r>
      <w:r>
        <w:rPr>
          <w:rFonts w:ascii="Arial" w:cs="Arial" w:eastAsia="Arial" w:hAnsi="Arial"/>
          <w:sz w:val="14"/>
          <w:szCs w:val="14"/>
          <w:color w:val="auto"/>
        </w:rPr>
        <w:t>the Project if said increase is caused by Lessee's acts, omissions, use or occupancy of the Premises.</w:t>
      </w:r>
    </w:p>
    <w:p>
      <w:pPr>
        <w:ind w:left="120" w:right="460" w:firstLine="740"/>
        <w:spacing w:after="0" w:line="261" w:lineRule="auto"/>
        <w:tabs>
          <w:tab w:leader="none" w:pos="1590" w:val="left"/>
        </w:tabs>
        <w:numPr>
          <w:ilvl w:val="0"/>
          <w:numId w:val="112"/>
        </w:numPr>
        <w:rPr>
          <w:rFonts w:ascii="Arial" w:cs="Arial" w:eastAsia="Arial" w:hAnsi="Arial"/>
          <w:sz w:val="14"/>
          <w:szCs w:val="14"/>
          <w:color w:val="auto"/>
        </w:rPr>
      </w:pPr>
      <w:r>
        <w:rPr>
          <w:rFonts w:ascii="Arial" w:cs="Arial" w:eastAsia="Arial" w:hAnsi="Arial"/>
          <w:sz w:val="14"/>
          <w:szCs w:val="14"/>
          <w:b w:val="1"/>
          <w:bCs w:val="1"/>
          <w:color w:val="auto"/>
        </w:rPr>
        <w:t>Lessee's Improvements</w:t>
      </w:r>
      <w:r>
        <w:rPr>
          <w:rFonts w:ascii="Arial" w:cs="Arial" w:eastAsia="Arial" w:hAnsi="Arial"/>
          <w:sz w:val="14"/>
          <w:szCs w:val="14"/>
          <w:color w:val="auto"/>
        </w:rPr>
        <w:t>. Since Lessor is the Insuring Party, Lessor shall not be required to insure Lessee Owned Alterations and Utility Installations unless the</w:t>
      </w:r>
      <w:r>
        <w:rPr>
          <w:rFonts w:ascii="Arial" w:cs="Arial" w:eastAsia="Arial" w:hAnsi="Arial"/>
          <w:sz w:val="14"/>
          <w:szCs w:val="14"/>
          <w:b w:val="1"/>
          <w:bCs w:val="1"/>
          <w:color w:val="auto"/>
        </w:rPr>
        <w:t xml:space="preserve"> </w:t>
      </w:r>
      <w:r>
        <w:rPr>
          <w:rFonts w:ascii="Arial" w:cs="Arial" w:eastAsia="Arial" w:hAnsi="Arial"/>
          <w:sz w:val="14"/>
          <w:szCs w:val="14"/>
          <w:color w:val="auto"/>
        </w:rPr>
        <w:t>item in question has become the property of Lessor under the terms of this Lease.</w:t>
      </w:r>
    </w:p>
    <w:p>
      <w:pPr>
        <w:ind w:left="480"/>
        <w:spacing w:after="0"/>
        <w:rPr>
          <w:rFonts w:ascii="Arial" w:cs="Arial" w:eastAsia="Arial" w:hAnsi="Arial"/>
          <w:sz w:val="14"/>
          <w:szCs w:val="14"/>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Lessee's Property; Business Interruption Insurance; Worker's Compensation Insurance</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1220" w:hanging="361"/>
        <w:spacing w:after="0"/>
        <w:tabs>
          <w:tab w:leader="none" w:pos="1220" w:val="left"/>
        </w:tabs>
        <w:numPr>
          <w:ilvl w:val="0"/>
          <w:numId w:val="113"/>
        </w:numPr>
        <w:rPr>
          <w:rFonts w:ascii="Arial" w:cs="Arial" w:eastAsia="Arial" w:hAnsi="Arial"/>
          <w:sz w:val="14"/>
          <w:szCs w:val="14"/>
          <w:color w:val="auto"/>
        </w:rPr>
      </w:pPr>
      <w:r>
        <w:rPr>
          <w:rFonts w:ascii="Arial" w:cs="Arial" w:eastAsia="Arial" w:hAnsi="Arial"/>
          <w:sz w:val="14"/>
          <w:szCs w:val="14"/>
          <w:b w:val="1"/>
          <w:bCs w:val="1"/>
          <w:color w:val="auto"/>
        </w:rPr>
        <w:t>Property Damage</w:t>
      </w:r>
      <w:r>
        <w:rPr>
          <w:rFonts w:ascii="Arial" w:cs="Arial" w:eastAsia="Arial" w:hAnsi="Arial"/>
          <w:sz w:val="14"/>
          <w:szCs w:val="14"/>
          <w:color w:val="auto"/>
        </w:rPr>
        <w:t>. Lessee shall obtain and maintain insurance coverage on all of Lessee's personal property, Trade Fixtures, and Lessee Owned</w:t>
      </w:r>
    </w:p>
    <w:p>
      <w:pPr>
        <w:spacing w:after="0" w:line="59" w:lineRule="exact"/>
        <w:rPr>
          <w:sz w:val="20"/>
          <w:szCs w:val="20"/>
          <w:color w:val="auto"/>
        </w:rPr>
      </w:pPr>
    </w:p>
    <w:p>
      <w:pPr>
        <w:ind w:left="120" w:right="500"/>
        <w:spacing w:after="0" w:line="287" w:lineRule="auto"/>
        <w:rPr>
          <w:sz w:val="20"/>
          <w:szCs w:val="20"/>
          <w:color w:val="auto"/>
        </w:rPr>
      </w:pPr>
      <w:r>
        <w:rPr>
          <w:rFonts w:ascii="Arial" w:cs="Arial" w:eastAsia="Arial" w:hAnsi="Arial"/>
          <w:sz w:val="13"/>
          <w:szCs w:val="13"/>
          <w:color w:val="auto"/>
        </w:rPr>
        <w:t xml:space="preserve">Alterations and Utility Installations. Such insurance shall be full replacement cost coverage with a deductible of not to exceed </w:t>
      </w:r>
      <w:r>
        <w:rPr>
          <w:rFonts w:ascii="Arial" w:cs="Arial" w:eastAsia="Arial" w:hAnsi="Arial"/>
          <w:sz w:val="19"/>
          <w:szCs w:val="19"/>
          <w:color w:val="FF0000"/>
        </w:rPr>
        <w:t>$5,000</w:t>
      </w:r>
      <w:r>
        <w:rPr>
          <w:rFonts w:ascii="Arial" w:cs="Arial" w:eastAsia="Arial" w:hAnsi="Arial"/>
          <w:sz w:val="13"/>
          <w:szCs w:val="13"/>
          <w:color w:val="auto"/>
        </w:rPr>
        <w:t xml:space="preserve"> </w:t>
      </w:r>
      <w:r>
        <w:rPr>
          <w:rFonts w:ascii="Arial" w:cs="Arial" w:eastAsia="Arial" w:hAnsi="Arial"/>
          <w:sz w:val="13"/>
          <w:szCs w:val="13"/>
          <w:u w:val="single" w:color="auto"/>
          <w:color w:val="FF0000"/>
        </w:rPr>
        <w:t>$1,000</w:t>
      </w:r>
      <w:r>
        <w:rPr>
          <w:rFonts w:ascii="Arial" w:cs="Arial" w:eastAsia="Arial" w:hAnsi="Arial"/>
          <w:sz w:val="13"/>
          <w:szCs w:val="13"/>
          <w:color w:val="auto"/>
        </w:rPr>
        <w:t xml:space="preserve"> per occurrence. The proceeds from any such insurance shall be used by Lessee for the replacement of personal property, Trade Fixtures and Lessee Owned Alterations and Utility Installations.</w:t>
      </w:r>
    </w:p>
    <w:p>
      <w:pPr>
        <w:spacing w:after="0" w:line="1" w:lineRule="exact"/>
        <w:rPr>
          <w:sz w:val="20"/>
          <w:szCs w:val="20"/>
          <w:color w:val="auto"/>
        </w:rPr>
      </w:pPr>
    </w:p>
    <w:p>
      <w:pPr>
        <w:ind w:left="120" w:right="200" w:firstLine="741"/>
        <w:spacing w:after="0" w:line="305" w:lineRule="auto"/>
        <w:tabs>
          <w:tab w:leader="none" w:pos="1605"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Business Interruption</w:t>
      </w:r>
      <w:r>
        <w:rPr>
          <w:rFonts w:ascii="Arial" w:cs="Arial" w:eastAsia="Arial" w:hAnsi="Arial"/>
          <w:sz w:val="12"/>
          <w:szCs w:val="12"/>
          <w:color w:val="auto"/>
        </w:rPr>
        <w:t>. Lessee shall obtain and maintain loss of income and extra expense insurance in amounts as will reimburse Lessee for direct or indirect loss</w:t>
      </w:r>
      <w:r>
        <w:rPr>
          <w:rFonts w:ascii="Arial" w:cs="Arial" w:eastAsia="Arial" w:hAnsi="Arial"/>
          <w:sz w:val="12"/>
          <w:szCs w:val="12"/>
          <w:b w:val="1"/>
          <w:bCs w:val="1"/>
          <w:color w:val="auto"/>
        </w:rPr>
        <w:t xml:space="preserve"> </w:t>
      </w:r>
      <w:r>
        <w:rPr>
          <w:rFonts w:ascii="Arial" w:cs="Arial" w:eastAsia="Arial" w:hAnsi="Arial"/>
          <w:sz w:val="12"/>
          <w:szCs w:val="12"/>
          <w:color w:val="auto"/>
        </w:rPr>
        <w:t>of earnings attributable to all perils commonly insured against by prudent lessees in the business of Lessee or attributable to prevention of access to the Premises as a result of such perils.</w:t>
      </w:r>
    </w:p>
    <w:p>
      <w:pPr>
        <w:ind w:left="120" w:right="560" w:firstLine="740"/>
        <w:spacing w:after="0" w:line="254" w:lineRule="auto"/>
        <w:tabs>
          <w:tab w:leader="none" w:pos="1598" w:val="left"/>
        </w:tabs>
        <w:numPr>
          <w:ilvl w:val="0"/>
          <w:numId w:val="114"/>
        </w:numPr>
        <w:rPr>
          <w:rFonts w:ascii="Arial" w:cs="Arial" w:eastAsia="Arial" w:hAnsi="Arial"/>
          <w:sz w:val="14"/>
          <w:szCs w:val="14"/>
          <w:color w:val="auto"/>
        </w:rPr>
      </w:pPr>
      <w:r>
        <w:rPr>
          <w:rFonts w:ascii="Arial" w:cs="Arial" w:eastAsia="Arial" w:hAnsi="Arial"/>
          <w:sz w:val="14"/>
          <w:szCs w:val="14"/>
          <w:b w:val="1"/>
          <w:bCs w:val="1"/>
          <w:color w:val="auto"/>
        </w:rPr>
        <w:t>Worker's Compensation Insurance</w:t>
      </w:r>
      <w:r>
        <w:rPr>
          <w:rFonts w:ascii="Arial" w:cs="Arial" w:eastAsia="Arial" w:hAnsi="Arial"/>
          <w:sz w:val="14"/>
          <w:szCs w:val="14"/>
          <w:color w:val="auto"/>
        </w:rPr>
        <w:t>. Lessee shall obtain and maintain Worker's Compensation Insurance in such amount as may be required by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Requirements. Such policy shall include a 'Waiver of Subrogation' endorsement. Lessee shall provide Lessor with a copy of such endorsement along with the certificate of insurance or copy of the policy required by paragraph 8.5.</w:t>
      </w:r>
    </w:p>
    <w:p>
      <w:pPr>
        <w:spacing w:after="0" w:line="1" w:lineRule="exact"/>
        <w:rPr>
          <w:rFonts w:ascii="Arial" w:cs="Arial" w:eastAsia="Arial" w:hAnsi="Arial"/>
          <w:sz w:val="14"/>
          <w:szCs w:val="14"/>
          <w:color w:val="auto"/>
        </w:rPr>
      </w:pPr>
    </w:p>
    <w:p>
      <w:pPr>
        <w:ind w:left="120" w:right="540" w:firstLine="740"/>
        <w:spacing w:after="0" w:line="261" w:lineRule="auto"/>
        <w:tabs>
          <w:tab w:leader="none" w:pos="1584" w:val="left"/>
        </w:tabs>
        <w:numPr>
          <w:ilvl w:val="0"/>
          <w:numId w:val="114"/>
        </w:numPr>
        <w:rPr>
          <w:rFonts w:ascii="Arial" w:cs="Arial" w:eastAsia="Arial" w:hAnsi="Arial"/>
          <w:sz w:val="14"/>
          <w:szCs w:val="14"/>
          <w:color w:val="auto"/>
        </w:rPr>
      </w:pPr>
      <w:r>
        <w:rPr>
          <w:rFonts w:ascii="Arial" w:cs="Arial" w:eastAsia="Arial" w:hAnsi="Arial"/>
          <w:sz w:val="14"/>
          <w:szCs w:val="14"/>
          <w:b w:val="1"/>
          <w:bCs w:val="1"/>
          <w:color w:val="auto"/>
        </w:rPr>
        <w:t>No Representation of Adequate Coverage</w:t>
      </w:r>
      <w:r>
        <w:rPr>
          <w:rFonts w:ascii="Arial" w:cs="Arial" w:eastAsia="Arial" w:hAnsi="Arial"/>
          <w:sz w:val="14"/>
          <w:szCs w:val="14"/>
          <w:color w:val="auto"/>
        </w:rPr>
        <w:t>. Lessor makes no representation that the limits or forms of coverage of insurance specified herein are adequate to</w:t>
      </w:r>
      <w:r>
        <w:rPr>
          <w:rFonts w:ascii="Arial" w:cs="Arial" w:eastAsia="Arial" w:hAnsi="Arial"/>
          <w:sz w:val="14"/>
          <w:szCs w:val="14"/>
          <w:b w:val="1"/>
          <w:bCs w:val="1"/>
          <w:color w:val="auto"/>
        </w:rPr>
        <w:t xml:space="preserve"> </w:t>
      </w:r>
      <w:r>
        <w:rPr>
          <w:rFonts w:ascii="Arial" w:cs="Arial" w:eastAsia="Arial" w:hAnsi="Arial"/>
          <w:sz w:val="14"/>
          <w:szCs w:val="14"/>
          <w:color w:val="auto"/>
        </w:rPr>
        <w:t>cover Lessee's property, business operations or obligations under this Lease.</w:t>
      </w:r>
    </w:p>
    <w:p>
      <w:pPr>
        <w:ind w:left="120" w:right="160" w:firstLine="374"/>
        <w:spacing w:after="0" w:line="254" w:lineRule="auto"/>
        <w:rPr>
          <w:rFonts w:ascii="Arial" w:cs="Arial" w:eastAsia="Arial" w:hAnsi="Arial"/>
          <w:sz w:val="14"/>
          <w:szCs w:val="14"/>
          <w:color w:val="auto"/>
        </w:rPr>
      </w:pPr>
      <w:r>
        <w:rPr>
          <w:rFonts w:ascii="Arial" w:cs="Arial" w:eastAsia="Arial" w:hAnsi="Arial"/>
          <w:sz w:val="14"/>
          <w:szCs w:val="14"/>
          <w:color w:val="auto"/>
        </w:rPr>
        <w:t xml:space="preserve">10.7 </w:t>
      </w:r>
      <w:r>
        <w:rPr>
          <w:rFonts w:ascii="Arial" w:cs="Arial" w:eastAsia="Arial" w:hAnsi="Arial"/>
          <w:sz w:val="14"/>
          <w:szCs w:val="14"/>
          <w:b w:val="1"/>
          <w:bCs w:val="1"/>
          <w:color w:val="auto"/>
        </w:rPr>
        <w:t>Insurance Policies</w:t>
      </w:r>
      <w:r>
        <w:rPr>
          <w:rFonts w:ascii="Arial" w:cs="Arial" w:eastAsia="Arial" w:hAnsi="Arial"/>
          <w:sz w:val="14"/>
          <w:szCs w:val="14"/>
          <w:color w:val="auto"/>
        </w:rPr>
        <w:t>. 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jc w:val="both"/>
        <w:ind w:left="120" w:right="240" w:firstLine="374"/>
        <w:spacing w:after="0" w:line="278" w:lineRule="auto"/>
        <w:rPr>
          <w:rFonts w:ascii="Arial" w:cs="Arial" w:eastAsia="Arial" w:hAnsi="Arial"/>
          <w:sz w:val="14"/>
          <w:szCs w:val="14"/>
          <w:color w:val="auto"/>
        </w:rPr>
      </w:pPr>
      <w:r>
        <w:rPr>
          <w:rFonts w:ascii="Arial" w:cs="Arial" w:eastAsia="Arial" w:hAnsi="Arial"/>
          <w:sz w:val="13"/>
          <w:szCs w:val="13"/>
          <w:color w:val="auto"/>
        </w:rPr>
        <w:t xml:space="preserve">10.8 </w:t>
      </w:r>
      <w:r>
        <w:rPr>
          <w:rFonts w:ascii="Arial" w:cs="Arial" w:eastAsia="Arial" w:hAnsi="Arial"/>
          <w:sz w:val="13"/>
          <w:szCs w:val="13"/>
          <w:b w:val="1"/>
          <w:bCs w:val="1"/>
          <w:color w:val="auto"/>
        </w:rPr>
        <w:t>Waiver of Subrogation</w:t>
      </w:r>
      <w:r>
        <w:rPr>
          <w:rFonts w:ascii="Arial" w:cs="Arial" w:eastAsia="Arial" w:hAnsi="Arial"/>
          <w:sz w:val="13"/>
          <w:szCs w:val="13"/>
          <w:color w:val="auto"/>
        </w:rPr>
        <w:t>. Without aﬀecting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eﬀect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 w:lineRule="exact"/>
        <w:rPr>
          <w:rFonts w:ascii="Arial" w:cs="Arial" w:eastAsia="Arial" w:hAnsi="Arial"/>
          <w:sz w:val="14"/>
          <w:szCs w:val="14"/>
          <w:color w:val="auto"/>
        </w:rPr>
      </w:pPr>
    </w:p>
    <w:p>
      <w:pPr>
        <w:ind w:left="120" w:right="240" w:firstLine="374"/>
        <w:spacing w:after="0" w:line="260" w:lineRule="auto"/>
        <w:rPr>
          <w:rFonts w:ascii="Arial" w:cs="Arial" w:eastAsia="Arial" w:hAnsi="Arial"/>
          <w:sz w:val="14"/>
          <w:szCs w:val="14"/>
          <w:color w:val="auto"/>
        </w:rPr>
      </w:pPr>
      <w:r>
        <w:rPr>
          <w:rFonts w:ascii="Arial" w:cs="Arial" w:eastAsia="Arial" w:hAnsi="Arial"/>
          <w:sz w:val="14"/>
          <w:szCs w:val="14"/>
          <w:color w:val="auto"/>
        </w:rPr>
        <w:t xml:space="preserve">10.9 </w:t>
      </w:r>
      <w:r>
        <w:rPr>
          <w:rFonts w:ascii="Arial" w:cs="Arial" w:eastAsia="Arial" w:hAnsi="Arial"/>
          <w:sz w:val="14"/>
          <w:szCs w:val="14"/>
          <w:b w:val="1"/>
          <w:bCs w:val="1"/>
          <w:color w:val="auto"/>
        </w:rPr>
        <w:t>Indemnity</w:t>
      </w:r>
      <w:r>
        <w:rPr>
          <w:rFonts w:ascii="Arial" w:cs="Arial" w:eastAsia="Arial" w:hAnsi="Arial"/>
          <w:sz w:val="14"/>
          <w:szCs w:val="14"/>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a Breach of the Lease by Lessee and/or the use and/or occupancy of the Premises and/or Project by Lessee and/or by Lessee's employees, contractors or invitees .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1" w:lineRule="exact"/>
        <w:rPr>
          <w:rFonts w:ascii="Arial" w:cs="Arial" w:eastAsia="Arial" w:hAnsi="Arial"/>
          <w:sz w:val="14"/>
          <w:szCs w:val="14"/>
          <w:color w:val="auto"/>
        </w:rPr>
      </w:pPr>
    </w:p>
    <w:p>
      <w:pPr>
        <w:ind w:left="120" w:right="160" w:firstLine="374"/>
        <w:spacing w:after="0" w:line="256" w:lineRule="auto"/>
        <w:rPr>
          <w:rFonts w:ascii="Arial" w:cs="Arial" w:eastAsia="Arial" w:hAnsi="Arial"/>
          <w:sz w:val="14"/>
          <w:szCs w:val="14"/>
          <w:color w:val="auto"/>
        </w:rPr>
      </w:pPr>
      <w:r>
        <w:rPr>
          <w:rFonts w:ascii="Arial" w:cs="Arial" w:eastAsia="Arial" w:hAnsi="Arial"/>
          <w:sz w:val="14"/>
          <w:szCs w:val="14"/>
          <w:color w:val="auto"/>
        </w:rPr>
        <w:t xml:space="preserve">10.10 </w:t>
      </w:r>
      <w:r>
        <w:rPr>
          <w:rFonts w:ascii="Arial" w:cs="Arial" w:eastAsia="Arial" w:hAnsi="Arial"/>
          <w:sz w:val="14"/>
          <w:szCs w:val="14"/>
          <w:b w:val="1"/>
          <w:bCs w:val="1"/>
          <w:color w:val="auto"/>
        </w:rPr>
        <w:t>Exemption of Lessor and its Agents from Liability</w:t>
      </w:r>
      <w:r>
        <w:rPr>
          <w:rFonts w:ascii="Arial" w:cs="Arial" w:eastAsia="Arial" w:hAnsi="Arial"/>
          <w:sz w:val="14"/>
          <w:szCs w:val="14"/>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3" w:lineRule="exact"/>
        <w:rPr>
          <w:rFonts w:ascii="Arial" w:cs="Arial" w:eastAsia="Arial" w:hAnsi="Arial"/>
          <w:sz w:val="14"/>
          <w:szCs w:val="14"/>
          <w:color w:val="auto"/>
        </w:rPr>
      </w:pPr>
    </w:p>
    <w:p>
      <w:pPr>
        <w:jc w:val="both"/>
        <w:ind w:left="120" w:right="340" w:firstLine="374"/>
        <w:spacing w:after="0" w:line="257" w:lineRule="auto"/>
        <w:rPr>
          <w:rFonts w:ascii="Arial" w:cs="Arial" w:eastAsia="Arial" w:hAnsi="Arial"/>
          <w:sz w:val="14"/>
          <w:szCs w:val="14"/>
          <w:color w:val="auto"/>
        </w:rPr>
      </w:pPr>
      <w:r>
        <w:rPr>
          <w:rFonts w:ascii="Arial" w:cs="Arial" w:eastAsia="Arial" w:hAnsi="Arial"/>
          <w:sz w:val="14"/>
          <w:szCs w:val="14"/>
          <w:color w:val="auto"/>
        </w:rPr>
        <w:t xml:space="preserve">10.11 </w:t>
      </w:r>
      <w:r>
        <w:rPr>
          <w:rFonts w:ascii="Arial" w:cs="Arial" w:eastAsia="Arial" w:hAnsi="Arial"/>
          <w:sz w:val="14"/>
          <w:szCs w:val="14"/>
          <w:b w:val="1"/>
          <w:bCs w:val="1"/>
          <w:color w:val="auto"/>
        </w:rPr>
        <w:t>Failure to Provide Insurance</w:t>
      </w:r>
      <w:r>
        <w:rPr>
          <w:rFonts w:ascii="Arial" w:cs="Arial" w:eastAsia="Arial" w:hAnsi="Arial"/>
          <w:sz w:val="14"/>
          <w:szCs w:val="14"/>
          <w:color w:val="auto"/>
        </w:rPr>
        <w:t>. Lessee acknowledges that any failure on its part to obtain or maintain the insurance required herein will expose Lessor to risks and potentially cause Lessor to incur costs not contemplated by this Lease, the extent of which will be extremely diﬃcult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8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9" w:right="359" w:bottom="1440" w:gutter="0" w:footer="0" w:header="0"/>
        </w:sectPr>
      </w:pPr>
    </w:p>
    <w:bookmarkStart w:id="171" w:name="page172"/>
    <w:bookmarkEnd w:id="171"/>
    <w:p>
      <w:pPr>
        <w:ind w:left="140" w:right="140"/>
        <w:spacing w:after="0" w:line="265" w:lineRule="auto"/>
        <w:rPr>
          <w:sz w:val="20"/>
          <w:szCs w:val="20"/>
          <w:color w:val="auto"/>
        </w:rPr>
      </w:pPr>
      <w:r>
        <w:rPr>
          <w:rFonts w:ascii="Arial" w:cs="Arial" w:eastAsia="Arial" w:hAnsi="Arial"/>
          <w:sz w:val="14"/>
          <w:szCs w:val="14"/>
          <w:color w:val="auto"/>
        </w:rPr>
        <w:t>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64" w:lineRule="exact"/>
        <w:rPr>
          <w:sz w:val="20"/>
          <w:szCs w:val="20"/>
          <w:color w:val="auto"/>
        </w:rPr>
      </w:pPr>
    </w:p>
    <w:p>
      <w:pPr>
        <w:ind w:left="520" w:hanging="388"/>
        <w:spacing w:after="0"/>
        <w:tabs>
          <w:tab w:leader="none" w:pos="520"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Damage or Destruction.</w:t>
      </w:r>
    </w:p>
    <w:p>
      <w:pPr>
        <w:spacing w:after="0" w:line="29"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 xml:space="preserve">11.1  </w:t>
      </w:r>
      <w:r>
        <w:rPr>
          <w:rFonts w:ascii="Arial" w:cs="Arial" w:eastAsia="Arial" w:hAnsi="Arial"/>
          <w:sz w:val="14"/>
          <w:szCs w:val="14"/>
          <w:b w:val="1"/>
          <w:bCs w:val="1"/>
          <w:color w:val="auto"/>
        </w:rPr>
        <w:t>Definitions</w:t>
      </w:r>
      <w:r>
        <w:rPr>
          <w:rFonts w:ascii="Arial" w:cs="Arial" w:eastAsia="Arial" w:hAnsi="Arial"/>
          <w:sz w:val="14"/>
          <w:szCs w:val="14"/>
          <w:color w:val="auto"/>
        </w:rPr>
        <w:t>.</w:t>
      </w:r>
    </w:p>
    <w:p>
      <w:pPr>
        <w:spacing w:after="0" w:line="14" w:lineRule="exact"/>
        <w:rPr>
          <w:rFonts w:ascii="Arial" w:cs="Arial" w:eastAsia="Arial" w:hAnsi="Arial"/>
          <w:sz w:val="14"/>
          <w:szCs w:val="14"/>
          <w:b w:val="1"/>
          <w:bCs w:val="1"/>
          <w:color w:val="auto"/>
        </w:rPr>
      </w:pPr>
    </w:p>
    <w:p>
      <w:pPr>
        <w:jc w:val="both"/>
        <w:ind w:left="140" w:right="120" w:firstLine="741"/>
        <w:spacing w:after="0" w:line="261" w:lineRule="auto"/>
        <w:tabs>
          <w:tab w:leader="none" w:pos="1628"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Premises Partial Damage</w:t>
      </w:r>
      <w:r>
        <w:rPr>
          <w:rFonts w:ascii="Arial" w:cs="Arial" w:eastAsia="Arial" w:hAnsi="Arial"/>
          <w:sz w:val="14"/>
          <w:szCs w:val="14"/>
          <w:color w:val="auto"/>
        </w:rPr>
        <w:t>" shall mean damage or destruction to the improvements on the Premises, other than Lessee Owned Alterations 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w:t>
      </w:r>
    </w:p>
    <w:p>
      <w:pPr>
        <w:spacing w:after="0" w:line="1" w:lineRule="exact"/>
        <w:rPr>
          <w:rFonts w:ascii="Arial" w:cs="Arial" w:eastAsia="Arial" w:hAnsi="Arial"/>
          <w:sz w:val="14"/>
          <w:szCs w:val="14"/>
          <w:color w:val="auto"/>
        </w:rPr>
      </w:pPr>
    </w:p>
    <w:p>
      <w:pPr>
        <w:ind w:left="1620" w:hanging="740"/>
        <w:spacing w:after="0"/>
        <w:tabs>
          <w:tab w:leader="none" w:pos="16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Premises Total Destruction</w:t>
      </w:r>
      <w:r>
        <w:rPr>
          <w:rFonts w:ascii="Arial" w:cs="Arial" w:eastAsia="Arial" w:hAnsi="Arial"/>
          <w:sz w:val="14"/>
          <w:szCs w:val="14"/>
          <w:color w:val="auto"/>
        </w:rPr>
        <w:t>" shall mean damage or destruction to the improvements on the Premises, other than Lessee Owned Alterations and Utility</w:t>
      </w:r>
    </w:p>
    <w:p>
      <w:pPr>
        <w:spacing w:after="0" w:line="15" w:lineRule="exact"/>
        <w:rPr>
          <w:sz w:val="20"/>
          <w:szCs w:val="20"/>
          <w:color w:val="auto"/>
        </w:rPr>
      </w:pPr>
    </w:p>
    <w:p>
      <w:pPr>
        <w:ind w:left="140" w:right="220"/>
        <w:spacing w:after="0" w:line="281" w:lineRule="auto"/>
        <w:rPr>
          <w:sz w:val="20"/>
          <w:szCs w:val="20"/>
          <w:color w:val="auto"/>
        </w:rPr>
      </w:pPr>
      <w:r>
        <w:rPr>
          <w:rFonts w:ascii="Arial" w:cs="Arial" w:eastAsia="Arial" w:hAnsi="Arial"/>
          <w:sz w:val="13"/>
          <w:szCs w:val="13"/>
          <w:color w:val="auto"/>
        </w:rPr>
        <w:t>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spacing w:after="0" w:line="1" w:lineRule="exact"/>
        <w:rPr>
          <w:sz w:val="20"/>
          <w:szCs w:val="20"/>
          <w:color w:val="auto"/>
        </w:rPr>
      </w:pPr>
    </w:p>
    <w:p>
      <w:pPr>
        <w:ind w:left="140" w:right="580" w:firstLine="741"/>
        <w:spacing w:after="0" w:line="305" w:lineRule="auto"/>
        <w:tabs>
          <w:tab w:leader="none" w:pos="1629" w:val="left"/>
        </w:tabs>
        <w:numPr>
          <w:ilvl w:val="0"/>
          <w:numId w:val="11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Insured Loss</w:t>
      </w:r>
      <w:r>
        <w:rPr>
          <w:rFonts w:ascii="Arial" w:cs="Arial" w:eastAsia="Arial" w:hAnsi="Arial"/>
          <w:sz w:val="12"/>
          <w:szCs w:val="12"/>
          <w:color w:val="auto"/>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p>
      <w:pPr>
        <w:ind w:left="140" w:right="860" w:firstLine="741"/>
        <w:spacing w:after="0" w:line="281" w:lineRule="auto"/>
        <w:tabs>
          <w:tab w:leader="none" w:pos="1624" w:val="left"/>
        </w:tabs>
        <w:numPr>
          <w:ilvl w:val="0"/>
          <w:numId w:val="11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Replacement Cost</w:t>
      </w:r>
      <w:r>
        <w:rPr>
          <w:rFonts w:ascii="Arial" w:cs="Arial" w:eastAsia="Arial" w:hAnsi="Arial"/>
          <w:sz w:val="13"/>
          <w:szCs w:val="13"/>
          <w:color w:val="auto"/>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ind w:left="140" w:right="840" w:firstLine="740"/>
        <w:spacing w:after="0" w:line="280" w:lineRule="auto"/>
        <w:tabs>
          <w:tab w:leader="none" w:pos="15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Hazardous Substance Condition</w:t>
      </w:r>
      <w:r>
        <w:rPr>
          <w:rFonts w:ascii="Arial" w:cs="Arial" w:eastAsia="Arial" w:hAnsi="Arial"/>
          <w:sz w:val="14"/>
          <w:szCs w:val="14"/>
          <w:color w:val="auto"/>
        </w:rPr>
        <w:t>" shall mean the occurrence or discovery of a condition involving the presence of, or a contamination by, a Hazardous Substance, in, on, or under the Premises which requires restoration.</w:t>
      </w:r>
    </w:p>
    <w:p>
      <w:pPr>
        <w:spacing w:after="0" w:line="1" w:lineRule="exact"/>
        <w:rPr>
          <w:sz w:val="20"/>
          <w:szCs w:val="20"/>
          <w:color w:val="auto"/>
        </w:rPr>
      </w:pPr>
    </w:p>
    <w:p>
      <w:pPr>
        <w:jc w:val="center"/>
        <w:ind w:right="260"/>
        <w:spacing w:after="0"/>
        <w:tabs>
          <w:tab w:leader="none" w:pos="10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2"/>
          <w:szCs w:val="12"/>
          <w:b w:val="1"/>
          <w:bCs w:val="1"/>
          <w:color w:val="auto"/>
        </w:rPr>
        <w:t>Partial Damage Insured Loss</w:t>
      </w:r>
      <w:r>
        <w:rPr>
          <w:rFonts w:ascii="Arial" w:cs="Arial" w:eastAsia="Arial" w:hAnsi="Arial"/>
          <w:sz w:val="12"/>
          <w:szCs w:val="12"/>
          <w:color w:val="auto"/>
        </w:rPr>
        <w:t>. If a Premises Partial Damage that is an Insured Loss occurs, then Lessor shall, at Lessor's expense, repair such damage (but not Lessee's Trade Fixtures</w:t>
      </w:r>
    </w:p>
    <w:p>
      <w:pPr>
        <w:spacing w:after="0" w:line="29" w:lineRule="exact"/>
        <w:rPr>
          <w:sz w:val="20"/>
          <w:szCs w:val="20"/>
          <w:color w:val="auto"/>
        </w:rPr>
      </w:pPr>
    </w:p>
    <w:p>
      <w:pPr>
        <w:ind w:left="380" w:right="120"/>
        <w:spacing w:after="0" w:line="276" w:lineRule="auto"/>
        <w:rPr>
          <w:sz w:val="20"/>
          <w:szCs w:val="20"/>
          <w:color w:val="auto"/>
        </w:rPr>
      </w:pPr>
      <w:r>
        <w:rPr>
          <w:rFonts w:ascii="Arial" w:cs="Arial" w:eastAsia="Arial" w:hAnsi="Arial"/>
          <w:sz w:val="13"/>
          <w:szCs w:val="13"/>
          <w:color w:val="auto"/>
        </w:rPr>
        <w:t>or Lessee Owned Alterations and Utility Installations) as soon as reasonably possible and this Lease shall continue in full force and eﬀect;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suﬃcient to eﬀect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eﬀect.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eﬀect,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3" w:lineRule="exact"/>
        <w:rPr>
          <w:sz w:val="20"/>
          <w:szCs w:val="20"/>
          <w:color w:val="auto"/>
        </w:rPr>
      </w:pPr>
    </w:p>
    <w:p>
      <w:pPr>
        <w:ind w:left="140" w:right="220" w:firstLine="374"/>
        <w:spacing w:after="0" w:line="259"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b w:val="1"/>
          <w:bCs w:val="1"/>
          <w:color w:val="auto"/>
        </w:rPr>
        <w:t>Partial Damage Uninsured Loss</w:t>
      </w:r>
      <w:r>
        <w:rPr>
          <w:rFonts w:ascii="Arial" w:cs="Arial" w:eastAsia="Arial" w:hAnsi="Arial"/>
          <w:sz w:val="14"/>
          <w:szCs w:val="14"/>
          <w:color w:val="auto"/>
        </w:rPr>
        <w:t>. If a Premises Partial Damage that is not an Insured Loss occurs, unless caused by a negligent or willful act of Lessee (in which event Lessee shall make the repairs at Lessee's expense), Lessor may either: (i) repair such damage as soon as reasonably possible at Lessor's expense (subject to reimbursement pursuant to Paragraph 4.2), in which event this Lease shall continue in full force and eﬀect, or (ii) terminate this Lease by giving written notice to Lessee within 30 days after receipt by Lessor of knowledge of the occurrence of such damage. Such termination shall be eﬀective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eﬀect,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 w:lineRule="exact"/>
        <w:rPr>
          <w:sz w:val="20"/>
          <w:szCs w:val="20"/>
          <w:color w:val="auto"/>
        </w:rPr>
      </w:pPr>
    </w:p>
    <w:p>
      <w:pPr>
        <w:ind w:left="140" w:right="440" w:firstLine="374"/>
        <w:spacing w:after="0" w:line="254"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b w:val="1"/>
          <w:bCs w:val="1"/>
          <w:color w:val="auto"/>
        </w:rPr>
        <w:t>Total Destruction</w:t>
      </w:r>
      <w:r>
        <w:rPr>
          <w:rFonts w:ascii="Arial" w:cs="Arial" w:eastAsia="Arial" w:hAnsi="Arial"/>
          <w:sz w:val="14"/>
          <w:szCs w:val="14"/>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2" w:lineRule="exact"/>
        <w:rPr>
          <w:sz w:val="20"/>
          <w:szCs w:val="20"/>
          <w:color w:val="auto"/>
        </w:rPr>
      </w:pPr>
    </w:p>
    <w:p>
      <w:pPr>
        <w:ind w:left="140" w:right="160" w:firstLine="374"/>
        <w:spacing w:after="0" w:line="280"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b w:val="1"/>
          <w:bCs w:val="1"/>
          <w:color w:val="auto"/>
        </w:rPr>
        <w:t>Damage Near End of Term</w:t>
      </w:r>
      <w:r>
        <w:rPr>
          <w:rFonts w:ascii="Arial" w:cs="Arial" w:eastAsia="Arial" w:hAnsi="Arial"/>
          <w:sz w:val="13"/>
          <w:szCs w:val="13"/>
          <w:color w:val="auto"/>
        </w:rPr>
        <w:t>. If at any time during the last 6 months of this Lease there is damage for which the cost to repair exceeds one month's Base Rent, whether or not an Insured Loss, Lessor may terminate this Lease eﬀective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eﬀect. If Lessee fails to exercise such option and provide such funds or assurance during such period, then this Lease shall terminate on the date specified in the termination notice and Lessee's option shall be extinguished.</w:t>
      </w:r>
    </w:p>
    <w:p>
      <w:pPr>
        <w:ind w:left="500"/>
        <w:spacing w:after="0"/>
        <w:tabs>
          <w:tab w:leader="none" w:pos="86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2"/>
          <w:szCs w:val="12"/>
          <w:b w:val="1"/>
          <w:bCs w:val="1"/>
          <w:color w:val="auto"/>
        </w:rPr>
        <w:t>Abatement of Rent; Lessee's Remedies</w:t>
      </w:r>
      <w:r>
        <w:rPr>
          <w:rFonts w:ascii="Arial" w:cs="Arial" w:eastAsia="Arial" w:hAnsi="Arial"/>
          <w:sz w:val="12"/>
          <w:szCs w:val="12"/>
          <w:color w:val="auto"/>
        </w:rPr>
        <w:t>.</w:t>
      </w:r>
    </w:p>
    <w:p>
      <w:pPr>
        <w:spacing w:after="0" w:line="9" w:lineRule="exact"/>
        <w:rPr>
          <w:sz w:val="20"/>
          <w:szCs w:val="20"/>
          <w:color w:val="auto"/>
        </w:rPr>
      </w:pPr>
    </w:p>
    <w:p>
      <w:pPr>
        <w:ind w:left="140" w:right="400" w:firstLine="740"/>
        <w:spacing w:after="0" w:line="257" w:lineRule="auto"/>
        <w:tabs>
          <w:tab w:leader="none" w:pos="1615" w:val="left"/>
        </w:tabs>
        <w:numPr>
          <w:ilvl w:val="0"/>
          <w:numId w:val="117"/>
        </w:numPr>
        <w:rPr>
          <w:rFonts w:ascii="Arial" w:cs="Arial" w:eastAsia="Arial" w:hAnsi="Arial"/>
          <w:sz w:val="14"/>
          <w:szCs w:val="14"/>
          <w:color w:val="auto"/>
        </w:rPr>
      </w:pPr>
      <w:r>
        <w:rPr>
          <w:rFonts w:ascii="Arial" w:cs="Arial" w:eastAsia="Arial" w:hAnsi="Arial"/>
          <w:sz w:val="14"/>
          <w:szCs w:val="14"/>
          <w:b w:val="1"/>
          <w:bCs w:val="1"/>
          <w:color w:val="auto"/>
        </w:rPr>
        <w:t>Abatement</w:t>
      </w:r>
      <w:r>
        <w:rPr>
          <w:rFonts w:ascii="Arial" w:cs="Arial" w:eastAsia="Arial" w:hAnsi="Arial"/>
          <w:sz w:val="14"/>
          <w:szCs w:val="14"/>
          <w:color w:val="auto"/>
        </w:rPr>
        <w:t>. In the event of Premises Partial Damage or Premises Total Destruction or a Hazardous Substance Condition for which Lessee is not responsible</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w:t>
      </w:r>
    </w:p>
    <w:p>
      <w:pPr>
        <w:ind w:left="20"/>
        <w:spacing w:after="0" w:line="230" w:lineRule="auto"/>
        <w:rPr>
          <w:sz w:val="20"/>
          <w:szCs w:val="20"/>
          <w:color w:val="auto"/>
        </w:rPr>
      </w:pPr>
      <w:r>
        <w:rPr>
          <w:rFonts w:ascii="Arial" w:cs="Arial" w:eastAsia="Arial" w:hAnsi="Arial"/>
          <w:sz w:val="16"/>
          <w:szCs w:val="16"/>
          <w:color w:val="auto"/>
        </w:rPr>
        <w:t>INITIALS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MTN26.30, Revised 10222020</w:t>
      </w:r>
    </w:p>
    <w:p>
      <w:pPr>
        <w:ind w:left="20"/>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9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2" w:name="page173"/>
    <w:bookmarkEnd w:id="172"/>
    <w:p>
      <w:pPr>
        <w:ind w:left="120"/>
        <w:spacing w:after="0"/>
        <w:rPr>
          <w:sz w:val="20"/>
          <w:szCs w:val="20"/>
          <w:color w:val="auto"/>
        </w:rPr>
      </w:pPr>
      <w:r>
        <w:rPr>
          <w:rFonts w:ascii="Arial" w:cs="Arial" w:eastAsia="Arial" w:hAnsi="Arial"/>
          <w:sz w:val="14"/>
          <w:szCs w:val="14"/>
          <w:color w:val="auto"/>
        </w:rPr>
        <w:t>restoration except as provided herein.</w:t>
      </w:r>
    </w:p>
    <w:p>
      <w:pPr>
        <w:spacing w:after="0" w:line="21" w:lineRule="exact"/>
        <w:rPr>
          <w:sz w:val="20"/>
          <w:szCs w:val="20"/>
          <w:color w:val="auto"/>
        </w:rPr>
      </w:pPr>
    </w:p>
    <w:p>
      <w:pPr>
        <w:ind w:left="120" w:right="120" w:firstLine="740"/>
        <w:spacing w:after="0" w:line="261" w:lineRule="auto"/>
        <w:tabs>
          <w:tab w:leader="none" w:pos="1608" w:val="left"/>
        </w:tabs>
        <w:numPr>
          <w:ilvl w:val="1"/>
          <w:numId w:val="118"/>
        </w:numPr>
        <w:rPr>
          <w:rFonts w:ascii="Arial" w:cs="Arial" w:eastAsia="Arial" w:hAnsi="Arial"/>
          <w:sz w:val="14"/>
          <w:szCs w:val="14"/>
          <w:color w:val="auto"/>
        </w:rPr>
      </w:pPr>
      <w:r>
        <w:rPr>
          <w:rFonts w:ascii="Arial" w:cs="Arial" w:eastAsia="Arial" w:hAnsi="Arial"/>
          <w:sz w:val="14"/>
          <w:szCs w:val="14"/>
          <w:b w:val="1"/>
          <w:bCs w:val="1"/>
          <w:color w:val="auto"/>
        </w:rPr>
        <w:t>Remedies</w:t>
      </w:r>
      <w:r>
        <w:rPr>
          <w:rFonts w:ascii="Arial" w:cs="Arial" w:eastAsia="Arial" w:hAnsi="Arial"/>
          <w:sz w:val="14"/>
          <w:szCs w:val="14"/>
          <w:color w:val="auto"/>
        </w:rPr>
        <w:t>. If Lessor is obligated to repair or restore the Premises and does not commence, in a substantial and meaningful way, such repair or restoration within 90</w:t>
      </w:r>
      <w:r>
        <w:rPr>
          <w:rFonts w:ascii="Arial" w:cs="Arial" w:eastAsia="Arial" w:hAnsi="Arial"/>
          <w:sz w:val="14"/>
          <w:szCs w:val="14"/>
          <w:b w:val="1"/>
          <w:bCs w:val="1"/>
          <w:color w:val="auto"/>
        </w:rPr>
        <w:t xml:space="preserve"> </w:t>
      </w:r>
      <w:r>
        <w:rPr>
          <w:rFonts w:ascii="Arial" w:cs="Arial" w:eastAsia="Arial" w:hAnsi="Arial"/>
          <w:sz w:val="14"/>
          <w:szCs w:val="14"/>
          <w:color w:val="auto"/>
        </w:rPr>
        <w:t>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eﬀect. "Commence" shall mean either the unconditional authorization of the preparation of the required plans, or the beginning of the actual work on the Premises, whichever first occurs.</w:t>
      </w:r>
    </w:p>
    <w:p>
      <w:pPr>
        <w:spacing w:after="0" w:line="2" w:lineRule="exact"/>
        <w:rPr>
          <w:rFonts w:ascii="Arial" w:cs="Arial" w:eastAsia="Arial" w:hAnsi="Arial"/>
          <w:sz w:val="14"/>
          <w:szCs w:val="14"/>
          <w:color w:val="auto"/>
        </w:rPr>
      </w:pPr>
    </w:p>
    <w:p>
      <w:pPr>
        <w:jc w:val="both"/>
        <w:ind w:left="120" w:right="460" w:firstLine="374"/>
        <w:spacing w:after="0" w:line="262" w:lineRule="auto"/>
        <w:rPr>
          <w:rFonts w:ascii="Arial" w:cs="Arial" w:eastAsia="Arial" w:hAnsi="Arial"/>
          <w:sz w:val="14"/>
          <w:szCs w:val="14"/>
          <w:color w:val="auto"/>
        </w:rPr>
      </w:pPr>
      <w:r>
        <w:rPr>
          <w:rFonts w:ascii="Arial" w:cs="Arial" w:eastAsia="Arial" w:hAnsi="Arial"/>
          <w:sz w:val="14"/>
          <w:szCs w:val="14"/>
          <w:color w:val="auto"/>
        </w:rPr>
        <w:t xml:space="preserve">11.7 </w:t>
      </w:r>
      <w:r>
        <w:rPr>
          <w:rFonts w:ascii="Arial" w:cs="Arial" w:eastAsia="Arial" w:hAnsi="Arial"/>
          <w:sz w:val="14"/>
          <w:szCs w:val="14"/>
          <w:b w:val="1"/>
          <w:bCs w:val="1"/>
          <w:color w:val="auto"/>
        </w:rPr>
        <w:t>Termination; Advance Payments</w:t>
      </w:r>
      <w:r>
        <w:rPr>
          <w:rFonts w:ascii="Arial" w:cs="Arial" w:eastAsia="Arial" w:hAnsi="Arial"/>
          <w:sz w:val="14"/>
          <w:szCs w:val="14"/>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56" w:lineRule="exact"/>
        <w:rPr>
          <w:rFonts w:ascii="Arial" w:cs="Arial" w:eastAsia="Arial" w:hAnsi="Arial"/>
          <w:sz w:val="14"/>
          <w:szCs w:val="14"/>
          <w:color w:val="auto"/>
        </w:rPr>
      </w:pPr>
    </w:p>
    <w:p>
      <w:pPr>
        <w:ind w:left="480" w:hanging="367"/>
        <w:spacing w:after="0"/>
        <w:tabs>
          <w:tab w:leader="none" w:pos="48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Real Property Taxes.</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12.1  </w:t>
      </w:r>
      <w:r>
        <w:rPr>
          <w:rFonts w:ascii="Arial" w:cs="Arial" w:eastAsia="Arial" w:hAnsi="Arial"/>
          <w:sz w:val="13"/>
          <w:szCs w:val="13"/>
          <w:b w:val="1"/>
          <w:bCs w:val="1"/>
          <w:color w:val="auto"/>
        </w:rPr>
        <w:t>Definition</w:t>
      </w:r>
      <w:r>
        <w:rPr>
          <w:rFonts w:ascii="Arial" w:cs="Arial" w:eastAsia="Arial" w:hAnsi="Arial"/>
          <w:sz w:val="13"/>
          <w:szCs w:val="13"/>
          <w:color w:val="auto"/>
        </w:rPr>
        <w:t>. As used herein, the term "</w:t>
      </w:r>
      <w:r>
        <w:rPr>
          <w:rFonts w:ascii="Arial" w:cs="Arial" w:eastAsia="Arial" w:hAnsi="Arial"/>
          <w:sz w:val="13"/>
          <w:szCs w:val="13"/>
          <w:b w:val="1"/>
          <w:bCs w:val="1"/>
          <w:color w:val="auto"/>
        </w:rPr>
        <w:t>Real Property Taxes</w:t>
      </w:r>
      <w:r>
        <w:rPr>
          <w:rFonts w:ascii="Arial" w:cs="Arial" w:eastAsia="Arial" w:hAnsi="Arial"/>
          <w:sz w:val="13"/>
          <w:szCs w:val="13"/>
          <w:color w:val="auto"/>
        </w:rPr>
        <w:t>" shall include any form of assessment; real estate, general, special, ordinary or extraordinary, or rental levy or tax</w:t>
      </w:r>
    </w:p>
    <w:p>
      <w:pPr>
        <w:spacing w:after="0" w:line="18" w:lineRule="exact"/>
        <w:rPr>
          <w:sz w:val="20"/>
          <w:szCs w:val="20"/>
          <w:color w:val="auto"/>
        </w:rPr>
      </w:pPr>
    </w:p>
    <w:p>
      <w:pPr>
        <w:ind w:left="120" w:right="120"/>
        <w:spacing w:after="0" w:line="263" w:lineRule="auto"/>
        <w:rPr>
          <w:sz w:val="20"/>
          <w:szCs w:val="20"/>
          <w:color w:val="auto"/>
        </w:rPr>
      </w:pPr>
      <w:r>
        <w:rPr>
          <w:rFonts w:ascii="Arial" w:cs="Arial" w:eastAsia="Arial" w:hAnsi="Arial"/>
          <w:sz w:val="13"/>
          <w:szCs w:val="13"/>
          <w:color w:val="auto"/>
        </w:rPr>
        <w:t>(other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spacing w:after="0" w:line="3" w:lineRule="exact"/>
        <w:rPr>
          <w:sz w:val="20"/>
          <w:szCs w:val="20"/>
          <w:color w:val="auto"/>
        </w:rPr>
      </w:pPr>
    </w:p>
    <w:p>
      <w:pPr>
        <w:ind w:left="120" w:right="440" w:firstLine="374"/>
        <w:spacing w:after="0" w:line="257"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b w:val="1"/>
          <w:bCs w:val="1"/>
          <w:color w:val="auto"/>
        </w:rPr>
        <w:t>Payment of Taxes</w:t>
      </w:r>
      <w:r>
        <w:rPr>
          <w:rFonts w:ascii="Arial" w:cs="Arial" w:eastAsia="Arial" w:hAnsi="Arial"/>
          <w:sz w:val="14"/>
          <w:szCs w:val="14"/>
          <w:color w:val="auto"/>
        </w:rPr>
        <w:t>. Except as otherwise provided in Paragraph 10.3, Lessor shall pay the Real Property Taxes applicable to the Project, and said payments shall be included in the calculation of Common Area Operating Expenses in accordance with the provisions of Paragraph 4.2.</w:t>
      </w:r>
    </w:p>
    <w:p>
      <w:pPr>
        <w:spacing w:after="0" w:line="1" w:lineRule="exact"/>
        <w:rPr>
          <w:sz w:val="20"/>
          <w:szCs w:val="20"/>
          <w:color w:val="auto"/>
        </w:rPr>
      </w:pPr>
    </w:p>
    <w:p>
      <w:pPr>
        <w:ind w:left="120" w:right="220" w:firstLine="374"/>
        <w:spacing w:after="0" w:line="266" w:lineRule="auto"/>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b w:val="1"/>
          <w:bCs w:val="1"/>
          <w:color w:val="auto"/>
        </w:rPr>
        <w:t>Additional Improvements</w:t>
      </w:r>
      <w:r>
        <w:rPr>
          <w:rFonts w:ascii="Arial" w:cs="Arial" w:eastAsia="Arial" w:hAnsi="Arial"/>
          <w:sz w:val="14"/>
          <w:szCs w:val="14"/>
          <w:color w:val="auto"/>
        </w:rPr>
        <w:t>. Common Area Operating Expenses shall not include Real Property Taxes specified in the tax assessor's records and work sheets as being caused by additional improvements placed upon the Project by other lessees or by Lessor for the exclusive enjoyment of such other lessees. Notwithstanding Paragraph 10.2 hereof, Lessee shall, however, pay to Lessor at the time Common Area Operating Expenses are payable under Paragraph 4.2,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spacing w:after="0" w:line="2" w:lineRule="exact"/>
        <w:rPr>
          <w:sz w:val="20"/>
          <w:szCs w:val="20"/>
          <w:color w:val="auto"/>
        </w:rPr>
      </w:pPr>
    </w:p>
    <w:p>
      <w:pPr>
        <w:jc w:val="both"/>
        <w:ind w:left="120" w:right="240" w:firstLine="374"/>
        <w:spacing w:after="0" w:line="266" w:lineRule="auto"/>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b w:val="1"/>
          <w:bCs w:val="1"/>
          <w:color w:val="auto"/>
        </w:rPr>
        <w:t>Joint Assessment</w:t>
      </w:r>
      <w:r>
        <w:rPr>
          <w:rFonts w:ascii="Arial" w:cs="Arial" w:eastAsia="Arial" w:hAnsi="Arial"/>
          <w:sz w:val="14"/>
          <w:szCs w:val="14"/>
          <w:color w:val="auto"/>
        </w:rPr>
        <w:t>. 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spacing w:after="0" w:line="2" w:lineRule="exact"/>
        <w:rPr>
          <w:sz w:val="20"/>
          <w:szCs w:val="20"/>
          <w:color w:val="auto"/>
        </w:rPr>
      </w:pPr>
    </w:p>
    <w:p>
      <w:pPr>
        <w:ind w:left="120" w:right="320" w:firstLine="374"/>
        <w:spacing w:after="0" w:line="256" w:lineRule="auto"/>
        <w:rPr>
          <w:sz w:val="20"/>
          <w:szCs w:val="20"/>
          <w:color w:val="auto"/>
        </w:rPr>
      </w:pPr>
      <w:r>
        <w:rPr>
          <w:rFonts w:ascii="Arial" w:cs="Arial" w:eastAsia="Arial" w:hAnsi="Arial"/>
          <w:sz w:val="14"/>
          <w:szCs w:val="14"/>
          <w:color w:val="auto"/>
        </w:rPr>
        <w:t xml:space="preserve">12.5 </w:t>
      </w:r>
      <w:r>
        <w:rPr>
          <w:rFonts w:ascii="Arial" w:cs="Arial" w:eastAsia="Arial" w:hAnsi="Arial"/>
          <w:sz w:val="14"/>
          <w:szCs w:val="14"/>
          <w:b w:val="1"/>
          <w:bCs w:val="1"/>
          <w:color w:val="auto"/>
        </w:rPr>
        <w:t>Personal Property Taxes</w:t>
      </w:r>
      <w:r>
        <w:rPr>
          <w:rFonts w:ascii="Arial" w:cs="Arial" w:eastAsia="Arial" w:hAnsi="Arial"/>
          <w:sz w:val="14"/>
          <w:szCs w:val="14"/>
          <w:color w:val="auto"/>
        </w:rPr>
        <w:t>. 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89" w:lineRule="exact"/>
        <w:rPr>
          <w:sz w:val="20"/>
          <w:szCs w:val="20"/>
          <w:color w:val="auto"/>
        </w:rPr>
      </w:pPr>
    </w:p>
    <w:p>
      <w:pPr>
        <w:ind w:left="480" w:hanging="369"/>
        <w:spacing w:after="0"/>
        <w:tabs>
          <w:tab w:leader="none" w:pos="480"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Utilities and Services.</w:t>
      </w:r>
    </w:p>
    <w:p>
      <w:pPr>
        <w:spacing w:after="0" w:line="25" w:lineRule="exact"/>
        <w:rPr>
          <w:sz w:val="20"/>
          <w:szCs w:val="20"/>
          <w:color w:val="auto"/>
        </w:rPr>
      </w:pPr>
    </w:p>
    <w:p>
      <w:pPr>
        <w:ind w:left="120" w:right="300" w:firstLine="374"/>
        <w:spacing w:after="0" w:line="261" w:lineRule="auto"/>
        <w:rPr>
          <w:sz w:val="20"/>
          <w:szCs w:val="20"/>
          <w:color w:val="auto"/>
        </w:rPr>
      </w:pPr>
      <w:r>
        <w:rPr>
          <w:rFonts w:ascii="Arial" w:cs="Arial" w:eastAsia="Arial" w:hAnsi="Arial"/>
          <w:sz w:val="14"/>
          <w:szCs w:val="14"/>
          <w:color w:val="auto"/>
        </w:rPr>
        <w:t>13.1 Lessee shall pay for all water, gas, heat, light, power, telephone, trash disposal and other utilities and services supplied to the Premises, together with any taxes thereon. Notwithstanding the provisions of Paragraph 4.2, if at any time in Lessor's sole judgment, Lessor determines that Lessee is using a disproportionate amount of water, electricity or other commonly metered utilities, or that Lessee is generating such a large volume of trash as to require an increase in the size of the trash receptacle and/or an increase in the number of times per month that it is emptied, then Lessor may increase Lessee's Base Rent by an amount equal to such increased costs.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3" w:lineRule="exact"/>
        <w:rPr>
          <w:sz w:val="20"/>
          <w:szCs w:val="20"/>
          <w:color w:val="auto"/>
        </w:rPr>
      </w:pPr>
    </w:p>
    <w:p>
      <w:pPr>
        <w:ind w:left="120" w:right="620" w:firstLine="374"/>
        <w:spacing w:after="0" w:line="283" w:lineRule="auto"/>
        <w:rPr>
          <w:sz w:val="20"/>
          <w:szCs w:val="20"/>
          <w:color w:val="auto"/>
        </w:rPr>
      </w:pPr>
      <w:r>
        <w:rPr>
          <w:rFonts w:ascii="Arial" w:cs="Arial" w:eastAsia="Arial" w:hAnsi="Arial"/>
          <w:sz w:val="14"/>
          <w:szCs w:val="14"/>
          <w:color w:val="auto"/>
        </w:rPr>
        <w:t>13.2 Within fifteen days of Lessor's written request, Lessee agrees to deliver to Lessor such information, documents and/or authorization as Lessor needs in order for Lessor to comply with new or existing Applicable Requirements relating to commercial building energy usage, ratings, and/or the reporting thereof.</w:t>
      </w:r>
    </w:p>
    <w:p>
      <w:pPr>
        <w:spacing w:after="0" w:line="69" w:lineRule="exact"/>
        <w:rPr>
          <w:sz w:val="20"/>
          <w:szCs w:val="20"/>
          <w:color w:val="auto"/>
        </w:rPr>
      </w:pPr>
    </w:p>
    <w:p>
      <w:pPr>
        <w:ind w:left="480" w:hanging="369"/>
        <w:spacing w:after="0"/>
        <w:tabs>
          <w:tab w:leader="none" w:pos="480"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Assignment and Subletting.</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color w:val="auto"/>
        </w:rPr>
        <w:t xml:space="preserve">14.1  </w:t>
      </w:r>
      <w:r>
        <w:rPr>
          <w:rFonts w:ascii="Arial" w:cs="Arial" w:eastAsia="Arial" w:hAnsi="Arial"/>
          <w:sz w:val="14"/>
          <w:szCs w:val="14"/>
          <w:b w:val="1"/>
          <w:bCs w:val="1"/>
          <w:color w:val="auto"/>
        </w:rPr>
        <w:t>Lessor's Consent Required</w:t>
      </w:r>
      <w:r>
        <w:rPr>
          <w:rFonts w:ascii="Arial" w:cs="Arial" w:eastAsia="Arial" w:hAnsi="Arial"/>
          <w:sz w:val="14"/>
          <w:szCs w:val="14"/>
          <w:color w:val="auto"/>
        </w:rPr>
        <w:t>.</w:t>
      </w:r>
    </w:p>
    <w:p>
      <w:pPr>
        <w:spacing w:after="0" w:line="14" w:lineRule="exact"/>
        <w:rPr>
          <w:rFonts w:ascii="Arial" w:cs="Arial" w:eastAsia="Arial" w:hAnsi="Arial"/>
          <w:sz w:val="14"/>
          <w:szCs w:val="14"/>
          <w:b w:val="1"/>
          <w:bCs w:val="1"/>
          <w:color w:val="auto"/>
        </w:rPr>
      </w:pPr>
    </w:p>
    <w:p>
      <w:pPr>
        <w:ind w:left="120" w:right="680" w:firstLine="740"/>
        <w:spacing w:after="0" w:line="261" w:lineRule="auto"/>
        <w:tabs>
          <w:tab w:leader="none" w:pos="1591" w:val="left"/>
        </w:tabs>
        <w:numPr>
          <w:ilvl w:val="1"/>
          <w:numId w:val="121"/>
        </w:numPr>
        <w:rPr>
          <w:rFonts w:ascii="Arial" w:cs="Arial" w:eastAsia="Arial" w:hAnsi="Arial"/>
          <w:sz w:val="14"/>
          <w:szCs w:val="14"/>
          <w:color w:val="auto"/>
        </w:rPr>
      </w:pPr>
      <w:r>
        <w:rPr>
          <w:rFonts w:ascii="Arial" w:cs="Arial" w:eastAsia="Arial" w:hAnsi="Arial"/>
          <w:sz w:val="14"/>
          <w:szCs w:val="14"/>
          <w:color w:val="auto"/>
        </w:rPr>
        <w:t>Lessee shall not voluntarily or by operation of law assign, transfer, mortgage or encumber (collectively, "</w:t>
      </w:r>
      <w:r>
        <w:rPr>
          <w:rFonts w:ascii="Arial" w:cs="Arial" w:eastAsia="Arial" w:hAnsi="Arial"/>
          <w:sz w:val="14"/>
          <w:szCs w:val="14"/>
          <w:b w:val="1"/>
          <w:bCs w:val="1"/>
          <w:color w:val="auto"/>
        </w:rPr>
        <w:t>assign or assignment</w:t>
      </w:r>
      <w:r>
        <w:rPr>
          <w:rFonts w:ascii="Arial" w:cs="Arial" w:eastAsia="Arial" w:hAnsi="Arial"/>
          <w:sz w:val="14"/>
          <w:szCs w:val="14"/>
          <w:color w:val="auto"/>
        </w:rPr>
        <w:t>") or sublet all or any part of Lessee's interest in this Lease or in the Premises without Lessor's prior written consent.</w:t>
      </w:r>
    </w:p>
    <w:p>
      <w:pPr>
        <w:ind w:left="120" w:right="660" w:firstLine="740"/>
        <w:spacing w:after="0" w:line="287" w:lineRule="auto"/>
        <w:tabs>
          <w:tab w:leader="none" w:pos="1605" w:val="left"/>
        </w:tabs>
        <w:numPr>
          <w:ilvl w:val="1"/>
          <w:numId w:val="121"/>
        </w:numPr>
        <w:rPr>
          <w:rFonts w:ascii="Arial" w:cs="Arial" w:eastAsia="Arial" w:hAnsi="Arial"/>
          <w:sz w:val="13"/>
          <w:szCs w:val="13"/>
          <w:color w:val="auto"/>
        </w:rPr>
      </w:pPr>
      <w:r>
        <w:rPr>
          <w:rFonts w:ascii="Arial" w:cs="Arial" w:eastAsia="Arial" w:hAnsi="Arial"/>
          <w:sz w:val="13"/>
          <w:szCs w:val="13"/>
          <w:color w:val="auto"/>
        </w:rPr>
        <w:t>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w:t>
      </w:r>
    </w:p>
    <w:p>
      <w:pPr>
        <w:ind w:left="120" w:right="260" w:firstLine="740"/>
        <w:spacing w:after="0" w:line="283" w:lineRule="auto"/>
        <w:tabs>
          <w:tab w:leader="none" w:pos="1603" w:val="left"/>
        </w:tabs>
        <w:numPr>
          <w:ilvl w:val="1"/>
          <w:numId w:val="121"/>
        </w:numPr>
        <w:rPr>
          <w:rFonts w:ascii="Arial" w:cs="Arial" w:eastAsia="Arial" w:hAnsi="Arial"/>
          <w:sz w:val="13"/>
          <w:szCs w:val="13"/>
          <w:color w:val="auto"/>
        </w:rPr>
      </w:pPr>
      <w:r>
        <w:rPr>
          <w:rFonts w:ascii="Arial" w:cs="Arial" w:eastAsia="Arial" w:hAnsi="Arial"/>
          <w:sz w:val="13"/>
          <w:szCs w:val="13"/>
          <w:color w:val="auto"/>
        </w:rPr>
        <w:t>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Arial" w:cs="Arial" w:eastAsia="Arial" w:hAnsi="Arial"/>
          <w:sz w:val="13"/>
          <w:szCs w:val="13"/>
          <w:b w:val="1"/>
          <w:bCs w:val="1"/>
          <w:color w:val="auto"/>
        </w:rPr>
        <w:t>Net Worth of Lessee</w:t>
      </w:r>
      <w:r>
        <w:rPr>
          <w:rFonts w:ascii="Arial" w:cs="Arial" w:eastAsia="Arial" w:hAnsi="Arial"/>
          <w:sz w:val="13"/>
          <w:szCs w:val="13"/>
          <w:color w:val="auto"/>
        </w:rPr>
        <w:t>" shall mean the net worth of Lessee (excluding any guarantors) established under generally accepted accounting principles.</w:t>
      </w:r>
    </w:p>
    <w:p>
      <w:pPr>
        <w:spacing w:after="0" w:line="2" w:lineRule="exact"/>
        <w:rPr>
          <w:rFonts w:ascii="Arial" w:cs="Arial" w:eastAsia="Arial" w:hAnsi="Arial"/>
          <w:sz w:val="13"/>
          <w:szCs w:val="13"/>
          <w:color w:val="auto"/>
        </w:rPr>
      </w:pPr>
    </w:p>
    <w:p>
      <w:pPr>
        <w:ind w:left="120" w:right="360" w:firstLine="741"/>
        <w:spacing w:after="0" w:line="261" w:lineRule="auto"/>
        <w:tabs>
          <w:tab w:leader="none" w:pos="1608" w:val="left"/>
        </w:tabs>
        <w:numPr>
          <w:ilvl w:val="1"/>
          <w:numId w:val="121"/>
        </w:numPr>
        <w:rPr>
          <w:rFonts w:ascii="Arial" w:cs="Arial" w:eastAsia="Arial" w:hAnsi="Arial"/>
          <w:sz w:val="14"/>
          <w:szCs w:val="14"/>
          <w:color w:val="auto"/>
        </w:rPr>
      </w:pPr>
      <w:r>
        <w:rPr>
          <w:rFonts w:ascii="Arial" w:cs="Arial" w:eastAsia="Arial" w:hAnsi="Arial"/>
          <w:sz w:val="14"/>
          <w:szCs w:val="14"/>
          <w:color w:val="auto"/>
        </w:rPr>
        <w:t>An assignment or subletting without consent shall, at Lessor's option, be a Default curable after notice per Paragraph 13.1(d), or a noncurable Breach without the necessity of any notice and grace period. If Lessor elects to treat such unapproved assignment or subletting as a noncurable Breach, Lessor may either:</w:t>
      </w:r>
    </w:p>
    <w:p>
      <w:pPr>
        <w:ind w:left="120" w:right="240"/>
        <w:spacing w:after="0" w:line="256" w:lineRule="auto"/>
        <w:rPr>
          <w:rFonts w:ascii="Arial" w:cs="Arial" w:eastAsia="Arial" w:hAnsi="Arial"/>
          <w:sz w:val="14"/>
          <w:szCs w:val="14"/>
          <w:color w:val="auto"/>
        </w:rPr>
      </w:pPr>
      <w:r>
        <w:rPr>
          <w:rFonts w:ascii="Arial" w:cs="Arial" w:eastAsia="Arial" w:hAnsi="Arial"/>
          <w:sz w:val="14"/>
          <w:szCs w:val="14"/>
          <w:color w:val="auto"/>
        </w:rPr>
        <w:t>(i)terminate this Lease, or (ii) upon 30 days written notice, increase the monthly Base Rent to 110% of the Base Rent then in eﬀect. Further, in the event of such Breach and rental adjustment, (i) the purchase price of any option to purchase the Premises held by Lessee shall be subject to similar adjustment to 110% of the price previously in eﬀect, and (ii) all fixed and nonfixed rental adjustments scheduled during the remainder of the Lease term shall be increased to 110% of the</w:t>
      </w:r>
    </w:p>
    <w:p>
      <w:pPr>
        <w:spacing w:after="0" w:line="229" w:lineRule="auto"/>
        <w:rPr>
          <w:sz w:val="20"/>
          <w:szCs w:val="20"/>
          <w:color w:val="auto"/>
        </w:rPr>
      </w:pPr>
      <w:r>
        <w:rPr>
          <w:rFonts w:ascii="Arial" w:cs="Arial" w:eastAsia="Arial" w:hAnsi="Arial"/>
          <w:sz w:val="16"/>
          <w:szCs w:val="16"/>
          <w:color w:val="auto"/>
        </w:rPr>
        <w:t>INITIALS</w:t>
      </w: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10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73" w:name="page174"/>
    <w:bookmarkEnd w:id="173"/>
    <w:p>
      <w:pPr>
        <w:ind w:left="120"/>
        <w:spacing w:after="0"/>
        <w:rPr>
          <w:sz w:val="20"/>
          <w:szCs w:val="20"/>
          <w:color w:val="auto"/>
        </w:rPr>
      </w:pPr>
      <w:r>
        <w:rPr>
          <w:rFonts w:ascii="Arial" w:cs="Arial" w:eastAsia="Arial" w:hAnsi="Arial"/>
          <w:sz w:val="14"/>
          <w:szCs w:val="14"/>
          <w:color w:val="auto"/>
        </w:rPr>
        <w:t>scheduled adjusted rent.</w:t>
      </w:r>
    </w:p>
    <w:p>
      <w:pPr>
        <w:spacing w:after="0" w:line="21" w:lineRule="exact"/>
        <w:rPr>
          <w:sz w:val="20"/>
          <w:szCs w:val="20"/>
          <w:color w:val="auto"/>
        </w:rPr>
      </w:pPr>
    </w:p>
    <w:p>
      <w:pPr>
        <w:ind w:left="1240" w:hanging="380"/>
        <w:spacing w:after="0"/>
        <w:tabs>
          <w:tab w:leader="none" w:pos="1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Lessee's remedy for any breach of Paragraph 12.1 by Lessor shall be limited to compensatory damages and/or injunctive relief.</w:t>
      </w:r>
    </w:p>
    <w:p>
      <w:pPr>
        <w:spacing w:after="0" w:line="14" w:lineRule="exact"/>
        <w:rPr>
          <w:rFonts w:ascii="Arial" w:cs="Arial" w:eastAsia="Arial" w:hAnsi="Arial"/>
          <w:sz w:val="14"/>
          <w:szCs w:val="14"/>
          <w:color w:val="auto"/>
        </w:rPr>
      </w:pPr>
    </w:p>
    <w:p>
      <w:pPr>
        <w:ind w:left="1240" w:hanging="381"/>
        <w:spacing w:after="0"/>
        <w:tabs>
          <w:tab w:leader="none" w:pos="1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Lessor may reasonably withhold consent to a proposed assignment or subletting if Lessee is in Default at the time consent is requested.</w:t>
      </w:r>
    </w:p>
    <w:p>
      <w:pPr>
        <w:spacing w:after="0" w:line="14" w:lineRule="exact"/>
        <w:rPr>
          <w:rFonts w:ascii="Arial" w:cs="Arial" w:eastAsia="Arial" w:hAnsi="Arial"/>
          <w:sz w:val="14"/>
          <w:szCs w:val="14"/>
          <w:color w:val="auto"/>
        </w:rPr>
      </w:pPr>
    </w:p>
    <w:p>
      <w:pPr>
        <w:ind w:left="120" w:right="840" w:firstLine="740"/>
        <w:spacing w:after="0" w:line="261" w:lineRule="auto"/>
        <w:tabs>
          <w:tab w:leader="none" w:pos="1569"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Notwithstanding the foregoing, allowing a de minimis portion of the Premises, i.e. 20 square feet or less, to be used by a third party vendor in connection with the installation of a vending machine or payphone shall not constitute a subletting.</w:t>
      </w:r>
    </w:p>
    <w:p>
      <w:pPr>
        <w:ind w:left="480"/>
        <w:spacing w:after="0"/>
        <w:rPr>
          <w:rFonts w:ascii="Arial" w:cs="Arial" w:eastAsia="Arial" w:hAnsi="Arial"/>
          <w:sz w:val="14"/>
          <w:szCs w:val="14"/>
          <w:color w:val="auto"/>
        </w:rPr>
      </w:pPr>
      <w:r>
        <w:rPr>
          <w:rFonts w:ascii="Arial" w:cs="Arial" w:eastAsia="Arial" w:hAnsi="Arial"/>
          <w:sz w:val="14"/>
          <w:szCs w:val="14"/>
          <w:color w:val="auto"/>
        </w:rPr>
        <w:t xml:space="preserve">14.2  </w:t>
      </w:r>
      <w:r>
        <w:rPr>
          <w:rFonts w:ascii="Arial" w:cs="Arial" w:eastAsia="Arial" w:hAnsi="Arial"/>
          <w:sz w:val="14"/>
          <w:szCs w:val="14"/>
          <w:b w:val="1"/>
          <w:bCs w:val="1"/>
          <w:color w:val="auto"/>
        </w:rPr>
        <w:t>Terms and Conditions Applicable to Assignment and Subletting</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120" w:right="460" w:firstLine="740"/>
        <w:spacing w:after="0" w:line="261" w:lineRule="auto"/>
        <w:tabs>
          <w:tab w:leader="none" w:pos="1597"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Regardless of Lessor's consent, no assignment or subletting shall : (i) be eﬀective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 w:lineRule="exact"/>
        <w:rPr>
          <w:rFonts w:ascii="Arial" w:cs="Arial" w:eastAsia="Arial" w:hAnsi="Arial"/>
          <w:sz w:val="14"/>
          <w:szCs w:val="14"/>
          <w:color w:val="auto"/>
        </w:rPr>
      </w:pPr>
    </w:p>
    <w:p>
      <w:pPr>
        <w:ind w:left="120" w:right="240" w:firstLine="741"/>
        <w:spacing w:after="0" w:line="254" w:lineRule="auto"/>
        <w:tabs>
          <w:tab w:leader="none" w:pos="1605" w:val="left"/>
        </w:tabs>
        <w:numPr>
          <w:ilvl w:val="0"/>
          <w:numId w:val="123"/>
        </w:numPr>
        <w:rPr>
          <w:rFonts w:ascii="Arial" w:cs="Arial" w:eastAsia="Arial" w:hAnsi="Arial"/>
          <w:sz w:val="14"/>
          <w:szCs w:val="14"/>
          <w:color w:val="auto"/>
        </w:rPr>
      </w:pPr>
      <w:r>
        <w:rPr>
          <w:rFonts w:ascii="Arial" w:cs="Arial" w:eastAsia="Arial" w:hAnsi="Arial"/>
          <w:sz w:val="14"/>
          <w:szCs w:val="14"/>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 w:lineRule="exact"/>
        <w:rPr>
          <w:rFonts w:ascii="Arial" w:cs="Arial" w:eastAsia="Arial" w:hAnsi="Arial"/>
          <w:sz w:val="14"/>
          <w:szCs w:val="14"/>
          <w:color w:val="auto"/>
        </w:rPr>
      </w:pPr>
    </w:p>
    <w:p>
      <w:pPr>
        <w:ind w:left="1240" w:hanging="380"/>
        <w:spacing w:after="0"/>
        <w:tabs>
          <w:tab w:leader="none" w:pos="12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Lessor's consent to any assignment or subletting shall not constitute a consent to any subsequent assignment or subletting.</w:t>
      </w:r>
    </w:p>
    <w:p>
      <w:pPr>
        <w:spacing w:after="0" w:line="6" w:lineRule="exact"/>
        <w:rPr>
          <w:rFonts w:ascii="Arial" w:cs="Arial" w:eastAsia="Arial" w:hAnsi="Arial"/>
          <w:sz w:val="14"/>
          <w:szCs w:val="14"/>
          <w:color w:val="auto"/>
        </w:rPr>
      </w:pPr>
    </w:p>
    <w:p>
      <w:pPr>
        <w:ind w:left="1580" w:hanging="720"/>
        <w:spacing w:after="0"/>
        <w:tabs>
          <w:tab w:leader="none" w:pos="15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In the event of any Default or Breach by Lessee, Lessor may proceed directly against Lessee, any Guarantors or anyone else responsible for the performance</w:t>
      </w:r>
    </w:p>
    <w:p>
      <w:pPr>
        <w:spacing w:after="0" w:line="21" w:lineRule="exact"/>
        <w:rPr>
          <w:sz w:val="20"/>
          <w:szCs w:val="20"/>
          <w:color w:val="auto"/>
        </w:rPr>
      </w:pPr>
    </w:p>
    <w:p>
      <w:pPr>
        <w:ind w:left="120" w:right="940"/>
        <w:spacing w:after="0" w:line="251" w:lineRule="auto"/>
        <w:rPr>
          <w:sz w:val="20"/>
          <w:szCs w:val="20"/>
          <w:color w:val="auto"/>
        </w:rPr>
      </w:pPr>
      <w:r>
        <w:rPr>
          <w:rFonts w:ascii="Arial" w:cs="Arial" w:eastAsia="Arial" w:hAnsi="Arial"/>
          <w:sz w:val="14"/>
          <w:szCs w:val="14"/>
          <w:color w:val="auto"/>
        </w:rPr>
        <w:t>of Lessee's obligations under this Lease, including any assignee or sublessee, without first exhausting Lessor's remedies against any other person or entity responsible therefor to Lessor, or any security held by Lessor.</w:t>
      </w:r>
    </w:p>
    <w:p>
      <w:pPr>
        <w:spacing w:after="0" w:line="1" w:lineRule="exact"/>
        <w:rPr>
          <w:sz w:val="20"/>
          <w:szCs w:val="20"/>
          <w:color w:val="auto"/>
        </w:rPr>
      </w:pPr>
    </w:p>
    <w:p>
      <w:pPr>
        <w:ind w:left="120" w:right="380" w:firstLine="741"/>
        <w:spacing w:after="0" w:line="261" w:lineRule="auto"/>
        <w:tabs>
          <w:tab w:leader="none" w:pos="1607" w:val="left"/>
        </w:tabs>
        <w:numPr>
          <w:ilvl w:val="0"/>
          <w:numId w:val="124"/>
        </w:numPr>
        <w:rPr>
          <w:rFonts w:ascii="Arial" w:cs="Arial" w:eastAsia="Arial" w:hAnsi="Arial"/>
          <w:sz w:val="14"/>
          <w:szCs w:val="14"/>
          <w:color w:val="auto"/>
        </w:rPr>
      </w:pPr>
      <w:r>
        <w:rPr>
          <w:rFonts w:ascii="Arial" w:cs="Arial" w:eastAsia="Arial" w:hAnsi="Arial"/>
          <w:sz w:val="14"/>
          <w:szCs w:val="14"/>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1" w:lineRule="exact"/>
        <w:rPr>
          <w:rFonts w:ascii="Arial" w:cs="Arial" w:eastAsia="Arial" w:hAnsi="Arial"/>
          <w:sz w:val="14"/>
          <w:szCs w:val="14"/>
          <w:color w:val="auto"/>
        </w:rPr>
      </w:pPr>
    </w:p>
    <w:p>
      <w:pPr>
        <w:jc w:val="both"/>
        <w:ind w:left="120" w:right="500" w:firstLine="740"/>
        <w:spacing w:after="0" w:line="261" w:lineRule="auto"/>
        <w:tabs>
          <w:tab w:leader="none" w:pos="160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 w:lineRule="exact"/>
        <w:rPr>
          <w:rFonts w:ascii="Arial" w:cs="Arial" w:eastAsia="Arial" w:hAnsi="Arial"/>
          <w:sz w:val="14"/>
          <w:szCs w:val="14"/>
          <w:color w:val="auto"/>
        </w:rPr>
      </w:pPr>
    </w:p>
    <w:p>
      <w:pPr>
        <w:ind w:left="120" w:right="320" w:firstLine="741"/>
        <w:spacing w:after="0" w:line="261" w:lineRule="auto"/>
        <w:tabs>
          <w:tab w:leader="none" w:pos="1607"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1" w:lineRule="exact"/>
        <w:rPr>
          <w:sz w:val="20"/>
          <w:szCs w:val="20"/>
          <w:color w:val="auto"/>
        </w:rPr>
      </w:pPr>
    </w:p>
    <w:p>
      <w:pPr>
        <w:ind w:left="120" w:right="480" w:firstLine="374"/>
        <w:spacing w:after="0" w:line="245" w:lineRule="auto"/>
        <w:rPr>
          <w:sz w:val="20"/>
          <w:szCs w:val="20"/>
          <w:color w:val="auto"/>
        </w:rPr>
      </w:pPr>
      <w:r>
        <w:rPr>
          <w:rFonts w:ascii="Arial" w:cs="Arial" w:eastAsia="Arial" w:hAnsi="Arial"/>
          <w:sz w:val="14"/>
          <w:szCs w:val="14"/>
          <w:color w:val="auto"/>
        </w:rPr>
        <w:t xml:space="preserve">14.3 </w:t>
      </w:r>
      <w:r>
        <w:rPr>
          <w:rFonts w:ascii="Arial" w:cs="Arial" w:eastAsia="Arial" w:hAnsi="Arial"/>
          <w:sz w:val="14"/>
          <w:szCs w:val="14"/>
          <w:b w:val="1"/>
          <w:bCs w:val="1"/>
          <w:color w:val="auto"/>
        </w:rPr>
        <w:t>Additional Terms and Conditions Applicable to Subletting</w:t>
      </w:r>
      <w:r>
        <w:rPr>
          <w:rFonts w:ascii="Arial" w:cs="Arial" w:eastAsia="Arial" w:hAnsi="Arial"/>
          <w:sz w:val="14"/>
          <w:szCs w:val="14"/>
          <w:color w:val="auto"/>
        </w:rPr>
        <w:t>. The following terms and conditions shall apply to any subletting by Lessee of all or any part of the Premises and shall be deemed included in all subleases under this Lease whether or not expressly incorporated therein:</w:t>
      </w:r>
    </w:p>
    <w:p>
      <w:pPr>
        <w:spacing w:after="0" w:line="1" w:lineRule="exact"/>
        <w:rPr>
          <w:sz w:val="20"/>
          <w:szCs w:val="20"/>
          <w:color w:val="auto"/>
        </w:rPr>
      </w:pPr>
    </w:p>
    <w:p>
      <w:pPr>
        <w:ind w:left="120" w:right="680" w:firstLine="740"/>
        <w:spacing w:after="0" w:line="304" w:lineRule="auto"/>
        <w:tabs>
          <w:tab w:leader="none" w:pos="1598" w:val="left"/>
        </w:tabs>
        <w:numPr>
          <w:ilvl w:val="0"/>
          <w:numId w:val="125"/>
        </w:numPr>
        <w:rPr>
          <w:rFonts w:ascii="Arial" w:cs="Arial" w:eastAsia="Arial" w:hAnsi="Arial"/>
          <w:sz w:val="13"/>
          <w:szCs w:val="13"/>
          <w:color w:val="auto"/>
        </w:rPr>
      </w:pPr>
      <w:r>
        <w:rPr>
          <w:rFonts w:ascii="Arial" w:cs="Arial" w:eastAsia="Arial" w:hAnsi="Arial"/>
          <w:sz w:val="13"/>
          <w:szCs w:val="13"/>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w:t>
      </w:r>
    </w:p>
    <w:p>
      <w:pPr>
        <w:spacing w:after="0" w:line="1" w:lineRule="exact"/>
        <w:rPr>
          <w:sz w:val="20"/>
          <w:szCs w:val="20"/>
          <w:color w:val="auto"/>
        </w:rPr>
      </w:pPr>
    </w:p>
    <w:p>
      <w:pPr>
        <w:ind w:left="120" w:right="200"/>
        <w:spacing w:after="0" w:line="283" w:lineRule="auto"/>
        <w:rPr>
          <w:sz w:val="20"/>
          <w:szCs w:val="20"/>
          <w:color w:val="auto"/>
        </w:rPr>
      </w:pPr>
      <w:r>
        <w:rPr>
          <w:rFonts w:ascii="Arial" w:cs="Arial" w:eastAsia="Arial" w:hAnsi="Arial"/>
          <w:sz w:val="13"/>
          <w:szCs w:val="13"/>
          <w:color w:val="auto"/>
        </w:rPr>
        <w:t>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3" w:lineRule="exact"/>
        <w:rPr>
          <w:sz w:val="20"/>
          <w:szCs w:val="20"/>
          <w:color w:val="auto"/>
        </w:rPr>
      </w:pPr>
    </w:p>
    <w:p>
      <w:pPr>
        <w:ind w:left="120" w:right="380" w:firstLine="740"/>
        <w:spacing w:after="0" w:line="254" w:lineRule="auto"/>
        <w:tabs>
          <w:tab w:leader="none" w:pos="1607"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spacing w:after="0" w:line="1" w:lineRule="exact"/>
        <w:rPr>
          <w:rFonts w:ascii="Arial" w:cs="Arial" w:eastAsia="Arial" w:hAnsi="Arial"/>
          <w:sz w:val="14"/>
          <w:szCs w:val="14"/>
          <w:color w:val="auto"/>
        </w:rPr>
      </w:pPr>
    </w:p>
    <w:p>
      <w:pPr>
        <w:ind w:left="1240" w:hanging="381"/>
        <w:spacing w:after="0"/>
        <w:tabs>
          <w:tab w:leader="none" w:pos="124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Any matter requiring the consent of the sublessor under a sublease shall also require the consent of Lessor.</w:t>
      </w:r>
    </w:p>
    <w:p>
      <w:pPr>
        <w:spacing w:after="0" w:line="14" w:lineRule="exact"/>
        <w:rPr>
          <w:rFonts w:ascii="Arial" w:cs="Arial" w:eastAsia="Arial" w:hAnsi="Arial"/>
          <w:sz w:val="14"/>
          <w:szCs w:val="14"/>
          <w:color w:val="auto"/>
        </w:rPr>
      </w:pPr>
    </w:p>
    <w:p>
      <w:pPr>
        <w:ind w:left="1240" w:hanging="381"/>
        <w:spacing w:after="0"/>
        <w:tabs>
          <w:tab w:leader="none" w:pos="124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No sublessee shall further assign or sublet all or any part of the Premises without Lessor's prior written consent.</w:t>
      </w:r>
    </w:p>
    <w:p>
      <w:pPr>
        <w:spacing w:after="0" w:line="14" w:lineRule="exact"/>
        <w:rPr>
          <w:rFonts w:ascii="Arial" w:cs="Arial" w:eastAsia="Arial" w:hAnsi="Arial"/>
          <w:sz w:val="14"/>
          <w:szCs w:val="14"/>
          <w:color w:val="auto"/>
        </w:rPr>
      </w:pPr>
    </w:p>
    <w:p>
      <w:pPr>
        <w:ind w:left="120" w:right="200" w:firstLine="740"/>
        <w:spacing w:after="0" w:line="338" w:lineRule="auto"/>
        <w:tabs>
          <w:tab w:leader="none" w:pos="1603" w:val="left"/>
        </w:tabs>
        <w:numPr>
          <w:ilvl w:val="1"/>
          <w:numId w:val="126"/>
        </w:numPr>
        <w:rPr>
          <w:rFonts w:ascii="Arial" w:cs="Arial" w:eastAsia="Arial" w:hAnsi="Arial"/>
          <w:sz w:val="13"/>
          <w:szCs w:val="13"/>
          <w:color w:val="auto"/>
        </w:rPr>
      </w:pPr>
      <w:r>
        <w:rPr>
          <w:rFonts w:ascii="Arial" w:cs="Arial" w:eastAsia="Arial" w:hAnsi="Arial"/>
          <w:sz w:val="13"/>
          <w:szCs w:val="13"/>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oﬀset from and against Lessee for any such Defaults cured by the sublessee.</w:t>
      </w:r>
    </w:p>
    <w:p>
      <w:pPr>
        <w:ind w:left="480" w:hanging="367"/>
        <w:spacing w:after="0"/>
        <w:tabs>
          <w:tab w:leader="none" w:pos="480"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Default; Breach; Remedies.</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15.1  </w:t>
      </w:r>
      <w:r>
        <w:rPr>
          <w:rFonts w:ascii="Arial" w:cs="Arial" w:eastAsia="Arial" w:hAnsi="Arial"/>
          <w:sz w:val="13"/>
          <w:szCs w:val="13"/>
          <w:b w:val="1"/>
          <w:bCs w:val="1"/>
          <w:color w:val="auto"/>
        </w:rPr>
        <w:t>Default; Breach</w:t>
      </w:r>
      <w:r>
        <w:rPr>
          <w:rFonts w:ascii="Arial" w:cs="Arial" w:eastAsia="Arial" w:hAnsi="Arial"/>
          <w:sz w:val="13"/>
          <w:szCs w:val="13"/>
          <w:color w:val="auto"/>
        </w:rPr>
        <w:t>. A "</w:t>
      </w:r>
      <w:r>
        <w:rPr>
          <w:rFonts w:ascii="Arial" w:cs="Arial" w:eastAsia="Arial" w:hAnsi="Arial"/>
          <w:sz w:val="13"/>
          <w:szCs w:val="13"/>
          <w:b w:val="1"/>
          <w:bCs w:val="1"/>
          <w:color w:val="auto"/>
        </w:rPr>
        <w:t>Default</w:t>
      </w:r>
      <w:r>
        <w:rPr>
          <w:rFonts w:ascii="Arial" w:cs="Arial" w:eastAsia="Arial" w:hAnsi="Arial"/>
          <w:sz w:val="13"/>
          <w:szCs w:val="13"/>
          <w:color w:val="auto"/>
        </w:rPr>
        <w:t>" is defined as a failure by the Lessee to comply with or perform any of the terms, covenants, conditions or Rules and Regulations under this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Lease. A "</w:t>
      </w:r>
      <w:r>
        <w:rPr>
          <w:rFonts w:ascii="Arial" w:cs="Arial" w:eastAsia="Arial" w:hAnsi="Arial"/>
          <w:sz w:val="14"/>
          <w:szCs w:val="14"/>
          <w:b w:val="1"/>
          <w:bCs w:val="1"/>
          <w:color w:val="auto"/>
        </w:rPr>
        <w:t>Breach</w:t>
      </w:r>
      <w:r>
        <w:rPr>
          <w:rFonts w:ascii="Arial" w:cs="Arial" w:eastAsia="Arial" w:hAnsi="Arial"/>
          <w:sz w:val="14"/>
          <w:szCs w:val="14"/>
          <w:color w:val="auto"/>
        </w:rPr>
        <w:t>" is defined as the occurrence of one or more of the following Defaults, and the failure of Lessee to cure such Default within any applicable grace period:</w:t>
      </w:r>
    </w:p>
    <w:p>
      <w:pPr>
        <w:spacing w:after="0" w:line="15" w:lineRule="exact"/>
        <w:rPr>
          <w:sz w:val="20"/>
          <w:szCs w:val="20"/>
          <w:color w:val="auto"/>
        </w:rPr>
      </w:pPr>
    </w:p>
    <w:p>
      <w:pPr>
        <w:ind w:left="120" w:right="400" w:firstLine="740"/>
        <w:spacing w:after="0" w:line="270" w:lineRule="auto"/>
        <w:tabs>
          <w:tab w:leader="none" w:pos="1604"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abandonment of the Premises; the vacating of the Premises prior to the expiration or termination of this Lease without providing a commercially reasonable level of security, or where the coverage of the property insurance described in Paragraph 8.3 is jeopardized as a result thereof, or without providing reasonable assurances to minimize potential vandalism; or failure to deliver to Lessor exclusive possession of the entire Premises in accordance herewith prior to the expiration or termination of this Lease.</w:t>
      </w:r>
    </w:p>
    <w:p>
      <w:pPr>
        <w:ind w:left="120" w:right="160" w:firstLine="740"/>
        <w:spacing w:after="0" w:line="274" w:lineRule="auto"/>
        <w:tabs>
          <w:tab w:leader="none" w:pos="1609"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failure of Lessee to (i) make any payment of Rent or any Security Deposit required to be made by Lessee hereunder, whether to Lessor or to a third party, when due, (ii) to provide reasonable evidence of insurance or surety bond, or (iii)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ind w:left="120" w:right="220" w:firstLine="740"/>
        <w:spacing w:after="0" w:line="261" w:lineRule="auto"/>
        <w:tabs>
          <w:tab w:leader="none" w:pos="160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 In the event that Lessee commits waste, a nuisance or an illegal activity a second time then, the Lessor may elect to treat such conduct as a noncurable Breach rather than a Default.</w:t>
      </w:r>
    </w:p>
    <w:p>
      <w:pPr>
        <w:spacing w:after="0" w:line="1" w:lineRule="exact"/>
        <w:rPr>
          <w:rFonts w:ascii="Arial" w:cs="Arial" w:eastAsia="Arial" w:hAnsi="Arial"/>
          <w:sz w:val="14"/>
          <w:szCs w:val="14"/>
          <w:color w:val="auto"/>
        </w:rPr>
      </w:pPr>
    </w:p>
    <w:p>
      <w:pPr>
        <w:ind w:left="1240" w:hanging="380"/>
        <w:spacing w:after="0"/>
        <w:tabs>
          <w:tab w:leader="none" w:pos="12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failure by Lessee to provide (i) reasonable written evidence of compliance with Applicable Requirements, (ii) the service contracts, (iii)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11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3" w:right="359" w:bottom="1440" w:gutter="0" w:footer="0" w:header="0"/>
        </w:sectPr>
      </w:pPr>
    </w:p>
    <w:bookmarkStart w:id="174" w:name="page175"/>
    <w:bookmarkEnd w:id="174"/>
    <w:p>
      <w:pPr>
        <w:ind w:left="120" w:right="220"/>
        <w:spacing w:after="0" w:line="264" w:lineRule="auto"/>
        <w:rPr>
          <w:sz w:val="20"/>
          <w:szCs w:val="20"/>
          <w:color w:val="auto"/>
        </w:rPr>
      </w:pPr>
      <w:r>
        <w:rPr>
          <w:rFonts w:ascii="Arial" w:cs="Arial" w:eastAsia="Arial" w:hAnsi="Arial"/>
          <w:sz w:val="14"/>
          <w:szCs w:val="14"/>
          <w:color w:val="auto"/>
        </w:rPr>
        <w:t>rescission of an unauthorized assignment or subletting, (iv) an Estoppel Certificate or financial statements, (v) a requested subordination, (vi) evidence concerning any guaranty and/or Guarantor, (vii) any document requested under Paragraph 41, (viii) material safety data sheets (MSDS), or (ix) any other documentation or information which Lessor may reasonably require of Lessee under the terms of this Lease, where any such failure continues for a period of 10 days following written notice to Lessee.</w:t>
      </w:r>
    </w:p>
    <w:p>
      <w:pPr>
        <w:spacing w:after="0" w:line="2" w:lineRule="exact"/>
        <w:rPr>
          <w:sz w:val="20"/>
          <w:szCs w:val="20"/>
          <w:color w:val="auto"/>
        </w:rPr>
      </w:pPr>
    </w:p>
    <w:p>
      <w:pPr>
        <w:ind w:left="120" w:right="300" w:firstLine="741"/>
        <w:spacing w:after="0" w:line="261" w:lineRule="auto"/>
        <w:tabs>
          <w:tab w:leader="none" w:pos="1604"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 Default by Lessee as to the terms, covenants, conditions or provisions of this Lease, or of the rules adopted under Paragraph 2.9 hereof,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 w:lineRule="exact"/>
        <w:rPr>
          <w:rFonts w:ascii="Arial" w:cs="Arial" w:eastAsia="Arial" w:hAnsi="Arial"/>
          <w:sz w:val="14"/>
          <w:szCs w:val="14"/>
          <w:color w:val="auto"/>
        </w:rPr>
      </w:pPr>
    </w:p>
    <w:p>
      <w:pPr>
        <w:ind w:left="120" w:right="200" w:firstLine="741"/>
        <w:spacing w:after="0" w:line="258" w:lineRule="auto"/>
        <w:tabs>
          <w:tab w:leader="none" w:pos="1605"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occurrence of any of the following events: (i) the making of any general arrangement or assignment for the benefit of creditors; (ii) becoming a "</w:t>
      </w:r>
      <w:r>
        <w:rPr>
          <w:rFonts w:ascii="Arial" w:cs="Arial" w:eastAsia="Arial" w:hAnsi="Arial"/>
          <w:sz w:val="14"/>
          <w:szCs w:val="14"/>
          <w:b w:val="1"/>
          <w:bCs w:val="1"/>
          <w:color w:val="auto"/>
        </w:rPr>
        <w:t>debtor</w:t>
      </w:r>
      <w:r>
        <w:rPr>
          <w:rFonts w:ascii="Arial" w:cs="Arial" w:eastAsia="Arial" w:hAnsi="Arial"/>
          <w:sz w:val="14"/>
          <w:szCs w:val="14"/>
          <w:color w:val="auto"/>
        </w:rPr>
        <w:t>"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eﬀect, and not aﬀect the validity of the remaining provisions.</w:t>
      </w:r>
    </w:p>
    <w:p>
      <w:pPr>
        <w:spacing w:after="0" w:line="1" w:lineRule="exact"/>
        <w:rPr>
          <w:rFonts w:ascii="Arial" w:cs="Arial" w:eastAsia="Arial" w:hAnsi="Arial"/>
          <w:sz w:val="14"/>
          <w:szCs w:val="14"/>
          <w:color w:val="auto"/>
        </w:rPr>
      </w:pPr>
    </w:p>
    <w:p>
      <w:pPr>
        <w:ind w:left="1220" w:hanging="360"/>
        <w:spacing w:after="0"/>
        <w:tabs>
          <w:tab w:leader="none" w:pos="12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discovery that any financial statement of Lessee or of any Guarantor given to Lessor was materially false.</w:t>
      </w:r>
    </w:p>
    <w:p>
      <w:pPr>
        <w:spacing w:after="0" w:line="14" w:lineRule="exact"/>
        <w:rPr>
          <w:rFonts w:ascii="Arial" w:cs="Arial" w:eastAsia="Arial" w:hAnsi="Arial"/>
          <w:sz w:val="14"/>
          <w:szCs w:val="14"/>
          <w:color w:val="auto"/>
        </w:rPr>
      </w:pPr>
    </w:p>
    <w:p>
      <w:pPr>
        <w:ind w:left="120" w:right="320" w:firstLine="740"/>
        <w:spacing w:after="0" w:line="261" w:lineRule="auto"/>
        <w:tabs>
          <w:tab w:leader="none" w:pos="160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2" w:lineRule="exact"/>
        <w:rPr>
          <w:rFonts w:ascii="Arial" w:cs="Arial" w:eastAsia="Arial" w:hAnsi="Arial"/>
          <w:sz w:val="14"/>
          <w:szCs w:val="14"/>
          <w:color w:val="auto"/>
        </w:rPr>
      </w:pPr>
    </w:p>
    <w:p>
      <w:pPr>
        <w:jc w:val="both"/>
        <w:ind w:left="120" w:right="300" w:firstLine="374"/>
        <w:spacing w:after="0" w:line="273" w:lineRule="auto"/>
        <w:rPr>
          <w:rFonts w:ascii="Arial" w:cs="Arial" w:eastAsia="Arial" w:hAnsi="Arial"/>
          <w:sz w:val="14"/>
          <w:szCs w:val="14"/>
          <w:color w:val="auto"/>
        </w:rPr>
      </w:pPr>
      <w:r>
        <w:rPr>
          <w:rFonts w:ascii="Arial" w:cs="Arial" w:eastAsia="Arial" w:hAnsi="Arial"/>
          <w:sz w:val="13"/>
          <w:szCs w:val="13"/>
          <w:color w:val="auto"/>
        </w:rPr>
        <w:t xml:space="preserve">15.2 </w:t>
      </w:r>
      <w:r>
        <w:rPr>
          <w:rFonts w:ascii="Arial" w:cs="Arial" w:eastAsia="Arial" w:hAnsi="Arial"/>
          <w:sz w:val="13"/>
          <w:szCs w:val="13"/>
          <w:b w:val="1"/>
          <w:bCs w:val="1"/>
          <w:color w:val="auto"/>
        </w:rPr>
        <w:t>Remedies</w:t>
      </w:r>
      <w:r>
        <w:rPr>
          <w:rFonts w:ascii="Arial" w:cs="Arial" w:eastAsia="Arial" w:hAnsi="Arial"/>
          <w:sz w:val="13"/>
          <w:szCs w:val="13"/>
          <w:color w:val="auto"/>
        </w:rPr>
        <w:t>. If Lessee fails to perform any of its aﬃrmative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ind w:left="1600" w:hanging="740"/>
        <w:spacing w:after="0"/>
        <w:tabs>
          <w:tab w:leader="none" w:pos="16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Terminate Lessee's right to possession of the Premises by any lawful means, in which case this Lease shall terminate and Lessee shall immediately surrender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possession to Lessor. In such event Lessor shall be entitled to recover from Lessee: (i) the unpaid Rent which had been earned at the time of termination;</w:t>
      </w:r>
    </w:p>
    <w:p>
      <w:pPr>
        <w:spacing w:after="0" w:line="15" w:lineRule="exact"/>
        <w:rPr>
          <w:sz w:val="20"/>
          <w:szCs w:val="20"/>
          <w:color w:val="auto"/>
        </w:rPr>
      </w:pPr>
    </w:p>
    <w:p>
      <w:pPr>
        <w:ind w:left="120" w:right="140"/>
        <w:spacing w:after="0" w:line="286" w:lineRule="auto"/>
        <w:rPr>
          <w:sz w:val="20"/>
          <w:szCs w:val="20"/>
          <w:color w:val="auto"/>
        </w:rPr>
      </w:pPr>
      <w:r>
        <w:rPr>
          <w:rFonts w:ascii="Arial" w:cs="Arial" w:eastAsia="Arial" w:hAnsi="Arial"/>
          <w:sz w:val="13"/>
          <w:szCs w:val="13"/>
          <w:color w:val="auto"/>
        </w:rPr>
        <w:t>(ii)the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Lessor and Lessee agree that the damages to be incurred by the Lessor in the event of Lessee's default of the Lease would be diﬃcult or impossible to calculate and the parties therefore intend to provide by the foregoing for liquidated damages and not a penalty and agree</w:t>
      </w:r>
    </w:p>
    <w:p>
      <w:pPr>
        <w:spacing w:after="0" w:line="2" w:lineRule="exact"/>
        <w:rPr>
          <w:sz w:val="20"/>
          <w:szCs w:val="20"/>
          <w:color w:val="auto"/>
        </w:rPr>
      </w:pPr>
    </w:p>
    <w:p>
      <w:pPr>
        <w:ind w:left="120" w:right="200"/>
        <w:spacing w:after="0" w:line="280" w:lineRule="auto"/>
        <w:rPr>
          <w:sz w:val="20"/>
          <w:szCs w:val="20"/>
          <w:color w:val="auto"/>
        </w:rPr>
      </w:pPr>
      <w:r>
        <w:rPr>
          <w:rFonts w:ascii="Arial" w:cs="Arial" w:eastAsia="Arial" w:hAnsi="Arial"/>
          <w:sz w:val="13"/>
          <w:szCs w:val="13"/>
          <w:color w:val="auto"/>
        </w:rPr>
        <w:t>that the sum provided is a reasonable preestimate of the probable loss.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Eﬀorts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2" w:lineRule="exact"/>
        <w:rPr>
          <w:sz w:val="20"/>
          <w:szCs w:val="20"/>
          <w:color w:val="auto"/>
        </w:rPr>
      </w:pPr>
    </w:p>
    <w:p>
      <w:pPr>
        <w:ind w:left="120" w:right="220" w:firstLine="740"/>
        <w:spacing w:after="0" w:line="309" w:lineRule="auto"/>
        <w:tabs>
          <w:tab w:leader="none" w:pos="1604" w:val="left"/>
        </w:tabs>
        <w:numPr>
          <w:ilvl w:val="0"/>
          <w:numId w:val="131"/>
        </w:numPr>
        <w:rPr>
          <w:rFonts w:ascii="Arial" w:cs="Arial" w:eastAsia="Arial" w:hAnsi="Arial"/>
          <w:sz w:val="12"/>
          <w:szCs w:val="12"/>
          <w:color w:val="auto"/>
        </w:rPr>
      </w:pPr>
      <w:r>
        <w:rPr>
          <w:rFonts w:ascii="Arial" w:cs="Arial" w:eastAsia="Arial" w:hAnsi="Arial"/>
          <w:sz w:val="12"/>
          <w:szCs w:val="12"/>
          <w:color w:val="auto"/>
        </w:rPr>
        <w:t>Continue the Lease and Lessee's right to possession and recover the Rent as it becomes due, in which event Lessee may sublet or assign, subject only to reasonable limitations. Acts of maintenance, eﬀorts to relet, and/or the appointment of a receiver to protect the Lessor's interests, shall not constitute a termination of the Lessee's right to possession.</w:t>
      </w:r>
    </w:p>
    <w:p>
      <w:pPr>
        <w:ind w:left="120" w:right="220" w:firstLine="741"/>
        <w:spacing w:after="0" w:line="257" w:lineRule="auto"/>
        <w:tabs>
          <w:tab w:leader="none" w:pos="160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w:t>
      </w:r>
    </w:p>
    <w:p>
      <w:pPr>
        <w:ind w:left="120"/>
        <w:spacing w:after="0"/>
        <w:rPr>
          <w:rFonts w:ascii="Arial" w:cs="Arial" w:eastAsia="Arial" w:hAnsi="Arial"/>
          <w:sz w:val="14"/>
          <w:szCs w:val="14"/>
          <w:color w:val="auto"/>
        </w:rPr>
      </w:pPr>
      <w:r>
        <w:rPr>
          <w:rFonts w:ascii="Arial" w:cs="Arial" w:eastAsia="Arial" w:hAnsi="Arial"/>
          <w:sz w:val="14"/>
          <w:szCs w:val="14"/>
          <w:color w:val="auto"/>
        </w:rPr>
        <w:t>as to matters occurring or accruing during the term hereof or by reason of Lessee's occupancy of the Premises.</w:t>
      </w:r>
    </w:p>
    <w:p>
      <w:pPr>
        <w:spacing w:after="0" w:line="6" w:lineRule="exact"/>
        <w:rPr>
          <w:rFonts w:ascii="Arial" w:cs="Arial" w:eastAsia="Arial" w:hAnsi="Arial"/>
          <w:sz w:val="14"/>
          <w:szCs w:val="14"/>
          <w:color w:val="auto"/>
        </w:rPr>
      </w:pPr>
    </w:p>
    <w:p>
      <w:pPr>
        <w:ind w:left="120" w:right="300" w:firstLine="374"/>
        <w:spacing w:after="0" w:line="278" w:lineRule="auto"/>
        <w:rPr>
          <w:rFonts w:ascii="Arial" w:cs="Arial" w:eastAsia="Arial" w:hAnsi="Arial"/>
          <w:sz w:val="14"/>
          <w:szCs w:val="14"/>
          <w:color w:val="auto"/>
        </w:rPr>
      </w:pPr>
      <w:r>
        <w:rPr>
          <w:rFonts w:ascii="Arial" w:cs="Arial" w:eastAsia="Arial" w:hAnsi="Arial"/>
          <w:sz w:val="13"/>
          <w:szCs w:val="13"/>
          <w:color w:val="auto"/>
        </w:rPr>
        <w:t xml:space="preserve">15.3 </w:t>
      </w:r>
      <w:r>
        <w:rPr>
          <w:rFonts w:ascii="Arial" w:cs="Arial" w:eastAsia="Arial" w:hAnsi="Arial"/>
          <w:sz w:val="13"/>
          <w:szCs w:val="13"/>
          <w:b w:val="1"/>
          <w:bCs w:val="1"/>
          <w:color w:val="auto"/>
        </w:rPr>
        <w:t>Inducement Recapture.</w:t>
      </w:r>
      <w:r>
        <w:rPr>
          <w:rFonts w:ascii="Arial" w:cs="Arial" w:eastAsia="Arial" w:hAnsi="Arial"/>
          <w:sz w:val="13"/>
          <w:szCs w:val="13"/>
          <w:color w:val="auto"/>
        </w:rPr>
        <w:t xml:space="preserve"> Any agreement for free or abated rent or other charges, the cost of tenant improvements for Lessee paid for or performed by Lessor,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3"/>
          <w:szCs w:val="13"/>
          <w:b w:val="1"/>
          <w:bCs w:val="1"/>
          <w:color w:val="auto"/>
        </w:rPr>
        <w:t>Inducement Provisions</w:t>
      </w:r>
      <w:r>
        <w:rPr>
          <w:rFonts w:ascii="Arial" w:cs="Arial" w:eastAsia="Arial" w:hAnsi="Arial"/>
          <w:sz w:val="13"/>
          <w:szCs w:val="13"/>
          <w:color w:val="auto"/>
        </w:rPr>
        <w:t>," shall be deemed conditioned upon Lessee's full and faithful performance of all of the terms, covenants and conditions of this Lease. Upon Breach of this Lease by Lessee, any such Inducement Provision shall automatically be deemed deleted from this Lease and of no further force or eﬀect,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2" w:lineRule="exact"/>
        <w:rPr>
          <w:rFonts w:ascii="Arial" w:cs="Arial" w:eastAsia="Arial" w:hAnsi="Arial"/>
          <w:sz w:val="14"/>
          <w:szCs w:val="14"/>
          <w:color w:val="auto"/>
        </w:rPr>
      </w:pPr>
    </w:p>
    <w:p>
      <w:pPr>
        <w:jc w:val="both"/>
        <w:ind w:left="120" w:right="380" w:firstLine="374"/>
        <w:spacing w:after="0" w:line="255" w:lineRule="auto"/>
        <w:rPr>
          <w:rFonts w:ascii="Arial" w:cs="Arial" w:eastAsia="Arial" w:hAnsi="Arial"/>
          <w:sz w:val="14"/>
          <w:szCs w:val="14"/>
          <w:color w:val="auto"/>
        </w:rPr>
      </w:pPr>
      <w:r>
        <w:rPr>
          <w:rFonts w:ascii="Arial" w:cs="Arial" w:eastAsia="Arial" w:hAnsi="Arial"/>
          <w:sz w:val="14"/>
          <w:szCs w:val="14"/>
          <w:color w:val="auto"/>
        </w:rPr>
        <w:t xml:space="preserve">15.4 </w:t>
      </w:r>
      <w:r>
        <w:rPr>
          <w:rFonts w:ascii="Arial" w:cs="Arial" w:eastAsia="Arial" w:hAnsi="Arial"/>
          <w:sz w:val="14"/>
          <w:szCs w:val="14"/>
          <w:b w:val="1"/>
          <w:bCs w:val="1"/>
          <w:color w:val="auto"/>
        </w:rPr>
        <w:t>Late Charges</w:t>
      </w:r>
      <w:r>
        <w:rPr>
          <w:rFonts w:ascii="Arial" w:cs="Arial" w:eastAsia="Arial" w:hAnsi="Arial"/>
          <w:sz w:val="14"/>
          <w:szCs w:val="14"/>
          <w:color w:val="auto"/>
        </w:rPr>
        <w:t>. Lessee hereby acknowledges that late payment by Lessee of Rent will cause Lessor to incur costs not contemplated by this Lease, the exact amount of which will be extremely diﬃcult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w:t>
      </w:r>
    </w:p>
    <w:p>
      <w:pPr>
        <w:spacing w:after="0" w:line="231" w:lineRule="auto"/>
        <w:rPr>
          <w:sz w:val="20"/>
          <w:szCs w:val="20"/>
          <w:color w:val="auto"/>
        </w:rPr>
      </w:pPr>
      <w:r>
        <w:rPr>
          <w:rFonts w:ascii="Arial" w:cs="Arial" w:eastAsia="Arial" w:hAnsi="Arial"/>
          <w:sz w:val="16"/>
          <w:szCs w:val="16"/>
          <w:color w:val="auto"/>
        </w:rPr>
        <w:t>INITIALS</w:t>
      </w: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75" w:name="page176"/>
    <w:bookmarkEnd w:id="175"/>
    <w:p>
      <w:pPr>
        <w:ind w:left="120" w:right="260"/>
        <w:spacing w:after="0" w:line="264" w:lineRule="auto"/>
        <w:rPr>
          <w:sz w:val="20"/>
          <w:szCs w:val="20"/>
          <w:color w:val="auto"/>
        </w:rPr>
      </w:pPr>
      <w:r>
        <w:rPr>
          <w:rFonts w:ascii="Arial" w:cs="Arial" w:eastAsia="Arial" w:hAnsi="Arial"/>
          <w:sz w:val="14"/>
          <w:szCs w:val="14"/>
          <w:color w:val="auto"/>
        </w:rPr>
        <w:t>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ind w:left="120" w:right="500" w:firstLine="374"/>
        <w:spacing w:after="0" w:line="250" w:lineRule="auto"/>
        <w:rPr>
          <w:sz w:val="20"/>
          <w:szCs w:val="20"/>
          <w:color w:val="auto"/>
        </w:rPr>
      </w:pPr>
      <w:r>
        <w:rPr>
          <w:rFonts w:ascii="Arial" w:cs="Arial" w:eastAsia="Arial" w:hAnsi="Arial"/>
          <w:sz w:val="14"/>
          <w:szCs w:val="14"/>
          <w:color w:val="auto"/>
        </w:rPr>
        <w:t xml:space="preserve">15.5 </w:t>
      </w:r>
      <w:r>
        <w:rPr>
          <w:rFonts w:ascii="Arial" w:cs="Arial" w:eastAsia="Arial" w:hAnsi="Arial"/>
          <w:sz w:val="14"/>
          <w:szCs w:val="14"/>
          <w:b w:val="1"/>
          <w:bCs w:val="1"/>
          <w:color w:val="auto"/>
        </w:rPr>
        <w:t>Interest</w:t>
      </w:r>
      <w:r>
        <w:rPr>
          <w:rFonts w:ascii="Arial" w:cs="Arial" w:eastAsia="Arial" w:hAnsi="Arial"/>
          <w:sz w:val="14"/>
          <w:szCs w:val="14"/>
          <w:color w:val="auto"/>
        </w:rPr>
        <w:t>. Any monetary payment due Lessor hereunder, other than late charges, not received by Lessor, when due shall bear interest from the 31st day after it was due. The interest ("</w:t>
      </w:r>
      <w:r>
        <w:rPr>
          <w:rFonts w:ascii="Arial" w:cs="Arial" w:eastAsia="Arial" w:hAnsi="Arial"/>
          <w:sz w:val="14"/>
          <w:szCs w:val="14"/>
          <w:b w:val="1"/>
          <w:bCs w:val="1"/>
          <w:color w:val="auto"/>
        </w:rPr>
        <w:t>Interest</w:t>
      </w:r>
      <w:r>
        <w:rPr>
          <w:rFonts w:ascii="Arial" w:cs="Arial" w:eastAsia="Arial" w:hAnsi="Arial"/>
          <w:sz w:val="14"/>
          <w:szCs w:val="14"/>
          <w:color w:val="auto"/>
        </w:rPr>
        <w:t>") charged shall be computed at the rate of 10% per annum but shall not exceed the maximum rate allowed by law. Interest is payable in addition to the potential late charge provided for in Paragraph 13.4.</w:t>
      </w:r>
    </w:p>
    <w:p>
      <w:pPr>
        <w:spacing w:after="0" w:line="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4"/>
          <w:szCs w:val="14"/>
          <w:color w:val="auto"/>
        </w:rPr>
        <w:t>15.6</w:t>
      </w:r>
      <w:r>
        <w:rPr>
          <w:sz w:val="20"/>
          <w:szCs w:val="20"/>
          <w:color w:val="auto"/>
        </w:rPr>
        <w:tab/>
      </w:r>
      <w:r>
        <w:rPr>
          <w:rFonts w:ascii="Arial" w:cs="Arial" w:eastAsia="Arial" w:hAnsi="Arial"/>
          <w:sz w:val="12"/>
          <w:szCs w:val="12"/>
          <w:b w:val="1"/>
          <w:bCs w:val="1"/>
          <w:color w:val="auto"/>
        </w:rPr>
        <w:t>Breach by Lessor</w:t>
      </w:r>
      <w:r>
        <w:rPr>
          <w:rFonts w:ascii="Arial" w:cs="Arial" w:eastAsia="Arial" w:hAnsi="Arial"/>
          <w:sz w:val="12"/>
          <w:szCs w:val="12"/>
          <w:color w:val="auto"/>
        </w:rPr>
        <w:t>.</w:t>
      </w:r>
    </w:p>
    <w:p>
      <w:pPr>
        <w:spacing w:after="0" w:line="9" w:lineRule="exact"/>
        <w:rPr>
          <w:sz w:val="20"/>
          <w:szCs w:val="20"/>
          <w:color w:val="auto"/>
        </w:rPr>
      </w:pPr>
    </w:p>
    <w:p>
      <w:pPr>
        <w:ind w:left="120" w:right="160" w:firstLine="740"/>
        <w:spacing w:after="0" w:line="261" w:lineRule="auto"/>
        <w:tabs>
          <w:tab w:leader="none" w:pos="1607" w:val="left"/>
        </w:tabs>
        <w:numPr>
          <w:ilvl w:val="0"/>
          <w:numId w:val="132"/>
        </w:numPr>
        <w:rPr>
          <w:rFonts w:ascii="Arial" w:cs="Arial" w:eastAsia="Arial" w:hAnsi="Arial"/>
          <w:sz w:val="14"/>
          <w:szCs w:val="14"/>
          <w:color w:val="auto"/>
        </w:rPr>
      </w:pPr>
      <w:r>
        <w:rPr>
          <w:rFonts w:ascii="Arial" w:cs="Arial" w:eastAsia="Arial" w:hAnsi="Arial"/>
          <w:sz w:val="14"/>
          <w:szCs w:val="14"/>
          <w:b w:val="1"/>
          <w:bCs w:val="1"/>
          <w:color w:val="auto"/>
        </w:rPr>
        <w:t>Notice of Breach</w:t>
      </w:r>
      <w:r>
        <w:rPr>
          <w:rFonts w:ascii="Arial" w:cs="Arial" w:eastAsia="Arial" w:hAnsi="Arial"/>
          <w:sz w:val="14"/>
          <w:szCs w:val="14"/>
          <w:color w:val="auto"/>
        </w:rPr>
        <w:t>. Lessor shall not be deemed in breach of this Lease unless Lessor fails within a reasonable</w:t>
      </w:r>
      <w:r>
        <w:rPr>
          <w:rFonts w:ascii="Arial" w:cs="Arial" w:eastAsia="Arial" w:hAnsi="Arial"/>
          <w:sz w:val="14"/>
          <w:szCs w:val="14"/>
          <w:b w:val="1"/>
          <w:bCs w:val="1"/>
          <w:color w:val="auto"/>
        </w:rPr>
        <w:t xml:space="preserve"> </w:t>
      </w:r>
      <w:r>
        <w:rPr>
          <w:rFonts w:ascii="Arial" w:cs="Arial" w:eastAsia="Arial" w:hAnsi="Arial"/>
          <w:sz w:val="14"/>
          <w:szCs w:val="14"/>
          <w:color w:val="auto"/>
        </w:rPr>
        <w:t>time to perform an obligation required to be performed</w:t>
      </w:r>
      <w:r>
        <w:rPr>
          <w:rFonts w:ascii="Arial" w:cs="Arial" w:eastAsia="Arial" w:hAnsi="Arial"/>
          <w:sz w:val="14"/>
          <w:szCs w:val="14"/>
          <w:b w:val="1"/>
          <w:bCs w:val="1"/>
          <w:color w:val="auto"/>
        </w:rPr>
        <w:t xml:space="preserve"> </w:t>
      </w:r>
      <w:r>
        <w:rPr>
          <w:rFonts w:ascii="Arial" w:cs="Arial" w:eastAsia="Arial" w:hAnsi="Arial"/>
          <w:sz w:val="14"/>
          <w:szCs w:val="14"/>
          <w:color w:val="auto"/>
        </w:rPr>
        <w:t>by Lessor. For purposes of this Paragraph, a 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2" w:lineRule="exact"/>
        <w:rPr>
          <w:rFonts w:ascii="Arial" w:cs="Arial" w:eastAsia="Arial" w:hAnsi="Arial"/>
          <w:sz w:val="14"/>
          <w:szCs w:val="14"/>
          <w:color w:val="auto"/>
        </w:rPr>
      </w:pPr>
    </w:p>
    <w:p>
      <w:pPr>
        <w:ind w:left="120" w:right="260" w:firstLine="740"/>
        <w:spacing w:after="0" w:line="304" w:lineRule="auto"/>
        <w:tabs>
          <w:tab w:leader="none" w:pos="1605" w:val="left"/>
        </w:tabs>
        <w:numPr>
          <w:ilvl w:val="0"/>
          <w:numId w:val="132"/>
        </w:numPr>
        <w:rPr>
          <w:rFonts w:ascii="Arial" w:cs="Arial" w:eastAsia="Arial" w:hAnsi="Arial"/>
          <w:sz w:val="13"/>
          <w:szCs w:val="13"/>
          <w:color w:val="auto"/>
        </w:rPr>
      </w:pPr>
      <w:r>
        <w:rPr>
          <w:rFonts w:ascii="Arial" w:cs="Arial" w:eastAsia="Arial" w:hAnsi="Arial"/>
          <w:sz w:val="13"/>
          <w:szCs w:val="13"/>
          <w:b w:val="1"/>
          <w:bCs w:val="1"/>
          <w:color w:val="auto"/>
        </w:rPr>
        <w:t>Performance by Lessee on Behalf of Lessor</w:t>
      </w:r>
      <w:r>
        <w:rPr>
          <w:rFonts w:ascii="Arial" w:cs="Arial" w:eastAsia="Arial" w:hAnsi="Arial"/>
          <w:sz w:val="13"/>
          <w:szCs w:val="13"/>
          <w:color w:val="auto"/>
        </w:rPr>
        <w:t>. In the event that neither Lessor nor Lender cures said breach within 30 days after receipt of said notice, or if having</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commenced said cure they do not diligently pursue it to completion, then Lessee may elect to cure said breach at Lessee's expense and oﬀset from Rent the actual and reasonable cost to perform such cure, provided however, that such oﬀset shall not exceed an amount equal to the greater of one month's Base Rent or the Security Deposit, reserving Lessee's right to reimbursement from Lessor for any such expense in excess of such oﬀset. Lessee shall document the cost of said cure and supply said documentation to Lessor.</w:t>
      </w:r>
    </w:p>
    <w:p>
      <w:pPr>
        <w:spacing w:after="0" w:line="28" w:lineRule="exact"/>
        <w:rPr>
          <w:sz w:val="20"/>
          <w:szCs w:val="20"/>
          <w:color w:val="auto"/>
        </w:rPr>
      </w:pPr>
    </w:p>
    <w:p>
      <w:pPr>
        <w:ind w:left="120" w:right="140"/>
        <w:spacing w:after="0" w:line="287" w:lineRule="auto"/>
        <w:rPr>
          <w:sz w:val="20"/>
          <w:szCs w:val="20"/>
          <w:color w:val="auto"/>
        </w:rPr>
      </w:pPr>
      <w:r>
        <w:rPr>
          <w:rFonts w:ascii="Arial" w:cs="Arial" w:eastAsia="Arial" w:hAnsi="Arial"/>
          <w:sz w:val="13"/>
          <w:szCs w:val="13"/>
          <w:b w:val="1"/>
          <w:bCs w:val="1"/>
          <w:color w:val="auto"/>
        </w:rPr>
        <w:t>16.Condemnation</w:t>
      </w:r>
      <w:r>
        <w:rPr>
          <w:rFonts w:ascii="Arial" w:cs="Arial" w:eastAsia="Arial" w:hAnsi="Arial"/>
          <w:sz w:val="13"/>
          <w:szCs w:val="13"/>
          <w:color w:val="auto"/>
        </w:rPr>
        <w:t>. If the Premises or any portion thereof are taken under the power of eminent domain or sold under the threat of the exercise of said power (collectively "</w:t>
      </w:r>
      <w:r>
        <w:rPr>
          <w:rFonts w:ascii="Arial" w:cs="Arial" w:eastAsia="Arial" w:hAnsi="Arial"/>
          <w:sz w:val="13"/>
          <w:szCs w:val="13"/>
          <w:b w:val="1"/>
          <w:bCs w:val="1"/>
          <w:color w:val="auto"/>
        </w:rPr>
        <w:t>Condemnation</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this Lease shall terminate as to the part taken as of the date the condemning authority takes title or possession, whichever first occurs. If more than 10% of the floor area of the Unit, or more than 25% of the parking spaces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eﬀect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59" w:lineRule="exact"/>
        <w:rPr>
          <w:sz w:val="20"/>
          <w:szCs w:val="20"/>
          <w:color w:val="auto"/>
        </w:rPr>
      </w:pPr>
    </w:p>
    <w:p>
      <w:pPr>
        <w:ind w:left="480" w:hanging="368"/>
        <w:spacing w:after="0"/>
        <w:tabs>
          <w:tab w:leader="none" w:pos="480" w:val="left"/>
        </w:tabs>
        <w:numPr>
          <w:ilvl w:val="0"/>
          <w:numId w:val="133"/>
        </w:numPr>
        <w:rPr>
          <w:rFonts w:ascii="Arial" w:cs="Arial" w:eastAsia="Arial" w:hAnsi="Arial"/>
          <w:sz w:val="14"/>
          <w:szCs w:val="14"/>
          <w:b w:val="1"/>
          <w:bCs w:val="1"/>
          <w:color w:val="auto"/>
        </w:rPr>
      </w:pPr>
      <w:r>
        <w:rPr>
          <w:rFonts w:ascii="Arial" w:cs="Arial" w:eastAsia="Arial" w:hAnsi="Arial"/>
          <w:sz w:val="14"/>
          <w:szCs w:val="14"/>
          <w:b w:val="1"/>
          <w:bCs w:val="1"/>
          <w:color w:val="auto"/>
        </w:rPr>
        <w:t>Brokerage Fees.</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17.1  </w:t>
      </w:r>
      <w:r>
        <w:rPr>
          <w:rFonts w:ascii="Arial" w:cs="Arial" w:eastAsia="Arial" w:hAnsi="Arial"/>
          <w:sz w:val="13"/>
          <w:szCs w:val="13"/>
          <w:b w:val="1"/>
          <w:bCs w:val="1"/>
          <w:color w:val="auto"/>
        </w:rPr>
        <w:t>Additional Commission</w:t>
      </w:r>
      <w:r>
        <w:rPr>
          <w:rFonts w:ascii="Arial" w:cs="Arial" w:eastAsia="Arial" w:hAnsi="Arial"/>
          <w:sz w:val="13"/>
          <w:szCs w:val="13"/>
          <w:color w:val="auto"/>
        </w:rPr>
        <w:t>. In addition to the payments owed pursuant to Paragraph 1.10 above, Lessor agrees that: (a) if Lessee exercises any Option, (b) if Lessee or anyone</w:t>
      </w:r>
    </w:p>
    <w:p>
      <w:pPr>
        <w:spacing w:after="0" w:line="26"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4"/>
          <w:szCs w:val="14"/>
          <w:color w:val="auto"/>
        </w:rPr>
        <w:t>aﬃliated with Lessee acquires from Lessor any rights to the Premises or other premises owned by Lessor and located within the Project, (c) if Lessee remains in possession of the Premises, with the consent of Lessor, after the expiration of this Lease, or (d) if Base Rent is increased, whether by agreement or operation of an escalation clause herein, then, Lessor shall pay Brokers a fee in accordance with the fee schedule of the Brokers in eﬀect at the time the Lease was executed. The provisions of this paragraph are intended to supersede the provisions of any earlier agreement to the contrary.</w:t>
      </w:r>
    </w:p>
    <w:p>
      <w:pPr>
        <w:spacing w:after="0" w:line="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4"/>
          <w:szCs w:val="14"/>
          <w:color w:val="auto"/>
        </w:rPr>
        <w:t>17.2</w:t>
      </w:r>
      <w:r>
        <w:rPr>
          <w:sz w:val="20"/>
          <w:szCs w:val="20"/>
          <w:color w:val="auto"/>
        </w:rPr>
        <w:tab/>
      </w:r>
      <w:r>
        <w:rPr>
          <w:rFonts w:ascii="Arial" w:cs="Arial" w:eastAsia="Arial" w:hAnsi="Arial"/>
          <w:sz w:val="12"/>
          <w:szCs w:val="12"/>
          <w:b w:val="1"/>
          <w:bCs w:val="1"/>
          <w:color w:val="auto"/>
        </w:rPr>
        <w:t>Assumption of Obligations</w:t>
      </w:r>
      <w:r>
        <w:rPr>
          <w:rFonts w:ascii="Arial" w:cs="Arial" w:eastAsia="Arial" w:hAnsi="Arial"/>
          <w:sz w:val="12"/>
          <w:szCs w:val="12"/>
          <w:color w:val="auto"/>
        </w:rPr>
        <w:t>. Any buyer or transferee of Lessor's interest in this Lease shall be deemed to have assumed Lessor's obligation hereunder.</w:t>
      </w:r>
    </w:p>
    <w:p>
      <w:pPr>
        <w:spacing w:after="0" w:line="35" w:lineRule="exact"/>
        <w:rPr>
          <w:sz w:val="20"/>
          <w:szCs w:val="20"/>
          <w:color w:val="auto"/>
        </w:rPr>
      </w:pPr>
    </w:p>
    <w:p>
      <w:pPr>
        <w:ind w:left="120" w:right="240"/>
        <w:spacing w:after="0" w:line="263" w:lineRule="auto"/>
        <w:rPr>
          <w:sz w:val="20"/>
          <w:szCs w:val="20"/>
          <w:color w:val="auto"/>
        </w:rPr>
      </w:pPr>
      <w:r>
        <w:rPr>
          <w:rFonts w:ascii="Arial" w:cs="Arial" w:eastAsia="Arial" w:hAnsi="Arial"/>
          <w:sz w:val="14"/>
          <w:szCs w:val="14"/>
          <w:color w:val="auto"/>
        </w:rPr>
        <w:t>Brokers shall be third party beneficiaries of the provisions of Paragraphs 1.10,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oﬀset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2" w:lineRule="exact"/>
        <w:rPr>
          <w:sz w:val="20"/>
          <w:szCs w:val="20"/>
          <w:color w:val="auto"/>
        </w:rPr>
      </w:pPr>
    </w:p>
    <w:p>
      <w:pPr>
        <w:ind w:left="120" w:right="160" w:firstLine="374"/>
        <w:spacing w:after="0" w:line="262" w:lineRule="auto"/>
        <w:rPr>
          <w:sz w:val="20"/>
          <w:szCs w:val="20"/>
          <w:color w:val="auto"/>
        </w:rPr>
      </w:pPr>
      <w:r>
        <w:rPr>
          <w:rFonts w:ascii="Arial" w:cs="Arial" w:eastAsia="Arial" w:hAnsi="Arial"/>
          <w:sz w:val="14"/>
          <w:szCs w:val="14"/>
          <w:color w:val="auto"/>
        </w:rPr>
        <w:t xml:space="preserve">17.3 </w:t>
      </w:r>
      <w:r>
        <w:rPr>
          <w:rFonts w:ascii="Arial" w:cs="Arial" w:eastAsia="Arial" w:hAnsi="Arial"/>
          <w:sz w:val="14"/>
          <w:szCs w:val="14"/>
          <w:b w:val="1"/>
          <w:bCs w:val="1"/>
          <w:color w:val="auto"/>
        </w:rPr>
        <w:t>Representations and Indemnities of Broker Relationships</w:t>
      </w:r>
      <w:r>
        <w:rPr>
          <w:rFonts w:ascii="Arial" w:cs="Arial" w:eastAsia="Arial" w:hAnsi="Arial"/>
          <w:sz w:val="14"/>
          <w:szCs w:val="14"/>
          <w:color w:val="auto"/>
        </w:rPr>
        <w:t>. Lessee and Lessor each represent and warrant to the other that it has had no dealings with any person, firm, broker, agent or finder (other than the Brokers and Agents, if any) in connection with this Lease, and that no one other than said named Brokers and Agents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79" w:lineRule="exact"/>
        <w:rPr>
          <w:sz w:val="20"/>
          <w:szCs w:val="20"/>
          <w:color w:val="auto"/>
        </w:rPr>
      </w:pPr>
    </w:p>
    <w:p>
      <w:pPr>
        <w:ind w:left="480" w:hanging="367"/>
        <w:spacing w:after="0"/>
        <w:tabs>
          <w:tab w:leader="none" w:pos="480" w:val="left"/>
        </w:tabs>
        <w:numPr>
          <w:ilvl w:val="0"/>
          <w:numId w:val="134"/>
        </w:numPr>
        <w:rPr>
          <w:rFonts w:ascii="Arial" w:cs="Arial" w:eastAsia="Arial" w:hAnsi="Arial"/>
          <w:sz w:val="14"/>
          <w:szCs w:val="14"/>
          <w:b w:val="1"/>
          <w:bCs w:val="1"/>
          <w:color w:val="auto"/>
        </w:rPr>
      </w:pPr>
      <w:r>
        <w:rPr>
          <w:rFonts w:ascii="Arial" w:cs="Arial" w:eastAsia="Arial" w:hAnsi="Arial"/>
          <w:sz w:val="14"/>
          <w:szCs w:val="14"/>
          <w:b w:val="1"/>
          <w:bCs w:val="1"/>
          <w:color w:val="auto"/>
        </w:rPr>
        <w:t>Estoppel Certificates.</w:t>
      </w:r>
    </w:p>
    <w:p>
      <w:pPr>
        <w:spacing w:after="0" w:line="29" w:lineRule="exact"/>
        <w:rPr>
          <w:rFonts w:ascii="Arial" w:cs="Arial" w:eastAsia="Arial" w:hAnsi="Arial"/>
          <w:sz w:val="14"/>
          <w:szCs w:val="14"/>
          <w:b w:val="1"/>
          <w:bCs w:val="1"/>
          <w:color w:val="auto"/>
        </w:rPr>
      </w:pPr>
    </w:p>
    <w:p>
      <w:pPr>
        <w:ind w:left="120" w:right="300" w:firstLine="740"/>
        <w:spacing w:after="0" w:line="261" w:lineRule="auto"/>
        <w:tabs>
          <w:tab w:leader="none" w:pos="1603" w:val="left"/>
        </w:tabs>
        <w:numPr>
          <w:ilvl w:val="1"/>
          <w:numId w:val="134"/>
        </w:numPr>
        <w:rPr>
          <w:rFonts w:ascii="Arial" w:cs="Arial" w:eastAsia="Arial" w:hAnsi="Arial"/>
          <w:sz w:val="14"/>
          <w:szCs w:val="14"/>
          <w:color w:val="auto"/>
        </w:rPr>
      </w:pPr>
      <w:r>
        <w:rPr>
          <w:rFonts w:ascii="Arial" w:cs="Arial" w:eastAsia="Arial" w:hAnsi="Arial"/>
          <w:sz w:val="14"/>
          <w:szCs w:val="14"/>
          <w:color w:val="auto"/>
        </w:rPr>
        <w:t>Each Party (as "</w:t>
      </w:r>
      <w:r>
        <w:rPr>
          <w:rFonts w:ascii="Arial" w:cs="Arial" w:eastAsia="Arial" w:hAnsi="Arial"/>
          <w:sz w:val="14"/>
          <w:szCs w:val="14"/>
          <w:b w:val="1"/>
          <w:bCs w:val="1"/>
          <w:color w:val="auto"/>
        </w:rPr>
        <w:t>Responding Party</w:t>
      </w:r>
      <w:r>
        <w:rPr>
          <w:rFonts w:ascii="Arial" w:cs="Arial" w:eastAsia="Arial" w:hAnsi="Arial"/>
          <w:sz w:val="14"/>
          <w:szCs w:val="14"/>
          <w:color w:val="auto"/>
        </w:rPr>
        <w:t>") shall within 10 days after written notice from the other Party (the "</w:t>
      </w:r>
      <w:r>
        <w:rPr>
          <w:rFonts w:ascii="Arial" w:cs="Arial" w:eastAsia="Arial" w:hAnsi="Arial"/>
          <w:sz w:val="14"/>
          <w:szCs w:val="14"/>
          <w:b w:val="1"/>
          <w:bCs w:val="1"/>
          <w:color w:val="auto"/>
        </w:rPr>
        <w:t>Requesting Party</w:t>
      </w:r>
      <w:r>
        <w:rPr>
          <w:rFonts w:ascii="Arial" w:cs="Arial" w:eastAsia="Arial" w:hAnsi="Arial"/>
          <w:sz w:val="14"/>
          <w:szCs w:val="14"/>
          <w:color w:val="auto"/>
        </w:rPr>
        <w:t>") execute, acknowledge and deliver to the Requesting Party a statement in writing in form similar to the then most current "</w:t>
      </w:r>
      <w:r>
        <w:rPr>
          <w:rFonts w:ascii="Arial" w:cs="Arial" w:eastAsia="Arial" w:hAnsi="Arial"/>
          <w:sz w:val="14"/>
          <w:szCs w:val="14"/>
          <w:b w:val="1"/>
          <w:bCs w:val="1"/>
          <w:color w:val="auto"/>
        </w:rPr>
        <w:t>Estoppel Certificate</w:t>
      </w:r>
      <w:r>
        <w:rPr>
          <w:rFonts w:ascii="Arial" w:cs="Arial" w:eastAsia="Arial" w:hAnsi="Arial"/>
          <w:sz w:val="14"/>
          <w:szCs w:val="14"/>
          <w:color w:val="auto"/>
        </w:rPr>
        <w:t>" form published by AIR CRE, plus such additional information, confirmation and/or statements as may be reasonably requested by the Requesting Party.</w:t>
      </w:r>
    </w:p>
    <w:p>
      <w:pPr>
        <w:spacing w:after="0" w:line="1" w:lineRule="exact"/>
        <w:rPr>
          <w:rFonts w:ascii="Arial" w:cs="Arial" w:eastAsia="Arial" w:hAnsi="Arial"/>
          <w:sz w:val="14"/>
          <w:szCs w:val="14"/>
          <w:color w:val="auto"/>
        </w:rPr>
      </w:pPr>
    </w:p>
    <w:p>
      <w:pPr>
        <w:ind w:left="120" w:right="240" w:firstLine="740"/>
        <w:spacing w:after="0" w:line="279" w:lineRule="auto"/>
        <w:tabs>
          <w:tab w:leader="none" w:pos="1604" w:val="left"/>
        </w:tabs>
        <w:numPr>
          <w:ilvl w:val="1"/>
          <w:numId w:val="134"/>
        </w:numPr>
        <w:rPr>
          <w:rFonts w:ascii="Arial" w:cs="Arial" w:eastAsia="Arial" w:hAnsi="Arial"/>
          <w:sz w:val="13"/>
          <w:szCs w:val="13"/>
          <w:color w:val="auto"/>
        </w:rPr>
      </w:pPr>
      <w:r>
        <w:rPr>
          <w:rFonts w:ascii="Arial" w:cs="Arial" w:eastAsia="Arial" w:hAnsi="Arial"/>
          <w:sz w:val="13"/>
          <w:szCs w:val="13"/>
          <w:color w:val="auto"/>
        </w:rPr>
        <w:t>If the Responding Party shall fail to execute or deliver the Estoppel Certificate within such 10 day period, the Requesting Party may execute an Estoppel Certificate stating that: (i) the Lease is in full force and eﬀect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diﬃcult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w:t>
      </w:r>
    </w:p>
    <w:p>
      <w:pPr>
        <w:spacing w:after="0" w:line="234" w:lineRule="auto"/>
        <w:rPr>
          <w:sz w:val="20"/>
          <w:szCs w:val="20"/>
          <w:color w:val="auto"/>
        </w:rPr>
      </w:pPr>
      <w:r>
        <w:rPr>
          <w:rFonts w:ascii="Arial" w:cs="Arial" w:eastAsia="Arial" w:hAnsi="Arial"/>
          <w:sz w:val="16"/>
          <w:szCs w:val="16"/>
          <w:color w:val="auto"/>
        </w:rPr>
        <w:t>INITIALS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76" w:name="page177"/>
    <w:bookmarkEnd w:id="176"/>
    <w:p>
      <w:pPr>
        <w:ind w:left="120"/>
        <w:spacing w:after="0"/>
        <w:rPr>
          <w:sz w:val="20"/>
          <w:szCs w:val="20"/>
          <w:color w:val="auto"/>
        </w:rPr>
      </w:pPr>
      <w:r>
        <w:rPr>
          <w:rFonts w:ascii="Arial" w:cs="Arial" w:eastAsia="Arial" w:hAnsi="Arial"/>
          <w:sz w:val="14"/>
          <w:szCs w:val="14"/>
          <w:color w:val="auto"/>
        </w:rPr>
        <w:t>the Estoppel Certificate nor prevent the exercise of any of the other rights and remedies granted hereunder.</w:t>
      </w:r>
    </w:p>
    <w:p>
      <w:pPr>
        <w:spacing w:after="0" w:line="28" w:lineRule="exact"/>
        <w:rPr>
          <w:sz w:val="20"/>
          <w:szCs w:val="20"/>
          <w:color w:val="auto"/>
        </w:rPr>
      </w:pPr>
    </w:p>
    <w:p>
      <w:pPr>
        <w:ind w:left="120" w:right="140" w:firstLine="740"/>
        <w:spacing w:after="0" w:line="265" w:lineRule="auto"/>
        <w:tabs>
          <w:tab w:leader="none" w:pos="1607"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77" w:lineRule="exact"/>
        <w:rPr>
          <w:sz w:val="20"/>
          <w:szCs w:val="20"/>
          <w:color w:val="auto"/>
        </w:rPr>
      </w:pPr>
    </w:p>
    <w:p>
      <w:pPr>
        <w:ind w:left="160" w:right="380" w:hanging="41"/>
        <w:spacing w:after="0" w:line="267" w:lineRule="auto"/>
        <w:rPr>
          <w:sz w:val="20"/>
          <w:szCs w:val="20"/>
          <w:color w:val="auto"/>
        </w:rPr>
      </w:pPr>
      <w:r>
        <w:rPr>
          <w:rFonts w:ascii="Arial" w:cs="Arial" w:eastAsia="Arial" w:hAnsi="Arial"/>
          <w:sz w:val="14"/>
          <w:szCs w:val="14"/>
          <w:b w:val="1"/>
          <w:bCs w:val="1"/>
          <w:color w:val="auto"/>
        </w:rPr>
        <w:t xml:space="preserve">19De.finition of Lessor. </w:t>
      </w:r>
      <w:r>
        <w:rPr>
          <w:rFonts w:ascii="Arial" w:cs="Arial" w:eastAsia="Arial" w:hAnsi="Arial"/>
          <w:sz w:val="14"/>
          <w:szCs w:val="14"/>
          <w:color w:val="auto"/>
        </w:rPr>
        <w:t>The term "</w:t>
      </w:r>
      <w:r>
        <w:rPr>
          <w:rFonts w:ascii="Arial" w:cs="Arial" w:eastAsia="Arial" w:hAnsi="Arial"/>
          <w:sz w:val="14"/>
          <w:szCs w:val="14"/>
          <w:b w:val="1"/>
          <w:bCs w:val="1"/>
          <w:color w:val="auto"/>
        </w:rPr>
        <w:t>Lessor</w:t>
      </w:r>
      <w:r>
        <w:rPr>
          <w:rFonts w:ascii="Arial" w:cs="Arial" w:eastAsia="Arial" w:hAnsi="Arial"/>
          <w:sz w:val="14"/>
          <w:szCs w:val="14"/>
          <w:color w:val="auto"/>
        </w:rPr>
        <w:t>" as used herein shall mean the owner or owners at the</w:t>
      </w:r>
      <w:r>
        <w:rPr>
          <w:rFonts w:ascii="Arial" w:cs="Arial" w:eastAsia="Arial" w:hAnsi="Arial"/>
          <w:sz w:val="14"/>
          <w:szCs w:val="14"/>
          <w:b w:val="1"/>
          <w:bCs w:val="1"/>
          <w:color w:val="auto"/>
        </w:rPr>
        <w:t xml:space="preserve"> </w:t>
      </w:r>
      <w:r>
        <w:rPr>
          <w:rFonts w:ascii="Arial" w:cs="Arial" w:eastAsia="Arial" w:hAnsi="Arial"/>
          <w:sz w:val="14"/>
          <w:szCs w:val="14"/>
          <w:color w:val="auto"/>
        </w:rPr>
        <w:t>time in question of the fee</w:t>
      </w:r>
      <w:r>
        <w:rPr>
          <w:rFonts w:ascii="Arial" w:cs="Arial" w:eastAsia="Arial" w:hAnsi="Arial"/>
          <w:sz w:val="14"/>
          <w:szCs w:val="14"/>
          <w:b w:val="1"/>
          <w:bCs w:val="1"/>
          <w:color w:val="auto"/>
        </w:rPr>
        <w:t xml:space="preserve"> </w:t>
      </w:r>
      <w:r>
        <w:rPr>
          <w:rFonts w:ascii="Arial" w:cs="Arial" w:eastAsia="Arial" w:hAnsi="Arial"/>
          <w:sz w:val="14"/>
          <w:szCs w:val="14"/>
          <w:color w:val="auto"/>
        </w:rPr>
        <w:t>title to the Premises, or, if this is a sublease, of the Lessee's</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20.Severability. </w:t>
      </w:r>
      <w:r>
        <w:rPr>
          <w:rFonts w:ascii="Arial" w:cs="Arial" w:eastAsia="Arial" w:hAnsi="Arial"/>
          <w:sz w:val="14"/>
          <w:szCs w:val="14"/>
          <w:color w:val="auto"/>
        </w:rPr>
        <w:t>The invalidity of any provision of this Lease, as determined by a court of competent jurisdiction, shall in no way aﬀect the validity of any other provision hereof.</w:t>
      </w:r>
    </w:p>
    <w:p>
      <w:pPr>
        <w:spacing w:after="0" w:line="132" w:lineRule="exact"/>
        <w:rPr>
          <w:sz w:val="20"/>
          <w:szCs w:val="20"/>
          <w:color w:val="auto"/>
        </w:rPr>
      </w:pPr>
    </w:p>
    <w:p>
      <w:pPr>
        <w:ind w:left="480" w:hanging="368"/>
        <w:spacing w:after="0"/>
        <w:tabs>
          <w:tab w:leader="none" w:pos="480"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Days. </w:t>
      </w:r>
      <w:r>
        <w:rPr>
          <w:rFonts w:ascii="Arial" w:cs="Arial" w:eastAsia="Arial" w:hAnsi="Arial"/>
          <w:sz w:val="14"/>
          <w:szCs w:val="14"/>
          <w:color w:val="auto"/>
        </w:rPr>
        <w:t>Unless otherwise specifically indicated to the contrary, the word "</w:t>
      </w:r>
      <w:r>
        <w:rPr>
          <w:rFonts w:ascii="Arial" w:cs="Arial" w:eastAsia="Arial" w:hAnsi="Arial"/>
          <w:sz w:val="14"/>
          <w:szCs w:val="14"/>
          <w:b w:val="1"/>
          <w:bCs w:val="1"/>
          <w:color w:val="auto"/>
        </w:rPr>
        <w:t>days</w:t>
      </w:r>
      <w:r>
        <w:rPr>
          <w:rFonts w:ascii="Arial" w:cs="Arial" w:eastAsia="Arial" w:hAnsi="Arial"/>
          <w:sz w:val="14"/>
          <w:szCs w:val="14"/>
          <w:color w:val="auto"/>
        </w:rPr>
        <w:t>" as used in this Lease shall mean and refer to calendar days.</w:t>
      </w:r>
    </w:p>
    <w:p>
      <w:pPr>
        <w:spacing w:after="0" w:line="99" w:lineRule="exact"/>
        <w:rPr>
          <w:sz w:val="20"/>
          <w:szCs w:val="20"/>
          <w:color w:val="auto"/>
        </w:rPr>
      </w:pPr>
    </w:p>
    <w:p>
      <w:pPr>
        <w:ind w:left="120" w:right="360"/>
        <w:spacing w:after="0" w:line="309" w:lineRule="auto"/>
        <w:rPr>
          <w:sz w:val="20"/>
          <w:szCs w:val="20"/>
          <w:color w:val="auto"/>
        </w:rPr>
      </w:pPr>
      <w:r>
        <w:rPr>
          <w:rFonts w:ascii="Arial" w:cs="Arial" w:eastAsia="Arial" w:hAnsi="Arial"/>
          <w:sz w:val="14"/>
          <w:szCs w:val="14"/>
          <w:b w:val="1"/>
          <w:bCs w:val="1"/>
          <w:color w:val="auto"/>
        </w:rPr>
        <w:t xml:space="preserve">22.Limitation on Liability. </w:t>
      </w:r>
      <w:r>
        <w:rPr>
          <w:rFonts w:ascii="Arial" w:cs="Arial" w:eastAsia="Arial" w:hAnsi="Arial"/>
          <w:sz w:val="14"/>
          <w:szCs w:val="14"/>
          <w:color w:val="auto"/>
        </w:rPr>
        <w:t>The obligations of Lessor under this Lease shall not constitute personal obligations of Lessor, or its partners, members, directors, oﬃcers or shareholders, and</w:t>
      </w:r>
      <w:r>
        <w:rPr>
          <w:rFonts w:ascii="Arial" w:cs="Arial" w:eastAsia="Arial" w:hAnsi="Arial"/>
          <w:sz w:val="14"/>
          <w:szCs w:val="14"/>
          <w:b w:val="1"/>
          <w:bCs w:val="1"/>
          <w:color w:val="auto"/>
        </w:rPr>
        <w:t xml:space="preserve"> </w:t>
      </w:r>
      <w:r>
        <w:rPr>
          <w:rFonts w:ascii="Arial" w:cs="Arial" w:eastAsia="Arial" w:hAnsi="Arial"/>
          <w:sz w:val="14"/>
          <w:szCs w:val="14"/>
          <w:color w:val="auto"/>
        </w:rPr>
        <w:t>Lessee shall look to the Premises, and to no other assets of Lessor, for the satisfaction of any liability of Lessor with respect to this Lease, and shall not seek recourse against Lessor's partners, members, directors, oﬃcers or shareholders, or any of their personal assets for such satisfaction.</w:t>
      </w:r>
    </w:p>
    <w:p>
      <w:pPr>
        <w:spacing w:after="0" w:line="36" w:lineRule="exact"/>
        <w:rPr>
          <w:sz w:val="20"/>
          <w:szCs w:val="20"/>
          <w:color w:val="auto"/>
        </w:rPr>
      </w:pPr>
    </w:p>
    <w:p>
      <w:pPr>
        <w:ind w:left="480" w:hanging="368"/>
        <w:spacing w:after="0"/>
        <w:tabs>
          <w:tab w:leader="none" w:pos="480"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Time of Essence. </w:t>
      </w:r>
      <w:r>
        <w:rPr>
          <w:rFonts w:ascii="Arial" w:cs="Arial" w:eastAsia="Arial" w:hAnsi="Arial"/>
          <w:sz w:val="14"/>
          <w:szCs w:val="14"/>
          <w:color w:val="auto"/>
        </w:rPr>
        <w:t>Time is of the essence with respect to the performance of all obligations to be performed or observed by the Parties under this Lease.</w:t>
      </w:r>
    </w:p>
    <w:p>
      <w:pPr>
        <w:spacing w:after="0" w:line="123" w:lineRule="exact"/>
        <w:rPr>
          <w:sz w:val="20"/>
          <w:szCs w:val="20"/>
          <w:color w:val="auto"/>
        </w:rPr>
      </w:pPr>
    </w:p>
    <w:p>
      <w:pPr>
        <w:ind w:left="120" w:right="360"/>
        <w:spacing w:after="0" w:line="267" w:lineRule="auto"/>
        <w:rPr>
          <w:sz w:val="20"/>
          <w:szCs w:val="20"/>
          <w:color w:val="auto"/>
        </w:rPr>
      </w:pPr>
      <w:r>
        <w:rPr>
          <w:rFonts w:ascii="Arial" w:cs="Arial" w:eastAsia="Arial" w:hAnsi="Arial"/>
          <w:sz w:val="14"/>
          <w:szCs w:val="14"/>
          <w:b w:val="1"/>
          <w:bCs w:val="1"/>
          <w:color w:val="auto"/>
        </w:rPr>
        <w:t>24.No Prior or Other Agreements; Broker Disclaimer</w:t>
      </w:r>
      <w:r>
        <w:rPr>
          <w:rFonts w:ascii="Arial" w:cs="Arial" w:eastAsia="Arial" w:hAnsi="Arial"/>
          <w:sz w:val="14"/>
          <w:szCs w:val="14"/>
          <w:color w:val="auto"/>
        </w:rPr>
        <w:t>. This Lease contains all agreements between the Parties with respect to any matter mentioned herein, and no other prior or</w:t>
      </w:r>
      <w:r>
        <w:rPr>
          <w:rFonts w:ascii="Arial" w:cs="Arial" w:eastAsia="Arial" w:hAnsi="Arial"/>
          <w:sz w:val="14"/>
          <w:szCs w:val="14"/>
          <w:b w:val="1"/>
          <w:bCs w:val="1"/>
          <w:color w:val="auto"/>
        </w:rPr>
        <w:t xml:space="preserve"> </w:t>
      </w:r>
      <w:r>
        <w:rPr>
          <w:rFonts w:ascii="Arial" w:cs="Arial" w:eastAsia="Arial" w:hAnsi="Arial"/>
          <w:sz w:val="14"/>
          <w:szCs w:val="14"/>
          <w:color w:val="auto"/>
        </w:rPr>
        <w:t>contemporaneous agreement or understanding shall be eﬀective.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67" w:lineRule="exact"/>
        <w:rPr>
          <w:sz w:val="20"/>
          <w:szCs w:val="20"/>
          <w:color w:val="auto"/>
        </w:rPr>
      </w:pPr>
    </w:p>
    <w:p>
      <w:pPr>
        <w:ind w:left="480" w:hanging="367"/>
        <w:spacing w:after="0"/>
        <w:tabs>
          <w:tab w:leader="none" w:pos="480" w:val="left"/>
        </w:tabs>
        <w:numPr>
          <w:ilvl w:val="0"/>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Notices.</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25.1  </w:t>
      </w:r>
      <w:r>
        <w:rPr>
          <w:rFonts w:ascii="Arial" w:cs="Arial" w:eastAsia="Arial" w:hAnsi="Arial"/>
          <w:sz w:val="13"/>
          <w:szCs w:val="13"/>
          <w:b w:val="1"/>
          <w:bCs w:val="1"/>
          <w:color w:val="auto"/>
        </w:rPr>
        <w:t>Notice Requirements</w:t>
      </w:r>
      <w:r>
        <w:rPr>
          <w:rFonts w:ascii="Arial" w:cs="Arial" w:eastAsia="Arial" w:hAnsi="Arial"/>
          <w:sz w:val="13"/>
          <w:szCs w:val="13"/>
          <w:color w:val="auto"/>
        </w:rPr>
        <w:t>. All notices required or permitted by this Lease or applicable law shall be in writing and may be delivered in person (by hand or by courier) or may be</w:t>
      </w:r>
    </w:p>
    <w:p>
      <w:pPr>
        <w:spacing w:after="0" w:line="26" w:lineRule="exact"/>
        <w:rPr>
          <w:sz w:val="20"/>
          <w:szCs w:val="20"/>
          <w:color w:val="auto"/>
        </w:rPr>
      </w:pPr>
    </w:p>
    <w:p>
      <w:pPr>
        <w:ind w:left="120" w:right="280"/>
        <w:spacing w:after="0" w:line="281" w:lineRule="auto"/>
        <w:rPr>
          <w:sz w:val="20"/>
          <w:szCs w:val="20"/>
          <w:color w:val="auto"/>
        </w:rPr>
      </w:pPr>
      <w:r>
        <w:rPr>
          <w:rFonts w:ascii="Arial" w:cs="Arial" w:eastAsia="Arial" w:hAnsi="Arial"/>
          <w:sz w:val="13"/>
          <w:szCs w:val="13"/>
          <w:color w:val="auto"/>
        </w:rPr>
        <w:t>sent by regular, certified or registered mail or U.S. Postal Service Express Mail, with postage prepaid, or by facsimile transmission, or by email, and shall be deemed suﬃciently given if served in a manner specified in this Paragraph 23. The addresses noted adjacent to a Party's signature on this Lease shall be that Party's address for delivery or mailing of notices. Either Party may by written notice to the other specify a diﬀerent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2" w:lineRule="exact"/>
        <w:rPr>
          <w:sz w:val="20"/>
          <w:szCs w:val="20"/>
          <w:color w:val="auto"/>
        </w:rPr>
      </w:pPr>
    </w:p>
    <w:p>
      <w:pPr>
        <w:ind w:left="120" w:right="580" w:firstLine="374"/>
        <w:spacing w:after="0" w:line="257" w:lineRule="auto"/>
        <w:rPr>
          <w:sz w:val="20"/>
          <w:szCs w:val="20"/>
          <w:color w:val="auto"/>
        </w:rPr>
      </w:pPr>
      <w:r>
        <w:rPr>
          <w:rFonts w:ascii="Arial" w:cs="Arial" w:eastAsia="Arial" w:hAnsi="Arial"/>
          <w:sz w:val="14"/>
          <w:szCs w:val="14"/>
          <w:color w:val="auto"/>
        </w:rPr>
        <w:t xml:space="preserve">25.2 </w:t>
      </w:r>
      <w:r>
        <w:rPr>
          <w:rFonts w:ascii="Arial" w:cs="Arial" w:eastAsia="Arial" w:hAnsi="Arial"/>
          <w:sz w:val="14"/>
          <w:szCs w:val="14"/>
          <w:b w:val="1"/>
          <w:bCs w:val="1"/>
          <w:color w:val="auto"/>
        </w:rPr>
        <w:t>Date of Notice</w:t>
      </w:r>
      <w:r>
        <w:rPr>
          <w:rFonts w:ascii="Arial" w:cs="Arial" w:eastAsia="Arial" w:hAnsi="Arial"/>
          <w:sz w:val="14"/>
          <w:szCs w:val="14"/>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delivered by hand, or transmitted by facsimile transmission or by email shall be deemed delivered upon actual receipt. If notice is received on a Saturday, Sunday or legal holiday, it shall be deemed received on the next business day.</w:t>
      </w:r>
    </w:p>
    <w:p>
      <w:pPr>
        <w:spacing w:after="0" w:line="2" w:lineRule="exact"/>
        <w:rPr>
          <w:sz w:val="20"/>
          <w:szCs w:val="20"/>
          <w:color w:val="auto"/>
        </w:rPr>
      </w:pPr>
    </w:p>
    <w:p>
      <w:pPr>
        <w:ind w:left="120" w:right="580" w:firstLine="374"/>
        <w:spacing w:after="0" w:line="323" w:lineRule="auto"/>
        <w:rPr>
          <w:sz w:val="20"/>
          <w:szCs w:val="20"/>
          <w:color w:val="auto"/>
        </w:rPr>
      </w:pPr>
      <w:r>
        <w:rPr>
          <w:rFonts w:ascii="Arial" w:cs="Arial" w:eastAsia="Arial" w:hAnsi="Arial"/>
          <w:sz w:val="13"/>
          <w:szCs w:val="13"/>
          <w:color w:val="auto"/>
        </w:rPr>
        <w:t xml:space="preserve">25.3 </w:t>
      </w:r>
      <w:r>
        <w:rPr>
          <w:rFonts w:ascii="Arial" w:cs="Arial" w:eastAsia="Arial" w:hAnsi="Arial"/>
          <w:sz w:val="13"/>
          <w:szCs w:val="13"/>
          <w:b w:val="1"/>
          <w:bCs w:val="1"/>
          <w:color w:val="auto"/>
        </w:rPr>
        <w:t>Options.</w:t>
      </w:r>
      <w:r>
        <w:rPr>
          <w:rFonts w:ascii="Arial" w:cs="Arial" w:eastAsia="Arial" w:hAnsi="Arial"/>
          <w:sz w:val="13"/>
          <w:szCs w:val="13"/>
          <w:color w:val="auto"/>
        </w:rPr>
        <w:t xml:space="preserve"> Notwithstanding the foregoing, in order to exercise any Options (see paragraph 39), the Notice must be sent by Certified Mail (return receipt requested), Express Mail (signature required), courier (signature required) or some other methodology that provides a receipt establishing the date the notice was received by the Lessor.</w:t>
      </w:r>
    </w:p>
    <w:p>
      <w:pPr>
        <w:spacing w:after="0" w:line="46" w:lineRule="exact"/>
        <w:rPr>
          <w:sz w:val="20"/>
          <w:szCs w:val="20"/>
          <w:color w:val="auto"/>
        </w:rPr>
      </w:pPr>
    </w:p>
    <w:p>
      <w:pPr>
        <w:ind w:left="480" w:hanging="369"/>
        <w:spacing w:after="0"/>
        <w:tabs>
          <w:tab w:leader="none" w:pos="480"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Waivers.</w:t>
      </w:r>
    </w:p>
    <w:p>
      <w:pPr>
        <w:spacing w:after="0" w:line="25" w:lineRule="exact"/>
        <w:rPr>
          <w:rFonts w:ascii="Arial" w:cs="Arial" w:eastAsia="Arial" w:hAnsi="Arial"/>
          <w:sz w:val="14"/>
          <w:szCs w:val="14"/>
          <w:b w:val="1"/>
          <w:bCs w:val="1"/>
          <w:color w:val="auto"/>
        </w:rPr>
      </w:pPr>
    </w:p>
    <w:p>
      <w:pPr>
        <w:ind w:left="1220" w:hanging="360"/>
        <w:spacing w:after="0"/>
        <w:tabs>
          <w:tab w:leader="none" w:pos="1220" w:val="left"/>
        </w:tabs>
        <w:numPr>
          <w:ilvl w:val="1"/>
          <w:numId w:val="139"/>
        </w:numPr>
        <w:rPr>
          <w:rFonts w:ascii="Arial" w:cs="Arial" w:eastAsia="Arial" w:hAnsi="Arial"/>
          <w:sz w:val="14"/>
          <w:szCs w:val="14"/>
          <w:color w:val="auto"/>
        </w:rPr>
      </w:pPr>
      <w:r>
        <w:rPr>
          <w:rFonts w:ascii="Arial" w:cs="Arial" w:eastAsia="Arial" w:hAnsi="Arial"/>
          <w:sz w:val="14"/>
          <w:szCs w:val="14"/>
          <w:color w:val="auto"/>
        </w:rPr>
        <w:t>No waiver by Lessor of the Default or Breach of any term, covenant or condition hereof by Lessee, shall be deemed a waiver of any other term,</w:t>
      </w:r>
    </w:p>
    <w:p>
      <w:pPr>
        <w:spacing w:after="0" w:line="35" w:lineRule="exact"/>
        <w:rPr>
          <w:sz w:val="20"/>
          <w:szCs w:val="20"/>
          <w:color w:val="auto"/>
        </w:rPr>
      </w:pPr>
    </w:p>
    <w:p>
      <w:pPr>
        <w:jc w:val="both"/>
        <w:ind w:left="120" w:right="240"/>
        <w:spacing w:after="0" w:line="247" w:lineRule="auto"/>
        <w:rPr>
          <w:sz w:val="20"/>
          <w:szCs w:val="20"/>
          <w:color w:val="auto"/>
        </w:rPr>
      </w:pPr>
      <w:r>
        <w:rPr>
          <w:rFonts w:ascii="Arial" w:cs="Arial" w:eastAsia="Arial" w:hAnsi="Arial"/>
          <w:sz w:val="14"/>
          <w:szCs w:val="14"/>
          <w:color w:val="auto"/>
        </w:rPr>
        <w:t>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 w:lineRule="exact"/>
        <w:rPr>
          <w:sz w:val="20"/>
          <w:szCs w:val="20"/>
          <w:color w:val="auto"/>
        </w:rPr>
      </w:pPr>
    </w:p>
    <w:p>
      <w:pPr>
        <w:jc w:val="both"/>
        <w:ind w:left="120" w:right="480" w:firstLine="740"/>
        <w:spacing w:after="0" w:line="254" w:lineRule="auto"/>
        <w:tabs>
          <w:tab w:leader="none" w:pos="1599" w:val="left"/>
        </w:tabs>
        <w:numPr>
          <w:ilvl w:val="1"/>
          <w:numId w:val="140"/>
        </w:numPr>
        <w:rPr>
          <w:rFonts w:ascii="Arial" w:cs="Arial" w:eastAsia="Arial" w:hAnsi="Arial"/>
          <w:sz w:val="14"/>
          <w:szCs w:val="14"/>
          <w:color w:val="auto"/>
        </w:rPr>
      </w:pPr>
      <w:r>
        <w:rPr>
          <w:rFonts w:ascii="Arial" w:cs="Arial" w:eastAsia="Arial" w:hAnsi="Arial"/>
          <w:sz w:val="14"/>
          <w:szCs w:val="14"/>
          <w:color w:val="auto"/>
        </w:rPr>
        <w:t>The acceptance of Rent by Lessor shall not be a waiver of any Default or Breach by Lessee. Any payment by Lessee may be accepted by Lessor on account of monies or damages due Lessor, notwithstanding any qualifying statements or conditions made by Lessee in connection therewith, which such statements and/or conditions shall be of no force or eﬀect whatsoever unless specifically agreed to in writing by Lessor at or before the time of deposit of such payment.</w:t>
      </w:r>
    </w:p>
    <w:p>
      <w:pPr>
        <w:spacing w:after="0" w:line="1" w:lineRule="exact"/>
        <w:rPr>
          <w:rFonts w:ascii="Arial" w:cs="Arial" w:eastAsia="Arial" w:hAnsi="Arial"/>
          <w:sz w:val="14"/>
          <w:szCs w:val="14"/>
          <w:color w:val="auto"/>
        </w:rPr>
      </w:pPr>
    </w:p>
    <w:p>
      <w:pPr>
        <w:ind w:left="120" w:right="820" w:firstLine="741"/>
        <w:spacing w:after="0" w:line="293" w:lineRule="auto"/>
        <w:tabs>
          <w:tab w:leader="none" w:pos="1588" w:val="left"/>
        </w:tabs>
        <w:numPr>
          <w:ilvl w:val="1"/>
          <w:numId w:val="140"/>
        </w:numPr>
        <w:rPr>
          <w:rFonts w:ascii="Arial" w:cs="Arial" w:eastAsia="Arial" w:hAnsi="Arial"/>
          <w:sz w:val="13"/>
          <w:szCs w:val="13"/>
          <w:color w:val="auto"/>
        </w:rPr>
      </w:pPr>
      <w:r>
        <w:rPr>
          <w:rFonts w:ascii="Arial" w:cs="Arial" w:eastAsia="Arial" w:hAnsi="Arial"/>
          <w:sz w:val="13"/>
          <w:szCs w:val="13"/>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50" w:lineRule="exact"/>
        <w:rPr>
          <w:rFonts w:ascii="Arial" w:cs="Arial" w:eastAsia="Arial" w:hAnsi="Arial"/>
          <w:sz w:val="13"/>
          <w:szCs w:val="13"/>
          <w:color w:val="auto"/>
        </w:rPr>
      </w:pPr>
    </w:p>
    <w:p>
      <w:pPr>
        <w:ind w:left="480" w:hanging="367"/>
        <w:spacing w:after="0"/>
        <w:tabs>
          <w:tab w:leader="none" w:pos="480" w:val="left"/>
        </w:tabs>
        <w:numPr>
          <w:ilvl w:val="0"/>
          <w:numId w:val="141"/>
        </w:numPr>
        <w:rPr>
          <w:rFonts w:ascii="Arial" w:cs="Arial" w:eastAsia="Arial" w:hAnsi="Arial"/>
          <w:sz w:val="14"/>
          <w:szCs w:val="14"/>
          <w:b w:val="1"/>
          <w:bCs w:val="1"/>
          <w:color w:val="auto"/>
        </w:rPr>
      </w:pPr>
      <w:r>
        <w:rPr>
          <w:rFonts w:ascii="Arial" w:cs="Arial" w:eastAsia="Arial" w:hAnsi="Arial"/>
          <w:sz w:val="14"/>
          <w:szCs w:val="14"/>
          <w:b w:val="1"/>
          <w:bCs w:val="1"/>
          <w:color w:val="auto"/>
        </w:rPr>
        <w:t>Disclosures Regarding The Nature of a Real Estate Agency Relationship.</w:t>
      </w:r>
    </w:p>
    <w:p>
      <w:pPr>
        <w:spacing w:after="0" w:line="25" w:lineRule="exact"/>
        <w:rPr>
          <w:rFonts w:ascii="Arial" w:cs="Arial" w:eastAsia="Arial" w:hAnsi="Arial"/>
          <w:sz w:val="14"/>
          <w:szCs w:val="14"/>
          <w:b w:val="1"/>
          <w:bCs w:val="1"/>
          <w:color w:val="auto"/>
        </w:rPr>
      </w:pPr>
    </w:p>
    <w:p>
      <w:pPr>
        <w:ind w:left="120" w:right="560" w:firstLine="740"/>
        <w:spacing w:after="0" w:line="281" w:lineRule="auto"/>
        <w:tabs>
          <w:tab w:leader="none" w:pos="1602" w:val="left"/>
        </w:tabs>
        <w:numPr>
          <w:ilvl w:val="1"/>
          <w:numId w:val="141"/>
        </w:numPr>
        <w:rPr>
          <w:rFonts w:ascii="Arial" w:cs="Arial" w:eastAsia="Arial" w:hAnsi="Arial"/>
          <w:sz w:val="13"/>
          <w:szCs w:val="13"/>
          <w:color w:val="auto"/>
        </w:rPr>
      </w:pPr>
      <w:r>
        <w:rPr>
          <w:rFonts w:ascii="Arial" w:cs="Arial" w:eastAsia="Arial" w:hAnsi="Arial"/>
          <w:sz w:val="13"/>
          <w:szCs w:val="13"/>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ind w:left="2340" w:hanging="1105"/>
        <w:spacing w:after="0"/>
        <w:tabs>
          <w:tab w:leader="none" w:pos="2340" w:val="left"/>
        </w:tabs>
        <w:numPr>
          <w:ilvl w:val="2"/>
          <w:numId w:val="141"/>
        </w:numPr>
        <w:rPr>
          <w:rFonts w:ascii="Arial" w:cs="Arial" w:eastAsia="Arial" w:hAnsi="Arial"/>
          <w:sz w:val="13"/>
          <w:szCs w:val="13"/>
          <w:color w:val="auto"/>
        </w:rPr>
      </w:pPr>
      <w:r>
        <w:rPr>
          <w:rFonts w:ascii="Arial" w:cs="Arial" w:eastAsia="Arial" w:hAnsi="Arial"/>
          <w:sz w:val="13"/>
          <w:szCs w:val="13"/>
          <w:i w:val="1"/>
          <w:iCs w:val="1"/>
          <w:u w:val="single" w:color="auto"/>
          <w:color w:val="auto"/>
        </w:rPr>
        <w:t>Lessor's Agent</w:t>
      </w:r>
      <w:r>
        <w:rPr>
          <w:rFonts w:ascii="Arial" w:cs="Arial" w:eastAsia="Arial" w:hAnsi="Arial"/>
          <w:sz w:val="13"/>
          <w:szCs w:val="13"/>
          <w:color w:val="auto"/>
        </w:rPr>
        <w:t>. A Lessor's agent under a listing agreement with the Lessor acts as the agent for the Lessor only. A Lessor's agent or subagent has the</w:t>
      </w:r>
    </w:p>
    <w:p>
      <w:pPr>
        <w:spacing w:after="0" w:line="26" w:lineRule="exact"/>
        <w:rPr>
          <w:rFonts w:ascii="Arial" w:cs="Arial" w:eastAsia="Arial" w:hAnsi="Arial"/>
          <w:sz w:val="13"/>
          <w:szCs w:val="13"/>
          <w:color w:val="auto"/>
        </w:rPr>
      </w:pPr>
    </w:p>
    <w:p>
      <w:pPr>
        <w:ind w:left="120" w:right="280"/>
        <w:spacing w:after="0" w:line="263" w:lineRule="auto"/>
        <w:rPr>
          <w:rFonts w:ascii="Arial" w:cs="Arial" w:eastAsia="Arial" w:hAnsi="Arial"/>
          <w:sz w:val="13"/>
          <w:szCs w:val="13"/>
          <w:color w:val="auto"/>
        </w:rPr>
      </w:pPr>
      <w:r>
        <w:rPr>
          <w:rFonts w:ascii="Arial" w:cs="Arial" w:eastAsia="Arial" w:hAnsi="Arial"/>
          <w:sz w:val="14"/>
          <w:szCs w:val="14"/>
          <w:color w:val="auto"/>
        </w:rPr>
        <w:t xml:space="preserve">following aﬃrmative obligations: </w:t>
      </w:r>
      <w:r>
        <w:rPr>
          <w:rFonts w:ascii="Arial" w:cs="Arial" w:eastAsia="Arial" w:hAnsi="Arial"/>
          <w:sz w:val="14"/>
          <w:szCs w:val="14"/>
          <w:i w:val="1"/>
          <w:iCs w:val="1"/>
          <w:u w:val="single" w:color="auto"/>
          <w:color w:val="auto"/>
        </w:rPr>
        <w:t>To the Lessor</w:t>
      </w:r>
      <w:r>
        <w:rPr>
          <w:rFonts w:ascii="Arial" w:cs="Arial" w:eastAsia="Arial" w:hAnsi="Arial"/>
          <w:sz w:val="14"/>
          <w:szCs w:val="14"/>
          <w:color w:val="auto"/>
        </w:rPr>
        <w:t xml:space="preserve">: A fiduciary duty of utmost care, integrity, honesty, and loyalty in dealings with the Lessor. </w:t>
      </w:r>
      <w:r>
        <w:rPr>
          <w:rFonts w:ascii="Arial" w:cs="Arial" w:eastAsia="Arial" w:hAnsi="Arial"/>
          <w:sz w:val="14"/>
          <w:szCs w:val="14"/>
          <w:i w:val="1"/>
          <w:iCs w:val="1"/>
          <w:u w:val="single" w:color="auto"/>
          <w:color w:val="auto"/>
        </w:rPr>
        <w:t>To the Lessee and the Lessor</w:t>
      </w:r>
      <w:r>
        <w:rPr>
          <w:rFonts w:ascii="Arial" w:cs="Arial" w:eastAsia="Arial" w:hAnsi="Arial"/>
          <w:sz w:val="14"/>
          <w:szCs w:val="14"/>
          <w:color w:val="auto"/>
        </w:rPr>
        <w:t>: (a) Diligent exercise of reasonable skills and care in performance of the agent's duties. (b) A duty of honest and fair dealing and good faith. (c) A duty to disclose all facts known to the agent materially aﬀecting the value or desirability of the property that are not known to, or within the diligent attention and observation of, the Parties. An agent is not obligated to reveal to either Party any confidential information obtained from the other Party which does not involve the aﬃrmative duties set forth above.</w:t>
      </w:r>
    </w:p>
    <w:p>
      <w:pPr>
        <w:spacing w:after="0" w:line="1" w:lineRule="exact"/>
        <w:rPr>
          <w:rFonts w:ascii="Arial" w:cs="Arial" w:eastAsia="Arial" w:hAnsi="Arial"/>
          <w:sz w:val="13"/>
          <w:szCs w:val="13"/>
          <w:color w:val="auto"/>
        </w:rPr>
      </w:pPr>
    </w:p>
    <w:p>
      <w:pPr>
        <w:ind w:left="2340" w:hanging="1105"/>
        <w:spacing w:after="0" w:line="237" w:lineRule="auto"/>
        <w:tabs>
          <w:tab w:leader="none" w:pos="2340" w:val="left"/>
        </w:tabs>
        <w:numPr>
          <w:ilvl w:val="2"/>
          <w:numId w:val="141"/>
        </w:numPr>
        <w:rPr>
          <w:rFonts w:ascii="Arial" w:cs="Arial" w:eastAsia="Arial" w:hAnsi="Arial"/>
          <w:sz w:val="14"/>
          <w:szCs w:val="14"/>
          <w:color w:val="auto"/>
        </w:rPr>
      </w:pPr>
      <w:r>
        <w:rPr>
          <w:rFonts w:ascii="Arial" w:cs="Arial" w:eastAsia="Arial" w:hAnsi="Arial"/>
          <w:sz w:val="14"/>
          <w:szCs w:val="14"/>
          <w:i w:val="1"/>
          <w:iCs w:val="1"/>
          <w:u w:val="single" w:color="auto"/>
          <w:color w:val="auto"/>
        </w:rPr>
        <w:t>Lessee's Agent</w:t>
      </w:r>
      <w:r>
        <w:rPr>
          <w:rFonts w:ascii="Arial" w:cs="Arial" w:eastAsia="Arial" w:hAnsi="Arial"/>
          <w:sz w:val="14"/>
          <w:szCs w:val="14"/>
          <w:color w:val="auto"/>
        </w:rPr>
        <w:t>. An agent can agree to act as agent for the Lessee only. In these situations, the agent is not the Lessor's agent, even if by</w:t>
      </w: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77" w:name="page178"/>
    <w:bookmarkEnd w:id="177"/>
    <w:p>
      <w:pPr>
        <w:ind w:left="120" w:right="260"/>
        <w:spacing w:after="0" w:line="276" w:lineRule="auto"/>
        <w:rPr>
          <w:sz w:val="20"/>
          <w:szCs w:val="20"/>
          <w:color w:val="auto"/>
        </w:rPr>
      </w:pPr>
      <w:r>
        <w:rPr>
          <w:rFonts w:ascii="Arial" w:cs="Arial" w:eastAsia="Arial" w:hAnsi="Arial"/>
          <w:sz w:val="14"/>
          <w:szCs w:val="14"/>
          <w:color w:val="auto"/>
        </w:rPr>
        <w:t xml:space="preserve">agreement the agent may receive compensation for services rendered, either in full or in part from the Lessor. An agent acting only for a Lessee has the following aﬃrmative obligations. </w:t>
      </w:r>
      <w:r>
        <w:rPr>
          <w:rFonts w:ascii="Arial" w:cs="Arial" w:eastAsia="Arial" w:hAnsi="Arial"/>
          <w:sz w:val="14"/>
          <w:szCs w:val="14"/>
          <w:i w:val="1"/>
          <w:iCs w:val="1"/>
          <w:u w:val="single" w:color="auto"/>
          <w:color w:val="auto"/>
        </w:rPr>
        <w:t>To</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the Lessee</w:t>
      </w:r>
      <w:r>
        <w:rPr>
          <w:rFonts w:ascii="Arial" w:cs="Arial" w:eastAsia="Arial" w:hAnsi="Arial"/>
          <w:sz w:val="14"/>
          <w:szCs w:val="14"/>
          <w:color w:val="auto"/>
        </w:rPr>
        <w:t>: A</w:t>
      </w:r>
      <w:r>
        <w:rPr>
          <w:rFonts w:ascii="Arial" w:cs="Arial" w:eastAsia="Arial" w:hAnsi="Arial"/>
          <w:sz w:val="14"/>
          <w:szCs w:val="14"/>
          <w:i w:val="1"/>
          <w:iCs w:val="1"/>
          <w:color w:val="auto"/>
        </w:rPr>
        <w:t xml:space="preserve"> </w:t>
      </w:r>
      <w:r>
        <w:rPr>
          <w:rFonts w:ascii="Arial" w:cs="Arial" w:eastAsia="Arial" w:hAnsi="Arial"/>
          <w:sz w:val="14"/>
          <w:szCs w:val="14"/>
          <w:color w:val="auto"/>
        </w:rPr>
        <w:t>fiduciary duty of utmost care, integrity, honesty, and loyalty in dealings with the Lessee.</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auto"/>
        </w:rPr>
        <w:t>To the Lessee and the Lessor</w:t>
      </w:r>
      <w:r>
        <w:rPr>
          <w:rFonts w:ascii="Arial" w:cs="Arial" w:eastAsia="Arial" w:hAnsi="Arial"/>
          <w:sz w:val="14"/>
          <w:szCs w:val="14"/>
          <w:color w:val="auto"/>
        </w:rPr>
        <w:t>: (a) Diligent exercise of reasonable skills and care in</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of the agent's duties. (b) A duty of honest and fair dealing and good faith. (c) A duty to disclose all facts known to the agent materially aﬀecting the value or desirability of the property that are not known to, or within the diligent attention and observation of, the Parties. An agent is not obligated to reveal to either Party any confidential information obtained from the other Party which does not involve the aﬃrmative duties set forth above.</w:t>
      </w:r>
    </w:p>
    <w:p>
      <w:pPr>
        <w:spacing w:after="0" w:line="2" w:lineRule="exact"/>
        <w:rPr>
          <w:sz w:val="20"/>
          <w:szCs w:val="20"/>
          <w:color w:val="auto"/>
        </w:rPr>
      </w:pPr>
    </w:p>
    <w:p>
      <w:pPr>
        <w:ind w:left="120" w:right="140" w:firstLine="1115"/>
        <w:spacing w:after="0" w:line="279" w:lineRule="auto"/>
        <w:tabs>
          <w:tab w:leader="none" w:pos="2352" w:val="left"/>
        </w:tabs>
        <w:numPr>
          <w:ilvl w:val="1"/>
          <w:numId w:val="142"/>
        </w:numPr>
        <w:rPr>
          <w:rFonts w:ascii="Arial" w:cs="Arial" w:eastAsia="Arial" w:hAnsi="Arial"/>
          <w:sz w:val="13"/>
          <w:szCs w:val="13"/>
          <w:color w:val="auto"/>
        </w:rPr>
      </w:pPr>
      <w:r>
        <w:rPr>
          <w:rFonts w:ascii="Arial" w:cs="Arial" w:eastAsia="Arial" w:hAnsi="Arial"/>
          <w:sz w:val="13"/>
          <w:szCs w:val="13"/>
          <w:i w:val="1"/>
          <w:iCs w:val="1"/>
          <w:u w:val="single" w:color="auto"/>
          <w:color w:val="auto"/>
        </w:rPr>
        <w:t>Agent Representing Both Lessor and Lessee</w:t>
      </w:r>
      <w:r>
        <w:rPr>
          <w:rFonts w:ascii="Arial" w:cs="Arial" w:eastAsia="Arial" w:hAnsi="Arial"/>
          <w:sz w:val="13"/>
          <w:szCs w:val="13"/>
          <w:color w:val="auto"/>
        </w:rPr>
        <w:t>. A real estate agent, either acting directly or through one or more associate licensees, can legally be the</w:t>
      </w:r>
      <w:r>
        <w:rPr>
          <w:rFonts w:ascii="Arial" w:cs="Arial" w:eastAsia="Arial" w:hAnsi="Arial"/>
          <w:sz w:val="13"/>
          <w:szCs w:val="13"/>
          <w:i w:val="1"/>
          <w:iCs w:val="1"/>
          <w:color w:val="auto"/>
        </w:rPr>
        <w:t xml:space="preserve"> </w:t>
      </w:r>
      <w:r>
        <w:rPr>
          <w:rFonts w:ascii="Arial" w:cs="Arial" w:eastAsia="Arial" w:hAnsi="Arial"/>
          <w:sz w:val="13"/>
          <w:szCs w:val="13"/>
          <w:color w:val="auto"/>
        </w:rPr>
        <w:t>agent of both the Lessor and the Lessee in a transaction, but only with the knowledge and consent of both the Lessor and the Lessee. In a dual agency situation, the agent has the following aﬃrmative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confidential information, including, but not limited to, facts relating to either Lessee's or Lessor's financial position, motivations, bargaining position, or other personal information that may impact rent, including Lessor's willingness to accept a rent less than the listing rent or Lessee's willingness to pay rent greater than the rent oﬀered.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 Both Lessor and Lessee should strongly consider obtaining tax advice from a competent professional because the federal and state tax consequences of a transaction can be complex and subject to change.</w:t>
      </w:r>
    </w:p>
    <w:p>
      <w:pPr>
        <w:spacing w:after="0" w:line="1" w:lineRule="exact"/>
        <w:rPr>
          <w:rFonts w:ascii="Arial" w:cs="Arial" w:eastAsia="Arial" w:hAnsi="Arial"/>
          <w:sz w:val="13"/>
          <w:szCs w:val="13"/>
          <w:color w:val="auto"/>
        </w:rPr>
      </w:pPr>
    </w:p>
    <w:p>
      <w:pPr>
        <w:ind w:left="1580" w:hanging="720"/>
        <w:spacing w:after="0"/>
        <w:tabs>
          <w:tab w:leader="none" w:pos="15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Brokers have no responsibility with respect to any default or breach hereof by either Party. The Parties agree that no lawsuit or other legal proceeding involving</w:t>
      </w:r>
    </w:p>
    <w:p>
      <w:pPr>
        <w:spacing w:after="0" w:line="26" w:lineRule="exact"/>
        <w:rPr>
          <w:sz w:val="20"/>
          <w:szCs w:val="20"/>
          <w:color w:val="auto"/>
        </w:rPr>
      </w:pPr>
    </w:p>
    <w:p>
      <w:pPr>
        <w:jc w:val="both"/>
        <w:ind w:left="120" w:right="300"/>
        <w:spacing w:after="0" w:line="254" w:lineRule="auto"/>
        <w:rPr>
          <w:sz w:val="20"/>
          <w:szCs w:val="20"/>
          <w:color w:val="auto"/>
        </w:rPr>
      </w:pPr>
      <w:r>
        <w:rPr>
          <w:rFonts w:ascii="Arial" w:cs="Arial" w:eastAsia="Arial" w:hAnsi="Arial"/>
          <w:sz w:val="14"/>
          <w:szCs w:val="14"/>
          <w:color w:val="auto"/>
        </w:rPr>
        <w:t>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2" w:lineRule="exact"/>
        <w:rPr>
          <w:sz w:val="20"/>
          <w:szCs w:val="20"/>
          <w:color w:val="auto"/>
        </w:rPr>
      </w:pPr>
    </w:p>
    <w:p>
      <w:pPr>
        <w:ind w:left="1580" w:hanging="719"/>
        <w:spacing w:after="0"/>
        <w:tabs>
          <w:tab w:leader="none" w:pos="15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Lessor and Lessee agree to identify to Brokers as "Confidential" any communication or information given Brokers that is considered by such Party to be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confidential.</w:t>
      </w:r>
    </w:p>
    <w:p>
      <w:pPr>
        <w:spacing w:after="0" w:line="98" w:lineRule="exact"/>
        <w:rPr>
          <w:sz w:val="20"/>
          <w:szCs w:val="20"/>
          <w:color w:val="auto"/>
        </w:rPr>
      </w:pPr>
    </w:p>
    <w:p>
      <w:pPr>
        <w:ind w:left="120" w:right="300"/>
        <w:spacing w:after="0" w:line="289" w:lineRule="auto"/>
        <w:rPr>
          <w:sz w:val="20"/>
          <w:szCs w:val="20"/>
          <w:color w:val="auto"/>
        </w:rPr>
      </w:pPr>
      <w:r>
        <w:rPr>
          <w:rFonts w:ascii="Arial" w:cs="Arial" w:eastAsia="Arial" w:hAnsi="Arial"/>
          <w:sz w:val="13"/>
          <w:szCs w:val="13"/>
          <w:b w:val="1"/>
          <w:bCs w:val="1"/>
          <w:color w:val="auto"/>
        </w:rPr>
        <w:t>28.No Right To Holdover</w:t>
      </w:r>
      <w:r>
        <w:rPr>
          <w:rFonts w:ascii="Arial" w:cs="Arial" w:eastAsia="Arial" w:hAnsi="Arial"/>
          <w:sz w:val="13"/>
          <w:szCs w:val="13"/>
          <w:color w:val="auto"/>
        </w:rPr>
        <w:t>. Lessee has no right to retain possession of the Premises or any part thereof beyond the expiration or termination of this Lease. At or prior to the expiration or</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termination of this Lease Lessee shall deliver exclusive possession of the Premises to Lessor. For purposes of this provision and Paragraph 13.1(a), exclusive possession shall mean that Lessee shall have vacated the Premises, removed all of its personal property therefrom and that the Premises have been returned in the condition specified in this Lease. In the event that Lessee does not deliver exclusive possession to Lessor as specified above, then Lessor's damages during any holdover period shall be computed at the amount of the Rent (as defined in Paragraph 4.1) due during the last full month before the expiration or termination of this Lease (disregarding any temporary abatement of Rent that may have been in eﬀect), but with Base Rent being 150% of the Base Rent payable during such last full month. Nothing contained herein shall be construed as consent by Lessor to any holding over by Lessee.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29.Cumulative Remedies. </w:t>
      </w:r>
      <w:r>
        <w:rPr>
          <w:rFonts w:ascii="Arial" w:cs="Arial" w:eastAsia="Arial" w:hAnsi="Arial"/>
          <w:sz w:val="14"/>
          <w:szCs w:val="14"/>
          <w:color w:val="auto"/>
        </w:rPr>
        <w:t>No remedy or election hereunder shall be deemed exclusive but shall, wherever possible, be cumulative with all other remedies at law or in equity.</w:t>
      </w:r>
    </w:p>
    <w:p>
      <w:pPr>
        <w:spacing w:after="0" w:line="123"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3"/>
          <w:szCs w:val="13"/>
          <w:b w:val="1"/>
          <w:bCs w:val="1"/>
          <w:color w:val="auto"/>
        </w:rPr>
        <w:t xml:space="preserve">30.Covenants and Conditions; Construction of Agreement. </w:t>
      </w:r>
      <w:r>
        <w:rPr>
          <w:rFonts w:ascii="Arial" w:cs="Arial" w:eastAsia="Arial" w:hAnsi="Arial"/>
          <w:sz w:val="13"/>
          <w:szCs w:val="13"/>
          <w:color w:val="auto"/>
        </w:rPr>
        <w:t>All provisions of this Lease to be observed or performed by Lessee are both covenants and conditions. In construing this</w:t>
      </w:r>
      <w:r>
        <w:rPr>
          <w:rFonts w:ascii="Arial" w:cs="Arial" w:eastAsia="Arial" w:hAnsi="Arial"/>
          <w:sz w:val="13"/>
          <w:szCs w:val="13"/>
          <w:b w:val="1"/>
          <w:bCs w:val="1"/>
          <w:color w:val="auto"/>
        </w:rPr>
        <w:t xml:space="preserve"> </w:t>
      </w:r>
      <w:r>
        <w:rPr>
          <w:rFonts w:ascii="Arial" w:cs="Arial" w:eastAsia="Arial" w:hAnsi="Arial"/>
          <w:sz w:val="13"/>
          <w:szCs w:val="13"/>
          <w:color w:val="auto"/>
        </w:rPr>
        <w:t>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30" w:lineRule="exact"/>
        <w:rPr>
          <w:sz w:val="20"/>
          <w:szCs w:val="20"/>
          <w:color w:val="auto"/>
        </w:rPr>
      </w:pPr>
    </w:p>
    <w:p>
      <w:pPr>
        <w:jc w:val="both"/>
        <w:ind w:left="120" w:right="240"/>
        <w:spacing w:after="0" w:line="287" w:lineRule="auto"/>
        <w:rPr>
          <w:sz w:val="20"/>
          <w:szCs w:val="20"/>
          <w:color w:val="auto"/>
        </w:rPr>
      </w:pPr>
      <w:r>
        <w:rPr>
          <w:rFonts w:ascii="Arial" w:cs="Arial" w:eastAsia="Arial" w:hAnsi="Arial"/>
          <w:sz w:val="14"/>
          <w:szCs w:val="14"/>
          <w:b w:val="1"/>
          <w:bCs w:val="1"/>
          <w:color w:val="auto"/>
        </w:rPr>
        <w:t>31.Binding E</w:t>
      </w:r>
      <w:r>
        <w:rPr>
          <w:rFonts w:ascii="Arial" w:cs="Arial" w:eastAsia="Arial" w:hAnsi="Arial"/>
          <w:sz w:val="14"/>
          <w:szCs w:val="14"/>
          <w:color w:val="auto"/>
        </w:rPr>
        <w:t>ﬀ</w:t>
      </w:r>
      <w:r>
        <w:rPr>
          <w:rFonts w:ascii="Arial" w:cs="Arial" w:eastAsia="Arial" w:hAnsi="Arial"/>
          <w:sz w:val="14"/>
          <w:szCs w:val="14"/>
          <w:b w:val="1"/>
          <w:bCs w:val="1"/>
          <w:color w:val="auto"/>
        </w:rPr>
        <w:t xml:space="preserve">ect; Choice of Law. </w:t>
      </w:r>
      <w:r>
        <w:rPr>
          <w:rFonts w:ascii="Arial" w:cs="Arial" w:eastAsia="Arial" w:hAnsi="Arial"/>
          <w:sz w:val="14"/>
          <w:szCs w:val="14"/>
          <w:color w:val="auto"/>
        </w:rPr>
        <w:t>This Lease shall be binding upon the Parties, their personal representatives, successors and assigns and be governed by the laws of the State in which</w:t>
      </w:r>
      <w:r>
        <w:rPr>
          <w:rFonts w:ascii="Arial" w:cs="Arial" w:eastAsia="Arial" w:hAnsi="Arial"/>
          <w:sz w:val="14"/>
          <w:szCs w:val="14"/>
          <w:b w:val="1"/>
          <w:bCs w:val="1"/>
          <w:color w:val="auto"/>
        </w:rPr>
        <w:t xml:space="preserve"> </w:t>
      </w:r>
      <w:r>
        <w:rPr>
          <w:rFonts w:ascii="Arial" w:cs="Arial" w:eastAsia="Arial" w:hAnsi="Arial"/>
          <w:sz w:val="14"/>
          <w:szCs w:val="14"/>
          <w:color w:val="auto"/>
        </w:rPr>
        <w:t>the Premises are located. Any litigation between the Parties hereto concerning this Lease shall be initiated in the county in which the Premises are located. Signatures to this Lease accomplished by means of electronic signature or similar technology shall be legal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-345440</wp:posOffset>
            </wp:positionV>
            <wp:extent cx="92075" cy="984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92075" cy="98425"/>
                    </a:xfrm>
                    <a:prstGeom prst="rect">
                      <a:avLst/>
                    </a:prstGeom>
                    <a:noFill/>
                  </pic:spPr>
                </pic:pic>
              </a:graphicData>
            </a:graphic>
          </wp:anchor>
        </w:drawing>
      </w:r>
    </w:p>
    <w:p>
      <w:pPr>
        <w:spacing w:after="0" w:line="33" w:lineRule="exact"/>
        <w:rPr>
          <w:sz w:val="20"/>
          <w:szCs w:val="20"/>
          <w:color w:val="auto"/>
        </w:rPr>
      </w:pPr>
    </w:p>
    <w:p>
      <w:pPr>
        <w:ind w:left="480" w:hanging="367"/>
        <w:spacing w:after="0"/>
        <w:tabs>
          <w:tab w:leader="none" w:pos="480"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Subordination; Attornment; NonDisturbance.</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3"/>
          <w:szCs w:val="13"/>
          <w:color w:val="auto"/>
        </w:rPr>
        <w:t xml:space="preserve">32.1  </w:t>
      </w:r>
      <w:r>
        <w:rPr>
          <w:rFonts w:ascii="Arial" w:cs="Arial" w:eastAsia="Arial" w:hAnsi="Arial"/>
          <w:sz w:val="13"/>
          <w:szCs w:val="13"/>
          <w:b w:val="1"/>
          <w:bCs w:val="1"/>
          <w:color w:val="auto"/>
        </w:rPr>
        <w:t>Subordination</w:t>
      </w:r>
      <w:r>
        <w:rPr>
          <w:rFonts w:ascii="Arial" w:cs="Arial" w:eastAsia="Arial" w:hAnsi="Arial"/>
          <w:sz w:val="13"/>
          <w:szCs w:val="13"/>
          <w:color w:val="auto"/>
        </w:rPr>
        <w:t>. This Lease and any Option granted hereby shall be subject and subordinate to any ground lease, mortgage, deed of trust, or other hypothecation or security</w:t>
      </w:r>
    </w:p>
    <w:p>
      <w:pPr>
        <w:spacing w:after="0" w:line="26" w:lineRule="exact"/>
        <w:rPr>
          <w:sz w:val="20"/>
          <w:szCs w:val="20"/>
          <w:color w:val="auto"/>
        </w:rPr>
      </w:pPr>
    </w:p>
    <w:p>
      <w:pPr>
        <w:jc w:val="both"/>
        <w:ind w:left="120" w:right="260"/>
        <w:spacing w:after="0" w:line="271" w:lineRule="auto"/>
        <w:rPr>
          <w:sz w:val="20"/>
          <w:szCs w:val="20"/>
          <w:color w:val="auto"/>
        </w:rPr>
      </w:pPr>
      <w:r>
        <w:rPr>
          <w:rFonts w:ascii="Arial" w:cs="Arial" w:eastAsia="Arial" w:hAnsi="Arial"/>
          <w:sz w:val="14"/>
          <w:szCs w:val="14"/>
          <w:color w:val="auto"/>
        </w:rPr>
        <w:t>device (collectively, "</w:t>
      </w:r>
      <w:r>
        <w:rPr>
          <w:rFonts w:ascii="Arial" w:cs="Arial" w:eastAsia="Arial" w:hAnsi="Arial"/>
          <w:sz w:val="14"/>
          <w:szCs w:val="14"/>
          <w:b w:val="1"/>
          <w:bCs w:val="1"/>
          <w:color w:val="auto"/>
        </w:rPr>
        <w:t>Security Device</w:t>
      </w:r>
      <w:r>
        <w:rPr>
          <w:rFonts w:ascii="Arial" w:cs="Arial" w:eastAsia="Arial" w:hAnsi="Arial"/>
          <w:sz w:val="14"/>
          <w:szCs w:val="14"/>
          <w:color w:val="auto"/>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4"/>
          <w:szCs w:val="14"/>
          <w:b w:val="1"/>
          <w:bCs w:val="1"/>
          <w:color w:val="auto"/>
        </w:rPr>
        <w:t>Lender</w:t>
      </w:r>
      <w:r>
        <w:rPr>
          <w:rFonts w:ascii="Arial" w:cs="Arial" w:eastAsia="Arial" w:hAnsi="Arial"/>
          <w:sz w:val="14"/>
          <w:szCs w:val="14"/>
          <w:color w:val="auto"/>
        </w:rPr>
        <w:t>") shall have no liability or obligation to perform any of the obligations of Lessor under this Lease. Any Lender may elect to have this Lease and/or any Option granted</w:t>
      </w:r>
    </w:p>
    <w:p>
      <w:pPr>
        <w:spacing w:after="0" w:line="1" w:lineRule="exact"/>
        <w:rPr>
          <w:sz w:val="20"/>
          <w:szCs w:val="20"/>
          <w:color w:val="auto"/>
        </w:rPr>
      </w:pPr>
    </w:p>
    <w:p>
      <w:pPr>
        <w:ind w:left="120" w:right="800"/>
        <w:spacing w:after="0" w:line="266" w:lineRule="auto"/>
        <w:rPr>
          <w:sz w:val="20"/>
          <w:szCs w:val="20"/>
          <w:color w:val="auto"/>
        </w:rPr>
      </w:pPr>
      <w:r>
        <w:rPr>
          <w:rFonts w:ascii="Arial" w:cs="Arial" w:eastAsia="Arial" w:hAnsi="Arial"/>
          <w:sz w:val="14"/>
          <w:szCs w:val="14"/>
          <w:color w:val="auto"/>
        </w:rPr>
        <w:t>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1" w:lineRule="exact"/>
        <w:rPr>
          <w:sz w:val="20"/>
          <w:szCs w:val="20"/>
          <w:color w:val="auto"/>
        </w:rPr>
      </w:pPr>
    </w:p>
    <w:p>
      <w:pPr>
        <w:ind w:left="120" w:right="220" w:firstLine="374"/>
        <w:spacing w:after="0" w:line="281" w:lineRule="auto"/>
        <w:rPr>
          <w:sz w:val="20"/>
          <w:szCs w:val="20"/>
          <w:color w:val="auto"/>
        </w:rPr>
      </w:pPr>
      <w:r>
        <w:rPr>
          <w:rFonts w:ascii="Arial" w:cs="Arial" w:eastAsia="Arial" w:hAnsi="Arial"/>
          <w:sz w:val="13"/>
          <w:szCs w:val="13"/>
          <w:color w:val="auto"/>
        </w:rPr>
        <w:t xml:space="preserve">32.2 </w:t>
      </w:r>
      <w:r>
        <w:rPr>
          <w:rFonts w:ascii="Arial" w:cs="Arial" w:eastAsia="Arial" w:hAnsi="Arial"/>
          <w:sz w:val="13"/>
          <w:szCs w:val="13"/>
          <w:b w:val="1"/>
          <w:bCs w:val="1"/>
          <w:color w:val="auto"/>
        </w:rPr>
        <w:t>Attornment</w:t>
      </w:r>
      <w:r>
        <w:rPr>
          <w:rFonts w:ascii="Arial" w:cs="Arial" w:eastAsia="Arial" w:hAnsi="Arial"/>
          <w:sz w:val="13"/>
          <w:szCs w:val="13"/>
          <w:color w:val="auto"/>
        </w:rPr>
        <w:t>. 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for the remainder of the term hereof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w:t>
      </w:r>
    </w:p>
    <w:p>
      <w:pPr>
        <w:spacing w:after="0" w:line="2" w:lineRule="exact"/>
        <w:rPr>
          <w:sz w:val="20"/>
          <w:szCs w:val="20"/>
          <w:color w:val="auto"/>
        </w:rPr>
      </w:pPr>
    </w:p>
    <w:p>
      <w:pPr>
        <w:ind w:left="120" w:right="360" w:hanging="8"/>
        <w:spacing w:after="0" w:line="251" w:lineRule="auto"/>
        <w:tabs>
          <w:tab w:leader="none" w:pos="324" w:val="left"/>
        </w:tabs>
        <w:numPr>
          <w:ilvl w:val="0"/>
          <w:numId w:val="146"/>
        </w:numPr>
        <w:rPr>
          <w:rFonts w:ascii="Arial" w:cs="Arial" w:eastAsia="Arial" w:hAnsi="Arial"/>
          <w:sz w:val="14"/>
          <w:szCs w:val="14"/>
          <w:color w:val="auto"/>
        </w:rPr>
      </w:pPr>
      <w:r>
        <w:rPr>
          <w:rFonts w:ascii="Arial" w:cs="Arial" w:eastAsia="Arial" w:hAnsi="Arial"/>
          <w:sz w:val="14"/>
          <w:szCs w:val="14"/>
          <w:color w:val="auto"/>
        </w:rPr>
        <w:t>be subject to any oﬀsets or defenses which Lessee might have against any prior lessor, (c) be bound by prepayment of more than one month's rent, or (d) be liable for the return of any security deposit paid to any prior lessor which was not paid or credited to such new owner.</w:t>
      </w:r>
    </w:p>
    <w:p>
      <w:pPr>
        <w:ind w:left="120" w:right="320" w:firstLine="374"/>
        <w:spacing w:after="0" w:line="258" w:lineRule="auto"/>
        <w:rPr>
          <w:rFonts w:ascii="Arial" w:cs="Arial" w:eastAsia="Arial" w:hAnsi="Arial"/>
          <w:sz w:val="14"/>
          <w:szCs w:val="14"/>
          <w:color w:val="auto"/>
        </w:rPr>
      </w:pPr>
      <w:r>
        <w:rPr>
          <w:rFonts w:ascii="Arial" w:cs="Arial" w:eastAsia="Arial" w:hAnsi="Arial"/>
          <w:sz w:val="14"/>
          <w:szCs w:val="14"/>
          <w:color w:val="auto"/>
        </w:rPr>
        <w:t xml:space="preserve">32.3 </w:t>
      </w:r>
      <w:r>
        <w:rPr>
          <w:rFonts w:ascii="Arial" w:cs="Arial" w:eastAsia="Arial" w:hAnsi="Arial"/>
          <w:sz w:val="14"/>
          <w:szCs w:val="14"/>
          <w:b w:val="1"/>
          <w:bCs w:val="1"/>
          <w:color w:val="auto"/>
        </w:rPr>
        <w:t>NonDisturbance</w:t>
      </w:r>
      <w:r>
        <w:rPr>
          <w:rFonts w:ascii="Arial" w:cs="Arial" w:eastAsia="Arial" w:hAnsi="Arial"/>
          <w:sz w:val="14"/>
          <w:szCs w:val="14"/>
          <w:color w:val="auto"/>
        </w:rPr>
        <w:t>.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4"/>
          <w:szCs w:val="14"/>
          <w:b w:val="1"/>
          <w:bCs w:val="1"/>
          <w:color w:val="auto"/>
        </w:rPr>
        <w:t>NonDisturbance Agreement</w:t>
      </w:r>
      <w:r>
        <w:rPr>
          <w:rFonts w:ascii="Arial" w:cs="Arial" w:eastAsia="Arial" w:hAnsi="Arial"/>
          <w:sz w:val="14"/>
          <w:szCs w:val="14"/>
          <w:color w:val="auto"/>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eﬀorts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0" w:right="359" w:bottom="1440" w:gutter="0" w:footer="0" w:header="0"/>
        </w:sectPr>
      </w:pPr>
    </w:p>
    <w:bookmarkStart w:id="178" w:name="page179"/>
    <w:bookmarkEnd w:id="178"/>
    <w:p>
      <w:pPr>
        <w:ind w:left="120"/>
        <w:spacing w:after="0"/>
        <w:rPr>
          <w:sz w:val="20"/>
          <w:szCs w:val="20"/>
          <w:color w:val="auto"/>
        </w:rPr>
      </w:pPr>
      <w:r>
        <w:rPr>
          <w:rFonts w:ascii="Arial" w:cs="Arial" w:eastAsia="Arial" w:hAnsi="Arial"/>
          <w:sz w:val="14"/>
          <w:szCs w:val="14"/>
          <w:color w:val="auto"/>
        </w:rPr>
        <w:t>attempt to negotiate for the execution and delivery of a NonDisturbance Agreement.</w:t>
      </w:r>
    </w:p>
    <w:p>
      <w:pPr>
        <w:spacing w:after="0" w:line="21" w:lineRule="exact"/>
        <w:rPr>
          <w:sz w:val="20"/>
          <w:szCs w:val="20"/>
          <w:color w:val="auto"/>
        </w:rPr>
      </w:pPr>
    </w:p>
    <w:p>
      <w:pPr>
        <w:jc w:val="both"/>
        <w:ind w:left="120" w:right="140" w:firstLine="374"/>
        <w:spacing w:after="0" w:line="272" w:lineRule="auto"/>
        <w:rPr>
          <w:sz w:val="20"/>
          <w:szCs w:val="20"/>
          <w:color w:val="auto"/>
        </w:rPr>
      </w:pPr>
      <w:r>
        <w:rPr>
          <w:rFonts w:ascii="Arial" w:cs="Arial" w:eastAsia="Arial" w:hAnsi="Arial"/>
          <w:sz w:val="14"/>
          <w:szCs w:val="14"/>
          <w:color w:val="auto"/>
        </w:rPr>
        <w:t xml:space="preserve">32.4 </w:t>
      </w:r>
      <w:r>
        <w:rPr>
          <w:rFonts w:ascii="Arial" w:cs="Arial" w:eastAsia="Arial" w:hAnsi="Arial"/>
          <w:sz w:val="14"/>
          <w:szCs w:val="14"/>
          <w:b w:val="1"/>
          <w:bCs w:val="1"/>
          <w:color w:val="auto"/>
        </w:rPr>
        <w:t>SelfExecuting</w:t>
      </w:r>
      <w:r>
        <w:rPr>
          <w:rFonts w:ascii="Arial" w:cs="Arial" w:eastAsia="Arial" w:hAnsi="Arial"/>
          <w:sz w:val="14"/>
          <w:szCs w:val="14"/>
          <w:color w:val="auto"/>
        </w:rPr>
        <w:t>. The agreements contained in this Paragraph 30 shall be eﬀective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76" w:lineRule="exact"/>
        <w:rPr>
          <w:sz w:val="20"/>
          <w:szCs w:val="20"/>
          <w:color w:val="auto"/>
        </w:rPr>
      </w:pPr>
    </w:p>
    <w:p>
      <w:pPr>
        <w:ind w:left="120" w:right="160"/>
        <w:spacing w:after="0" w:line="291" w:lineRule="auto"/>
        <w:rPr>
          <w:sz w:val="20"/>
          <w:szCs w:val="20"/>
          <w:color w:val="auto"/>
        </w:rPr>
      </w:pPr>
      <w:r>
        <w:rPr>
          <w:rFonts w:ascii="Arial" w:cs="Arial" w:eastAsia="Arial" w:hAnsi="Arial"/>
          <w:sz w:val="13"/>
          <w:szCs w:val="13"/>
          <w:b w:val="1"/>
          <w:bCs w:val="1"/>
          <w:color w:val="auto"/>
        </w:rPr>
        <w:t xml:space="preserve">33.Attorneys' Fees. </w:t>
      </w:r>
      <w:r>
        <w:rPr>
          <w:rFonts w:ascii="Arial" w:cs="Arial" w:eastAsia="Arial" w:hAnsi="Arial"/>
          <w:sz w:val="13"/>
          <w:szCs w:val="13"/>
          <w:color w:val="auto"/>
        </w:rPr>
        <w:t>If any Party or Broker brings an action or proceeding involving the Premises whether founded in tort, contract or equity, or to declare rights hereunder, the Prevailing</w:t>
      </w:r>
      <w:r>
        <w:rPr>
          <w:rFonts w:ascii="Arial" w:cs="Arial" w:eastAsia="Arial" w:hAnsi="Arial"/>
          <w:sz w:val="13"/>
          <w:szCs w:val="13"/>
          <w:b w:val="1"/>
          <w:bCs w:val="1"/>
          <w:color w:val="auto"/>
        </w:rPr>
        <w:t xml:space="preserve"> </w:t>
      </w:r>
      <w:r>
        <w:rPr>
          <w:rFonts w:ascii="Arial" w:cs="Arial" w:eastAsia="Arial" w:hAnsi="Arial"/>
          <w:sz w:val="13"/>
          <w:szCs w:val="13"/>
          <w:color w:val="auto"/>
        </w:rPr>
        <w:t>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3"/>
          <w:szCs w:val="13"/>
          <w:b w:val="1"/>
          <w:bCs w:val="1"/>
          <w:color w:val="auto"/>
        </w:rPr>
        <w:t>Prevailing Party</w:t>
      </w:r>
      <w:r>
        <w:rPr>
          <w:rFonts w:ascii="Arial" w:cs="Arial" w:eastAsia="Arial" w:hAnsi="Arial"/>
          <w:sz w:val="13"/>
          <w:szCs w:val="13"/>
          <w:color w:val="auto"/>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54" w:lineRule="exact"/>
        <w:rPr>
          <w:sz w:val="20"/>
          <w:szCs w:val="20"/>
          <w:color w:val="auto"/>
        </w:rPr>
      </w:pPr>
    </w:p>
    <w:p>
      <w:pPr>
        <w:ind w:left="120" w:right="240"/>
        <w:spacing w:after="0" w:line="309" w:lineRule="auto"/>
        <w:rPr>
          <w:sz w:val="20"/>
          <w:szCs w:val="20"/>
          <w:color w:val="auto"/>
        </w:rPr>
      </w:pPr>
      <w:r>
        <w:rPr>
          <w:rFonts w:ascii="Arial" w:cs="Arial" w:eastAsia="Arial" w:hAnsi="Arial"/>
          <w:sz w:val="13"/>
          <w:szCs w:val="13"/>
          <w:b w:val="1"/>
          <w:bCs w:val="1"/>
          <w:color w:val="auto"/>
        </w:rPr>
        <w:t xml:space="preserve">34.Lessor's Access; Showing Premises; Repairs. </w:t>
      </w:r>
      <w:r>
        <w:rPr>
          <w:rFonts w:ascii="Arial" w:cs="Arial" w:eastAsia="Arial" w:hAnsi="Arial"/>
          <w:sz w:val="13"/>
          <w:szCs w:val="13"/>
          <w:color w:val="auto"/>
        </w:rPr>
        <w:t>Lessor and Lessor's agents shall have the right to enter the Premises at any</w:t>
      </w:r>
      <w:r>
        <w:rPr>
          <w:rFonts w:ascii="Arial" w:cs="Arial" w:eastAsia="Arial" w:hAnsi="Arial"/>
          <w:sz w:val="13"/>
          <w:szCs w:val="13"/>
          <w:b w:val="1"/>
          <w:bCs w:val="1"/>
          <w:color w:val="auto"/>
        </w:rPr>
        <w:t xml:space="preserve"> </w:t>
      </w:r>
      <w:r>
        <w:rPr>
          <w:rFonts w:ascii="Arial" w:cs="Arial" w:eastAsia="Arial" w:hAnsi="Arial"/>
          <w:sz w:val="13"/>
          <w:szCs w:val="13"/>
          <w:color w:val="auto"/>
        </w:rPr>
        <w:t>time, in the case of an emergency, and otherwise at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eﬀect on Lessee's use of the Premises. All such activities shall be without abatement of rent or liability to Lessee.</w:t>
      </w:r>
    </w:p>
    <w:p>
      <w:pPr>
        <w:spacing w:after="0" w:line="40" w:lineRule="exact"/>
        <w:rPr>
          <w:sz w:val="20"/>
          <w:szCs w:val="20"/>
          <w:color w:val="auto"/>
        </w:rPr>
      </w:pPr>
    </w:p>
    <w:p>
      <w:pPr>
        <w:ind w:left="120" w:right="600"/>
        <w:spacing w:after="0" w:line="299" w:lineRule="auto"/>
        <w:rPr>
          <w:sz w:val="20"/>
          <w:szCs w:val="20"/>
          <w:color w:val="auto"/>
        </w:rPr>
      </w:pPr>
      <w:r>
        <w:rPr>
          <w:rFonts w:ascii="Arial" w:cs="Arial" w:eastAsia="Arial" w:hAnsi="Arial"/>
          <w:sz w:val="14"/>
          <w:szCs w:val="14"/>
          <w:b w:val="1"/>
          <w:bCs w:val="1"/>
          <w:color w:val="auto"/>
        </w:rPr>
        <w:t xml:space="preserve">35.Auctions. </w:t>
      </w:r>
      <w:r>
        <w:rPr>
          <w:rFonts w:ascii="Arial" w:cs="Arial" w:eastAsia="Arial" w:hAnsi="Arial"/>
          <w:sz w:val="14"/>
          <w:szCs w:val="14"/>
          <w:color w:val="auto"/>
        </w:rPr>
        <w:t>Lessee shall not conduct, nor permit to be conducted, any auction upon the Premises without Lessor's prior written consent. Lessor shall not be obligated to exercise any</w:t>
      </w:r>
      <w:r>
        <w:rPr>
          <w:rFonts w:ascii="Arial" w:cs="Arial" w:eastAsia="Arial" w:hAnsi="Arial"/>
          <w:sz w:val="14"/>
          <w:szCs w:val="14"/>
          <w:b w:val="1"/>
          <w:bCs w:val="1"/>
          <w:color w:val="auto"/>
        </w:rPr>
        <w:t xml:space="preserve"> </w:t>
      </w:r>
      <w:r>
        <w:rPr>
          <w:rFonts w:ascii="Arial" w:cs="Arial" w:eastAsia="Arial" w:hAnsi="Arial"/>
          <w:sz w:val="14"/>
          <w:szCs w:val="14"/>
          <w:color w:val="auto"/>
        </w:rPr>
        <w:t>standard of reasonableness in determining whether to permit an auction.</w:t>
      </w:r>
    </w:p>
    <w:p>
      <w:pPr>
        <w:spacing w:after="0" w:line="58" w:lineRule="exact"/>
        <w:rPr>
          <w:sz w:val="20"/>
          <w:szCs w:val="20"/>
          <w:color w:val="auto"/>
        </w:rPr>
      </w:pPr>
    </w:p>
    <w:p>
      <w:pPr>
        <w:ind w:left="120" w:right="140"/>
        <w:spacing w:after="0" w:line="270" w:lineRule="auto"/>
        <w:rPr>
          <w:sz w:val="20"/>
          <w:szCs w:val="20"/>
          <w:color w:val="auto"/>
        </w:rPr>
      </w:pPr>
      <w:r>
        <w:rPr>
          <w:rFonts w:ascii="Arial" w:cs="Arial" w:eastAsia="Arial" w:hAnsi="Arial"/>
          <w:sz w:val="14"/>
          <w:szCs w:val="14"/>
          <w:b w:val="1"/>
          <w:bCs w:val="1"/>
          <w:color w:val="auto"/>
        </w:rPr>
        <w:t xml:space="preserve">36.Signs. </w:t>
      </w:r>
      <w:r>
        <w:rPr>
          <w:rFonts w:ascii="Arial" w:cs="Arial" w:eastAsia="Arial" w:hAnsi="Arial"/>
          <w:sz w:val="14"/>
          <w:szCs w:val="14"/>
          <w:color w:val="auto"/>
        </w:rPr>
        <w:t>Lessor may place on the Premises ordinary "For Sale" signs at any</w:t>
      </w:r>
      <w:r>
        <w:rPr>
          <w:rFonts w:ascii="Arial" w:cs="Arial" w:eastAsia="Arial" w:hAnsi="Arial"/>
          <w:sz w:val="14"/>
          <w:szCs w:val="14"/>
          <w:b w:val="1"/>
          <w:bCs w:val="1"/>
          <w:color w:val="auto"/>
        </w:rPr>
        <w:t xml:space="preserve"> </w:t>
      </w:r>
      <w:r>
        <w:rPr>
          <w:rFonts w:ascii="Arial" w:cs="Arial" w:eastAsia="Arial" w:hAnsi="Arial"/>
          <w:sz w:val="14"/>
          <w:szCs w:val="14"/>
          <w:color w:val="auto"/>
        </w:rPr>
        <w:t>time and ordinary "For Lease" signs during the last 6 months of the term hereof. Except for ordinary "For</w:t>
      </w:r>
      <w:r>
        <w:rPr>
          <w:rFonts w:ascii="Arial" w:cs="Arial" w:eastAsia="Arial" w:hAnsi="Arial"/>
          <w:sz w:val="14"/>
          <w:szCs w:val="14"/>
          <w:b w:val="1"/>
          <w:bCs w:val="1"/>
          <w:color w:val="auto"/>
        </w:rPr>
        <w:t xml:space="preserve"> </w:t>
      </w:r>
      <w:r>
        <w:rPr>
          <w:rFonts w:ascii="Arial" w:cs="Arial" w:eastAsia="Arial" w:hAnsi="Arial"/>
          <w:sz w:val="14"/>
          <w:szCs w:val="14"/>
          <w:color w:val="auto"/>
        </w:rPr>
        <w:t>Sublease" signs which may be placed only on the Premises, Lessee shall not place any sign upon the Project without Lessor's prior written consent. All signs must comply with all Applicable Requirements.</w:t>
      </w:r>
    </w:p>
    <w:p>
      <w:pPr>
        <w:spacing w:after="0" w:line="78" w:lineRule="exact"/>
        <w:rPr>
          <w:sz w:val="20"/>
          <w:szCs w:val="20"/>
          <w:color w:val="auto"/>
        </w:rPr>
      </w:pPr>
    </w:p>
    <w:p>
      <w:pPr>
        <w:ind w:left="120" w:right="260"/>
        <w:spacing w:after="0" w:line="274" w:lineRule="auto"/>
        <w:rPr>
          <w:sz w:val="20"/>
          <w:szCs w:val="20"/>
          <w:color w:val="auto"/>
        </w:rPr>
      </w:pPr>
      <w:r>
        <w:rPr>
          <w:rFonts w:ascii="Arial" w:cs="Arial" w:eastAsia="Arial" w:hAnsi="Arial"/>
          <w:sz w:val="14"/>
          <w:szCs w:val="14"/>
          <w:b w:val="1"/>
          <w:bCs w:val="1"/>
          <w:color w:val="auto"/>
        </w:rPr>
        <w:t xml:space="preserve">37.Termination; Merger. </w:t>
      </w:r>
      <w:r>
        <w:rPr>
          <w:rFonts w:ascii="Arial" w:cs="Arial" w:eastAsia="Arial" w:hAnsi="Arial"/>
          <w:sz w:val="14"/>
          <w:szCs w:val="14"/>
          <w:color w:val="auto"/>
        </w:rPr>
        <w:t>Unless specifically stated otherwise in writing by Lessor, the voluntary or other surrender of this Lease by Lessee, the mutual termination or cancellation hereof,</w:t>
      </w:r>
      <w:r>
        <w:rPr>
          <w:rFonts w:ascii="Arial" w:cs="Arial" w:eastAsia="Arial" w:hAnsi="Arial"/>
          <w:sz w:val="14"/>
          <w:szCs w:val="14"/>
          <w:b w:val="1"/>
          <w:bCs w:val="1"/>
          <w:color w:val="auto"/>
        </w:rPr>
        <w:t xml:space="preserve"> </w:t>
      </w:r>
      <w:r>
        <w:rPr>
          <w:rFonts w:ascii="Arial" w:cs="Arial" w:eastAsia="Arial" w:hAnsi="Arial"/>
          <w:sz w:val="14"/>
          <w:szCs w:val="14"/>
          <w:color w:val="auto"/>
        </w:rPr>
        <w:t>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75" w:lineRule="exact"/>
        <w:rPr>
          <w:sz w:val="20"/>
          <w:szCs w:val="20"/>
          <w:color w:val="auto"/>
        </w:rPr>
      </w:pPr>
    </w:p>
    <w:p>
      <w:pPr>
        <w:ind w:left="120" w:right="140"/>
        <w:spacing w:after="0" w:line="263" w:lineRule="auto"/>
        <w:rPr>
          <w:sz w:val="20"/>
          <w:szCs w:val="20"/>
          <w:color w:val="auto"/>
        </w:rPr>
      </w:pPr>
      <w:r>
        <w:rPr>
          <w:rFonts w:ascii="Arial" w:cs="Arial" w:eastAsia="Arial" w:hAnsi="Arial"/>
          <w:sz w:val="14"/>
          <w:szCs w:val="14"/>
          <w:b w:val="1"/>
          <w:bCs w:val="1"/>
          <w:color w:val="auto"/>
        </w:rPr>
        <w:t xml:space="preserve">38.Consents. </w:t>
      </w:r>
      <w:r>
        <w:rPr>
          <w:rFonts w:ascii="Arial" w:cs="Arial" w:eastAsia="Arial" w:hAnsi="Arial"/>
          <w:sz w:val="14"/>
          <w:szCs w:val="14"/>
          <w:color w:val="auto"/>
        </w:rPr>
        <w:t>All requests for consent shall be in writing. Except as otherwise provided herein, wherever in this Lease the consent of a Party is required to an act by or for the other Party,</w:t>
      </w:r>
      <w:r>
        <w:rPr>
          <w:rFonts w:ascii="Arial" w:cs="Arial" w:eastAsia="Arial" w:hAnsi="Arial"/>
          <w:sz w:val="14"/>
          <w:szCs w:val="14"/>
          <w:b w:val="1"/>
          <w:bCs w:val="1"/>
          <w:color w:val="auto"/>
        </w:rPr>
        <w:t xml:space="preserve"> </w:t>
      </w:r>
      <w:r>
        <w:rPr>
          <w:rFonts w:ascii="Arial" w:cs="Arial" w:eastAsia="Arial" w:hAnsi="Arial"/>
          <w:sz w:val="14"/>
          <w:szCs w:val="14"/>
          <w:color w:val="auto"/>
        </w:rPr>
        <w:t>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86" w:lineRule="exact"/>
        <w:rPr>
          <w:sz w:val="20"/>
          <w:szCs w:val="20"/>
          <w:color w:val="auto"/>
        </w:rPr>
      </w:pPr>
    </w:p>
    <w:p>
      <w:pPr>
        <w:ind w:left="480" w:hanging="368"/>
        <w:spacing w:after="0"/>
        <w:tabs>
          <w:tab w:leader="none" w:pos="480"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Guarantor.</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color w:val="auto"/>
        </w:rPr>
        <w:t xml:space="preserve">39.1  </w:t>
      </w:r>
      <w:r>
        <w:rPr>
          <w:rFonts w:ascii="Arial" w:cs="Arial" w:eastAsia="Arial" w:hAnsi="Arial"/>
          <w:sz w:val="14"/>
          <w:szCs w:val="14"/>
          <w:b w:val="1"/>
          <w:bCs w:val="1"/>
          <w:color w:val="auto"/>
        </w:rPr>
        <w:t>Execution</w:t>
      </w:r>
      <w:r>
        <w:rPr>
          <w:rFonts w:ascii="Arial" w:cs="Arial" w:eastAsia="Arial" w:hAnsi="Arial"/>
          <w:sz w:val="14"/>
          <w:szCs w:val="14"/>
          <w:color w:val="auto"/>
        </w:rPr>
        <w:t>. The Guarantors, if any, shall each execute a guaranty in the form most recently published by AIR CRE.</w:t>
      </w:r>
    </w:p>
    <w:p>
      <w:pPr>
        <w:spacing w:after="0" w:line="15" w:lineRule="exact"/>
        <w:rPr>
          <w:sz w:val="20"/>
          <w:szCs w:val="20"/>
          <w:color w:val="auto"/>
        </w:rPr>
      </w:pPr>
    </w:p>
    <w:p>
      <w:pPr>
        <w:jc w:val="both"/>
        <w:ind w:left="120" w:right="140" w:firstLine="374"/>
        <w:spacing w:after="0" w:line="284" w:lineRule="auto"/>
        <w:rPr>
          <w:sz w:val="20"/>
          <w:szCs w:val="20"/>
          <w:color w:val="auto"/>
        </w:rPr>
      </w:pPr>
      <w:r>
        <w:rPr>
          <w:rFonts w:ascii="Arial" w:cs="Arial" w:eastAsia="Arial" w:hAnsi="Arial"/>
          <w:sz w:val="14"/>
          <w:szCs w:val="14"/>
          <w:color w:val="auto"/>
        </w:rPr>
        <w:t xml:space="preserve">39.2 </w:t>
      </w:r>
      <w:r>
        <w:rPr>
          <w:rFonts w:ascii="Arial" w:cs="Arial" w:eastAsia="Arial" w:hAnsi="Arial"/>
          <w:sz w:val="14"/>
          <w:szCs w:val="14"/>
          <w:b w:val="1"/>
          <w:bCs w:val="1"/>
          <w:color w:val="auto"/>
        </w:rPr>
        <w:t>Default</w:t>
      </w:r>
      <w:r>
        <w:rPr>
          <w:rFonts w:ascii="Arial" w:cs="Arial" w:eastAsia="Arial" w:hAnsi="Arial"/>
          <w:sz w:val="14"/>
          <w:szCs w:val="14"/>
          <w:color w:val="auto"/>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eﬀect.</w:t>
      </w:r>
    </w:p>
    <w:p>
      <w:pPr>
        <w:spacing w:after="0" w:line="52" w:lineRule="exact"/>
        <w:rPr>
          <w:sz w:val="20"/>
          <w:szCs w:val="20"/>
          <w:color w:val="auto"/>
        </w:rPr>
      </w:pPr>
    </w:p>
    <w:p>
      <w:pPr>
        <w:ind w:left="120" w:right="260"/>
        <w:spacing w:after="0" w:line="279" w:lineRule="auto"/>
        <w:rPr>
          <w:sz w:val="20"/>
          <w:szCs w:val="20"/>
          <w:color w:val="auto"/>
        </w:rPr>
      </w:pPr>
      <w:r>
        <w:rPr>
          <w:rFonts w:ascii="Arial" w:cs="Arial" w:eastAsia="Arial" w:hAnsi="Arial"/>
          <w:sz w:val="14"/>
          <w:szCs w:val="14"/>
          <w:b w:val="1"/>
          <w:bCs w:val="1"/>
          <w:color w:val="auto"/>
        </w:rPr>
        <w:t xml:space="preserve">40.Quiet Possession. </w:t>
      </w:r>
      <w:r>
        <w:rPr>
          <w:rFonts w:ascii="Arial" w:cs="Arial" w:eastAsia="Arial" w:hAnsi="Arial"/>
          <w:sz w:val="14"/>
          <w:szCs w:val="14"/>
          <w:color w:val="auto"/>
        </w:rPr>
        <w:t>Subject to payment by Lessee of the Rent and performance of all of the covenants, conditions and provisions on Lessee's part to be observed and performed under this</w:t>
      </w:r>
      <w:r>
        <w:rPr>
          <w:rFonts w:ascii="Arial" w:cs="Arial" w:eastAsia="Arial" w:hAnsi="Arial"/>
          <w:sz w:val="14"/>
          <w:szCs w:val="14"/>
          <w:b w:val="1"/>
          <w:bCs w:val="1"/>
          <w:color w:val="auto"/>
        </w:rPr>
        <w:t xml:space="preserve"> </w:t>
      </w:r>
      <w:r>
        <w:rPr>
          <w:rFonts w:ascii="Arial" w:cs="Arial" w:eastAsia="Arial" w:hAnsi="Arial"/>
          <w:sz w:val="14"/>
          <w:szCs w:val="14"/>
          <w:color w:val="auto"/>
        </w:rPr>
        <w:t>Lease, Lessee shall have quiet possession and quiet enjoyment of the Premises during the term hereof.</w:t>
      </w:r>
    </w:p>
    <w:p>
      <w:pPr>
        <w:spacing w:after="0" w:line="71" w:lineRule="exact"/>
        <w:rPr>
          <w:sz w:val="20"/>
          <w:szCs w:val="20"/>
          <w:color w:val="auto"/>
        </w:rPr>
      </w:pPr>
    </w:p>
    <w:p>
      <w:pPr>
        <w:ind w:left="480" w:hanging="369"/>
        <w:spacing w:after="0"/>
        <w:tabs>
          <w:tab w:leader="none" w:pos="480" w:val="left"/>
        </w:tabs>
        <w:numPr>
          <w:ilvl w:val="0"/>
          <w:numId w:val="1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Options. </w:t>
      </w:r>
      <w:r>
        <w:rPr>
          <w:rFonts w:ascii="Arial" w:cs="Arial" w:eastAsia="Arial" w:hAnsi="Arial"/>
          <w:sz w:val="14"/>
          <w:szCs w:val="14"/>
          <w:color w:val="auto"/>
        </w:rPr>
        <w:t>If Lessee is granted any option, as defined below, then the following provisions shall apply.</w:t>
      </w:r>
    </w:p>
    <w:p>
      <w:pPr>
        <w:spacing w:after="0" w:line="25"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color w:val="auto"/>
        </w:rPr>
        <w:t xml:space="preserve">41.1  </w:t>
      </w:r>
      <w:r>
        <w:rPr>
          <w:rFonts w:ascii="Arial" w:cs="Arial" w:eastAsia="Arial" w:hAnsi="Arial"/>
          <w:sz w:val="14"/>
          <w:szCs w:val="14"/>
          <w:b w:val="1"/>
          <w:bCs w:val="1"/>
          <w:color w:val="auto"/>
        </w:rPr>
        <w:t>Definition</w:t>
      </w:r>
      <w:r>
        <w:rPr>
          <w:rFonts w:ascii="Arial" w:cs="Arial" w:eastAsia="Arial" w:hAnsi="Arial"/>
          <w:sz w:val="14"/>
          <w:szCs w:val="14"/>
          <w:color w:val="auto"/>
        </w:rPr>
        <w:t>. "</w:t>
      </w:r>
      <w:r>
        <w:rPr>
          <w:rFonts w:ascii="Arial" w:cs="Arial" w:eastAsia="Arial" w:hAnsi="Arial"/>
          <w:sz w:val="14"/>
          <w:szCs w:val="14"/>
          <w:b w:val="1"/>
          <w:bCs w:val="1"/>
          <w:color w:val="auto"/>
        </w:rPr>
        <w:t>Option</w:t>
      </w:r>
      <w:r>
        <w:rPr>
          <w:rFonts w:ascii="Arial" w:cs="Arial" w:eastAsia="Arial" w:hAnsi="Arial"/>
          <w:sz w:val="14"/>
          <w:szCs w:val="14"/>
          <w:color w:val="auto"/>
        </w:rPr>
        <w:t>" shall mean: (a) the right to extend or reduce the term of or renew this Lease or to extend or reduce the term of or renew any lease</w:t>
      </w:r>
    </w:p>
    <w:p>
      <w:pPr>
        <w:spacing w:after="0" w:line="15" w:lineRule="exact"/>
        <w:rPr>
          <w:sz w:val="20"/>
          <w:szCs w:val="20"/>
          <w:color w:val="auto"/>
        </w:rPr>
      </w:pPr>
    </w:p>
    <w:p>
      <w:pPr>
        <w:ind w:left="120" w:right="200"/>
        <w:spacing w:after="0" w:line="281" w:lineRule="auto"/>
        <w:rPr>
          <w:sz w:val="20"/>
          <w:szCs w:val="20"/>
          <w:color w:val="auto"/>
        </w:rPr>
      </w:pPr>
      <w:r>
        <w:rPr>
          <w:rFonts w:ascii="Arial" w:cs="Arial" w:eastAsia="Arial" w:hAnsi="Arial"/>
          <w:sz w:val="14"/>
          <w:szCs w:val="14"/>
          <w:color w:val="auto"/>
        </w:rPr>
        <w:t>that Lessee has on other property of Lessor; (b) the right of first refusal or first oﬀer to lease either the Premises or other property of Lessor; (c) the right to purchase, the right of first oﬀer to purchase or the right of first refusal to purchase the Premises or other property of Lessor.</w:t>
      </w:r>
    </w:p>
    <w:p>
      <w:pPr>
        <w:spacing w:after="0" w:line="1" w:lineRule="exact"/>
        <w:rPr>
          <w:sz w:val="20"/>
          <w:szCs w:val="20"/>
          <w:color w:val="auto"/>
        </w:rPr>
      </w:pPr>
    </w:p>
    <w:p>
      <w:pPr>
        <w:ind w:left="120" w:right="240" w:firstLine="374"/>
        <w:spacing w:after="0" w:line="261" w:lineRule="auto"/>
        <w:rPr>
          <w:sz w:val="20"/>
          <w:szCs w:val="20"/>
          <w:color w:val="auto"/>
        </w:rPr>
      </w:pPr>
      <w:r>
        <w:rPr>
          <w:rFonts w:ascii="Arial" w:cs="Arial" w:eastAsia="Arial" w:hAnsi="Arial"/>
          <w:sz w:val="14"/>
          <w:szCs w:val="14"/>
          <w:color w:val="auto"/>
        </w:rPr>
        <w:t xml:space="preserve">41.2 </w:t>
      </w:r>
      <w:r>
        <w:rPr>
          <w:rFonts w:ascii="Arial" w:cs="Arial" w:eastAsia="Arial" w:hAnsi="Arial"/>
          <w:sz w:val="14"/>
          <w:szCs w:val="14"/>
          <w:b w:val="1"/>
          <w:bCs w:val="1"/>
          <w:color w:val="auto"/>
        </w:rPr>
        <w:t>Options Personal To Original Lessee</w:t>
      </w:r>
      <w:r>
        <w:rPr>
          <w:rFonts w:ascii="Arial" w:cs="Arial" w:eastAsia="Arial" w:hAnsi="Arial"/>
          <w:sz w:val="14"/>
          <w:szCs w:val="14"/>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 w:lineRule="exact"/>
        <w:rPr>
          <w:sz w:val="20"/>
          <w:szCs w:val="20"/>
          <w:color w:val="auto"/>
        </w:rPr>
      </w:pPr>
    </w:p>
    <w:p>
      <w:pPr>
        <w:ind w:left="120" w:right="640" w:firstLine="374"/>
        <w:spacing w:after="0" w:line="241"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b w:val="1"/>
          <w:bCs w:val="1"/>
          <w:color w:val="auto"/>
        </w:rPr>
        <w:t>Multiple Options</w:t>
      </w:r>
      <w:r>
        <w:rPr>
          <w:rFonts w:ascii="Arial" w:cs="Arial" w:eastAsia="Arial" w:hAnsi="Arial"/>
          <w:sz w:val="14"/>
          <w:szCs w:val="14"/>
          <w:color w:val="auto"/>
        </w:rPr>
        <w:t>. In the event that Lessee has any multiple Options to extend or renew this Lease, a later Option cannot be exercised unless the prior Options have been validly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0</wp:posOffset>
            </wp:positionV>
            <wp:extent cx="92075" cy="984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92075" cy="98425"/>
                    </a:xfrm>
                    <a:prstGeom prst="rect">
                      <a:avLst/>
                    </a:prstGeom>
                    <a:noFill/>
                  </pic:spPr>
                </pic:pic>
              </a:graphicData>
            </a:graphic>
          </wp:anchor>
        </w:drawing>
      </w:r>
    </w:p>
    <w:p>
      <w:pPr>
        <w:ind w:left="480"/>
        <w:spacing w:after="0"/>
        <w:tabs>
          <w:tab w:leader="none" w:pos="840" w:val="left"/>
        </w:tabs>
        <w:rPr>
          <w:sz w:val="20"/>
          <w:szCs w:val="20"/>
          <w:color w:val="auto"/>
        </w:rPr>
      </w:pPr>
      <w:r>
        <w:rPr>
          <w:rFonts w:ascii="Arial" w:cs="Arial" w:eastAsia="Arial" w:hAnsi="Arial"/>
          <w:sz w:val="14"/>
          <w:szCs w:val="14"/>
          <w:color w:val="auto"/>
        </w:rPr>
        <w:t>41.4</w:t>
      </w:r>
      <w:r>
        <w:rPr>
          <w:sz w:val="20"/>
          <w:szCs w:val="20"/>
          <w:color w:val="auto"/>
        </w:rPr>
        <w:tab/>
      </w:r>
      <w:r>
        <w:rPr>
          <w:rFonts w:ascii="Arial" w:cs="Arial" w:eastAsia="Arial" w:hAnsi="Arial"/>
          <w:sz w:val="13"/>
          <w:szCs w:val="13"/>
          <w:b w:val="1"/>
          <w:bCs w:val="1"/>
          <w:color w:val="auto"/>
        </w:rPr>
        <w:t>E</w:t>
      </w:r>
      <w:r>
        <w:rPr>
          <w:rFonts w:ascii="Arial" w:cs="Arial" w:eastAsia="Arial" w:hAnsi="Arial"/>
          <w:sz w:val="13"/>
          <w:szCs w:val="13"/>
          <w:color w:val="auto"/>
        </w:rPr>
        <w:t>ﬀ</w:t>
      </w:r>
      <w:r>
        <w:rPr>
          <w:rFonts w:ascii="Arial" w:cs="Arial" w:eastAsia="Arial" w:hAnsi="Arial"/>
          <w:sz w:val="13"/>
          <w:szCs w:val="13"/>
          <w:b w:val="1"/>
          <w:bCs w:val="1"/>
          <w:color w:val="auto"/>
        </w:rPr>
        <w:t>ect of Default on Options</w:t>
      </w:r>
      <w:r>
        <w:rPr>
          <w:rFonts w:ascii="Arial" w:cs="Arial" w:eastAsia="Arial" w:hAnsi="Arial"/>
          <w:sz w:val="13"/>
          <w:szCs w:val="13"/>
          <w:color w:val="auto"/>
        </w:rPr>
        <w:t>.</w:t>
      </w:r>
    </w:p>
    <w:p>
      <w:pPr>
        <w:spacing w:after="0" w:line="18" w:lineRule="exact"/>
        <w:rPr>
          <w:sz w:val="20"/>
          <w:szCs w:val="20"/>
          <w:color w:val="auto"/>
        </w:rPr>
      </w:pPr>
    </w:p>
    <w:p>
      <w:pPr>
        <w:ind w:left="120" w:right="320" w:firstLine="741"/>
        <w:spacing w:after="0" w:line="274" w:lineRule="auto"/>
        <w:tabs>
          <w:tab w:leader="none" w:pos="1602" w:val="left"/>
        </w:tabs>
        <w:numPr>
          <w:ilvl w:val="0"/>
          <w:numId w:val="149"/>
        </w:numPr>
        <w:rPr>
          <w:rFonts w:ascii="Arial" w:cs="Arial" w:eastAsia="Arial" w:hAnsi="Arial"/>
          <w:sz w:val="13"/>
          <w:szCs w:val="13"/>
          <w:color w:val="auto"/>
        </w:rPr>
      </w:pPr>
      <w:r>
        <w:rPr>
          <w:rFonts w:ascii="Arial" w:cs="Arial" w:eastAsia="Arial" w:hAnsi="Arial"/>
          <w:sz w:val="13"/>
          <w:szCs w:val="13"/>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79" w:name="page180"/>
    <w:bookmarkEnd w:id="179"/>
    <w:p>
      <w:pPr>
        <w:ind w:left="120" w:right="520" w:firstLine="741"/>
        <w:spacing w:after="0" w:line="256" w:lineRule="auto"/>
        <w:tabs>
          <w:tab w:leader="none" w:pos="1593"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period of time within which an Option may be exercised shall not be extended or enlarged by reason of Lessee's inability to exercise an Option because of the provisions of Paragraph 39.4(a).</w:t>
      </w:r>
    </w:p>
    <w:p>
      <w:pPr>
        <w:jc w:val="both"/>
        <w:ind w:left="120" w:right="220" w:firstLine="740"/>
        <w:spacing w:after="0" w:line="272" w:lineRule="auto"/>
        <w:tabs>
          <w:tab w:leader="none" w:pos="160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An Option shall terminate and be of no further force or eﬀect,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63" w:lineRule="exact"/>
        <w:rPr>
          <w:sz w:val="20"/>
          <w:szCs w:val="20"/>
          <w:color w:val="auto"/>
        </w:rPr>
      </w:pPr>
    </w:p>
    <w:p>
      <w:pPr>
        <w:jc w:val="both"/>
        <w:ind w:left="120" w:right="680"/>
        <w:spacing w:after="0" w:line="280" w:lineRule="auto"/>
        <w:rPr>
          <w:sz w:val="20"/>
          <w:szCs w:val="20"/>
          <w:color w:val="auto"/>
        </w:rPr>
      </w:pPr>
      <w:r>
        <w:rPr>
          <w:rFonts w:ascii="Arial" w:cs="Arial" w:eastAsia="Arial" w:hAnsi="Arial"/>
          <w:sz w:val="14"/>
          <w:szCs w:val="14"/>
          <w:b w:val="1"/>
          <w:bCs w:val="1"/>
          <w:color w:val="auto"/>
        </w:rPr>
        <w:t xml:space="preserve">42.Security Measures. </w:t>
      </w:r>
      <w:r>
        <w:rPr>
          <w:rFonts w:ascii="Arial" w:cs="Arial" w:eastAsia="Arial" w:hAnsi="Arial"/>
          <w:sz w:val="14"/>
          <w:szCs w:val="14"/>
          <w:color w:val="auto"/>
        </w:rPr>
        <w:t>Lessee hereby acknowledges that the Rent payable to Lessor hereunder does not include the cost of guard service or other security measures, and that Lessor</w:t>
      </w:r>
      <w:r>
        <w:rPr>
          <w:rFonts w:ascii="Arial" w:cs="Arial" w:eastAsia="Arial" w:hAnsi="Arial"/>
          <w:sz w:val="14"/>
          <w:szCs w:val="14"/>
          <w:b w:val="1"/>
          <w:bCs w:val="1"/>
          <w:color w:val="auto"/>
        </w:rPr>
        <w:t xml:space="preserve"> </w:t>
      </w:r>
      <w:r>
        <w:rPr>
          <w:rFonts w:ascii="Arial" w:cs="Arial" w:eastAsia="Arial" w:hAnsi="Arial"/>
          <w:sz w:val="14"/>
          <w:szCs w:val="14"/>
          <w:color w:val="auto"/>
        </w:rPr>
        <w:t>shall have no obligation whatsoever to provide same. Lessee assumes all responsibility for the protection of the Premises, Lessee, its agents and invitees and their property from the acts of third parties.</w:t>
      </w:r>
    </w:p>
    <w:p>
      <w:pPr>
        <w:spacing w:after="0" w:line="71" w:lineRule="exact"/>
        <w:rPr>
          <w:sz w:val="20"/>
          <w:szCs w:val="20"/>
          <w:color w:val="auto"/>
        </w:rPr>
      </w:pPr>
    </w:p>
    <w:p>
      <w:pPr>
        <w:jc w:val="both"/>
        <w:ind w:left="120" w:right="580"/>
        <w:spacing w:after="0" w:line="324" w:lineRule="auto"/>
        <w:rPr>
          <w:sz w:val="20"/>
          <w:szCs w:val="20"/>
          <w:color w:val="auto"/>
        </w:rPr>
      </w:pPr>
      <w:r>
        <w:rPr>
          <w:rFonts w:ascii="Arial" w:cs="Arial" w:eastAsia="Arial" w:hAnsi="Arial"/>
          <w:sz w:val="13"/>
          <w:szCs w:val="13"/>
          <w:b w:val="1"/>
          <w:bCs w:val="1"/>
          <w:color w:val="auto"/>
        </w:rPr>
        <w:t xml:space="preserve">43.Reservations. </w:t>
      </w:r>
      <w:r>
        <w:rPr>
          <w:rFonts w:ascii="Arial" w:cs="Arial" w:eastAsia="Arial" w:hAnsi="Arial"/>
          <w:sz w:val="13"/>
          <w:szCs w:val="13"/>
          <w:color w:val="auto"/>
        </w:rPr>
        <w:t>Lessor reserves the right: (i) to grant, without the consent or joinder of Lessee, such easements, rights and dedications that Lessor deems necessary; (ii) to cause the</w:t>
      </w:r>
      <w:r>
        <w:rPr>
          <w:rFonts w:ascii="Arial" w:cs="Arial" w:eastAsia="Arial" w:hAnsi="Arial"/>
          <w:sz w:val="13"/>
          <w:szCs w:val="13"/>
          <w:b w:val="1"/>
          <w:bCs w:val="1"/>
          <w:color w:val="auto"/>
        </w:rPr>
        <w:t xml:space="preserve"> </w:t>
      </w:r>
      <w:r>
        <w:rPr>
          <w:rFonts w:ascii="Arial" w:cs="Arial" w:eastAsia="Arial" w:hAnsi="Arial"/>
          <w:sz w:val="13"/>
          <w:szCs w:val="13"/>
          <w:color w:val="auto"/>
        </w:rPr>
        <w:t>recordation of parcel maps and restrictions; and (iii) to create and/or install new utility raceways, so long as such easements, rights, dedications, maps, restrictions, and utility raceways do not unreasonably interfere with the use of the Premises by Lessee. Lessee agrees to sign any documents reasonably requested by Lessor to eﬀectuate such rights.</w:t>
      </w:r>
    </w:p>
    <w:p>
      <w:pPr>
        <w:spacing w:after="0" w:line="29" w:lineRule="exact"/>
        <w:rPr>
          <w:sz w:val="20"/>
          <w:szCs w:val="20"/>
          <w:color w:val="auto"/>
        </w:rPr>
      </w:pPr>
    </w:p>
    <w:p>
      <w:pPr>
        <w:ind w:left="120" w:right="320"/>
        <w:spacing w:after="0" w:line="265" w:lineRule="auto"/>
        <w:rPr>
          <w:sz w:val="20"/>
          <w:szCs w:val="20"/>
          <w:color w:val="auto"/>
        </w:rPr>
      </w:pPr>
      <w:r>
        <w:rPr>
          <w:rFonts w:ascii="Arial" w:cs="Arial" w:eastAsia="Arial" w:hAnsi="Arial"/>
          <w:sz w:val="14"/>
          <w:szCs w:val="14"/>
          <w:b w:val="1"/>
          <w:bCs w:val="1"/>
          <w:color w:val="auto"/>
        </w:rPr>
        <w:t xml:space="preserve">44.Performance Under Protest. </w:t>
      </w:r>
      <w:r>
        <w:rPr>
          <w:rFonts w:ascii="Arial" w:cs="Arial" w:eastAsia="Arial" w:hAnsi="Arial"/>
          <w:sz w:val="14"/>
          <w:szCs w:val="14"/>
          <w:color w:val="auto"/>
        </w:rPr>
        <w:t>If at any</w:t>
      </w:r>
      <w:r>
        <w:rPr>
          <w:rFonts w:ascii="Arial" w:cs="Arial" w:eastAsia="Arial" w:hAnsi="Arial"/>
          <w:sz w:val="14"/>
          <w:szCs w:val="14"/>
          <w:b w:val="1"/>
          <w:bCs w:val="1"/>
          <w:color w:val="auto"/>
        </w:rPr>
        <w:t xml:space="preserve"> </w:t>
      </w:r>
      <w:r>
        <w:rPr>
          <w:rFonts w:ascii="Arial" w:cs="Arial" w:eastAsia="Arial" w:hAnsi="Arial"/>
          <w:sz w:val="14"/>
          <w:szCs w:val="14"/>
          <w:color w:val="auto"/>
        </w:rPr>
        <w:t>time a dispute shall arise as to any amount or sum of money to be paid by one Party to the other under the provisions hereof, the Party against</w:t>
      </w:r>
      <w:r>
        <w:rPr>
          <w:rFonts w:ascii="Arial" w:cs="Arial" w:eastAsia="Arial" w:hAnsi="Arial"/>
          <w:sz w:val="14"/>
          <w:szCs w:val="14"/>
          <w:b w:val="1"/>
          <w:bCs w:val="1"/>
          <w:color w:val="auto"/>
        </w:rPr>
        <w:t xml:space="preserve"> </w:t>
      </w:r>
      <w:r>
        <w:rPr>
          <w:rFonts w:ascii="Arial" w:cs="Arial" w:eastAsia="Arial" w:hAnsi="Arial"/>
          <w:sz w:val="14"/>
          <w:szCs w:val="14"/>
          <w:color w:val="auto"/>
        </w:rPr>
        <w:t>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83" w:lineRule="exact"/>
        <w:rPr>
          <w:sz w:val="20"/>
          <w:szCs w:val="20"/>
          <w:color w:val="auto"/>
        </w:rPr>
      </w:pPr>
    </w:p>
    <w:p>
      <w:pPr>
        <w:ind w:left="480" w:hanging="369"/>
        <w:spacing w:after="0"/>
        <w:tabs>
          <w:tab w:leader="none" w:pos="480" w:val="left"/>
        </w:tabs>
        <w:numPr>
          <w:ilvl w:val="0"/>
          <w:numId w:val="151"/>
        </w:numPr>
        <w:rPr>
          <w:rFonts w:ascii="Arial" w:cs="Arial" w:eastAsia="Arial" w:hAnsi="Arial"/>
          <w:sz w:val="14"/>
          <w:szCs w:val="14"/>
          <w:b w:val="1"/>
          <w:bCs w:val="1"/>
          <w:color w:val="auto"/>
        </w:rPr>
      </w:pPr>
      <w:r>
        <w:rPr>
          <w:rFonts w:ascii="Arial" w:cs="Arial" w:eastAsia="Arial" w:hAnsi="Arial"/>
          <w:sz w:val="14"/>
          <w:szCs w:val="14"/>
          <w:b w:val="1"/>
          <w:bCs w:val="1"/>
          <w:color w:val="auto"/>
        </w:rPr>
        <w:t>Authority; Multiple Parties; Execution.</w:t>
      </w:r>
    </w:p>
    <w:p>
      <w:pPr>
        <w:spacing w:after="0" w:line="25" w:lineRule="exact"/>
        <w:rPr>
          <w:rFonts w:ascii="Arial" w:cs="Arial" w:eastAsia="Arial" w:hAnsi="Arial"/>
          <w:sz w:val="14"/>
          <w:szCs w:val="14"/>
          <w:b w:val="1"/>
          <w:bCs w:val="1"/>
          <w:color w:val="auto"/>
        </w:rPr>
      </w:pPr>
    </w:p>
    <w:p>
      <w:pPr>
        <w:ind w:left="120" w:right="320" w:firstLine="741"/>
        <w:spacing w:after="0" w:line="254" w:lineRule="auto"/>
        <w:tabs>
          <w:tab w:leader="none" w:pos="1598" w:val="left"/>
        </w:tabs>
        <w:numPr>
          <w:ilvl w:val="1"/>
          <w:numId w:val="151"/>
        </w:numPr>
        <w:rPr>
          <w:rFonts w:ascii="Arial" w:cs="Arial" w:eastAsia="Arial" w:hAnsi="Arial"/>
          <w:sz w:val="14"/>
          <w:szCs w:val="14"/>
          <w:color w:val="auto"/>
        </w:rPr>
      </w:pPr>
      <w:r>
        <w:rPr>
          <w:rFonts w:ascii="Arial" w:cs="Arial" w:eastAsia="Arial" w:hAnsi="Arial"/>
          <w:sz w:val="14"/>
          <w:szCs w:val="14"/>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 w:lineRule="exact"/>
        <w:rPr>
          <w:rFonts w:ascii="Arial" w:cs="Arial" w:eastAsia="Arial" w:hAnsi="Arial"/>
          <w:sz w:val="14"/>
          <w:szCs w:val="14"/>
          <w:color w:val="auto"/>
        </w:rPr>
      </w:pPr>
    </w:p>
    <w:p>
      <w:pPr>
        <w:jc w:val="both"/>
        <w:ind w:left="120" w:right="340" w:firstLine="740"/>
        <w:spacing w:after="0" w:line="248" w:lineRule="auto"/>
        <w:tabs>
          <w:tab w:leader="none" w:pos="1604" w:val="left"/>
        </w:tabs>
        <w:numPr>
          <w:ilvl w:val="1"/>
          <w:numId w:val="151"/>
        </w:numPr>
        <w:rPr>
          <w:rFonts w:ascii="Arial" w:cs="Arial" w:eastAsia="Arial" w:hAnsi="Arial"/>
          <w:sz w:val="14"/>
          <w:szCs w:val="14"/>
          <w:color w:val="auto"/>
        </w:rPr>
      </w:pPr>
      <w:r>
        <w:rPr>
          <w:rFonts w:ascii="Arial" w:cs="Arial" w:eastAsia="Arial" w:hAnsi="Arial"/>
          <w:sz w:val="14"/>
          <w:szCs w:val="14"/>
          <w:color w:val="auto"/>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ind w:left="1580" w:hanging="719"/>
        <w:spacing w:after="0"/>
        <w:tabs>
          <w:tab w:leader="none" w:pos="158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This Lease may be executed by the Parties in counterparts, each of which shall be deemed an original and all of which together shall constitute one and the same</w:t>
      </w:r>
    </w:p>
    <w:p>
      <w:pPr>
        <w:spacing w:after="0" w:line="17" w:lineRule="exact"/>
        <w:rPr>
          <w:rFonts w:ascii="Arial" w:cs="Arial" w:eastAsia="Arial" w:hAnsi="Arial"/>
          <w:sz w:val="13"/>
          <w:szCs w:val="13"/>
          <w:color w:val="auto"/>
        </w:rPr>
      </w:pPr>
    </w:p>
    <w:p>
      <w:pPr>
        <w:ind w:left="120"/>
        <w:spacing w:after="0"/>
        <w:rPr>
          <w:rFonts w:ascii="Arial" w:cs="Arial" w:eastAsia="Arial" w:hAnsi="Arial"/>
          <w:sz w:val="13"/>
          <w:szCs w:val="13"/>
          <w:color w:val="auto"/>
        </w:rPr>
      </w:pPr>
      <w:r>
        <w:rPr>
          <w:rFonts w:ascii="Arial" w:cs="Arial" w:eastAsia="Arial" w:hAnsi="Arial"/>
          <w:sz w:val="14"/>
          <w:szCs w:val="14"/>
          <w:color w:val="auto"/>
        </w:rPr>
        <w:t>instrument.</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46.Conflict. </w:t>
      </w:r>
      <w:r>
        <w:rPr>
          <w:rFonts w:ascii="Arial" w:cs="Arial" w:eastAsia="Arial" w:hAnsi="Arial"/>
          <w:sz w:val="14"/>
          <w:szCs w:val="14"/>
          <w:color w:val="auto"/>
        </w:rPr>
        <w:t>Any conflict between the printed provisions of this Lease and the typewritten or handwritten provisions shall be controlled by the typewritten or handwritten provisions.</w:t>
      </w:r>
    </w:p>
    <w:p>
      <w:pPr>
        <w:spacing w:after="0" w:line="103" w:lineRule="exact"/>
        <w:rPr>
          <w:sz w:val="20"/>
          <w:szCs w:val="20"/>
          <w:color w:val="auto"/>
        </w:rPr>
      </w:pPr>
    </w:p>
    <w:p>
      <w:pPr>
        <w:ind w:left="240" w:right="760" w:hanging="130"/>
        <w:spacing w:after="0" w:line="334" w:lineRule="auto"/>
        <w:rPr>
          <w:sz w:val="20"/>
          <w:szCs w:val="20"/>
          <w:color w:val="auto"/>
        </w:rPr>
      </w:pPr>
      <w:r>
        <w:rPr>
          <w:rFonts w:ascii="Arial" w:cs="Arial" w:eastAsia="Arial" w:hAnsi="Arial"/>
          <w:sz w:val="14"/>
          <w:szCs w:val="14"/>
          <w:b w:val="1"/>
          <w:bCs w:val="1"/>
          <w:color w:val="auto"/>
        </w:rPr>
        <w:t>47O.</w:t>
      </w:r>
      <w:r>
        <w:rPr>
          <w:rFonts w:ascii="Arial" w:cs="Arial" w:eastAsia="Arial" w:hAnsi="Arial"/>
          <w:sz w:val="14"/>
          <w:szCs w:val="14"/>
          <w:color w:val="auto"/>
        </w:rPr>
        <w:t>ﬀ</w:t>
      </w:r>
      <w:r>
        <w:rPr>
          <w:rFonts w:ascii="Arial" w:cs="Arial" w:eastAsia="Arial" w:hAnsi="Arial"/>
          <w:sz w:val="14"/>
          <w:szCs w:val="14"/>
          <w:b w:val="1"/>
          <w:bCs w:val="1"/>
          <w:color w:val="auto"/>
        </w:rPr>
        <w:t>er</w:t>
      </w:r>
      <w:r>
        <w:rPr>
          <w:rFonts w:ascii="Arial" w:cs="Arial" w:eastAsia="Arial" w:hAnsi="Arial"/>
          <w:sz w:val="14"/>
          <w:szCs w:val="14"/>
          <w:color w:val="auto"/>
        </w:rPr>
        <w:t>. Preparation of this Lease by either party or their agent and submission of same to the other Party shall not be deemed an oﬀer to lease to the other Party. This Lease is not</w:t>
      </w:r>
      <w:r>
        <w:rPr>
          <w:rFonts w:ascii="Arial" w:cs="Arial" w:eastAsia="Arial" w:hAnsi="Arial"/>
          <w:sz w:val="14"/>
          <w:szCs w:val="14"/>
          <w:b w:val="1"/>
          <w:bCs w:val="1"/>
          <w:color w:val="auto"/>
        </w:rPr>
        <w:t xml:space="preserve"> </w:t>
      </w:r>
      <w:r>
        <w:rPr>
          <w:rFonts w:ascii="Arial" w:cs="Arial" w:eastAsia="Arial" w:hAnsi="Arial"/>
          <w:sz w:val="14"/>
          <w:szCs w:val="14"/>
          <w:color w:val="auto"/>
        </w:rPr>
        <w:t>intended to be binding until executed and delivered by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-263525</wp:posOffset>
            </wp:positionV>
            <wp:extent cx="92075" cy="984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92075" cy="98425"/>
                    </a:xfrm>
                    <a:prstGeom prst="rect">
                      <a:avLst/>
                    </a:prstGeom>
                    <a:noFill/>
                  </pic:spPr>
                </pic:pic>
              </a:graphicData>
            </a:graphic>
          </wp:anchor>
        </w:drawing>
      </w:r>
    </w:p>
    <w:p>
      <w:pPr>
        <w:spacing w:after="0" w:line="14" w:lineRule="exact"/>
        <w:rPr>
          <w:sz w:val="20"/>
          <w:szCs w:val="20"/>
          <w:color w:val="auto"/>
        </w:rPr>
      </w:pPr>
    </w:p>
    <w:p>
      <w:pPr>
        <w:ind w:left="120" w:right="300"/>
        <w:spacing w:after="0" w:line="280" w:lineRule="auto"/>
        <w:rPr>
          <w:sz w:val="20"/>
          <w:szCs w:val="20"/>
          <w:color w:val="auto"/>
        </w:rPr>
      </w:pPr>
      <w:r>
        <w:rPr>
          <w:rFonts w:ascii="Arial" w:cs="Arial" w:eastAsia="Arial" w:hAnsi="Arial"/>
          <w:sz w:val="14"/>
          <w:szCs w:val="14"/>
          <w:b w:val="1"/>
          <w:bCs w:val="1"/>
          <w:color w:val="auto"/>
        </w:rPr>
        <w:t xml:space="preserve">48.Amendments. </w:t>
      </w:r>
      <w:r>
        <w:rPr>
          <w:rFonts w:ascii="Arial" w:cs="Arial" w:eastAsia="Arial" w:hAnsi="Arial"/>
          <w:sz w:val="14"/>
          <w:szCs w:val="14"/>
          <w:color w:val="auto"/>
        </w:rPr>
        <w:t>This Lease may be modified only in writing, signed by the Parties in interest at the</w:t>
      </w:r>
      <w:r>
        <w:rPr>
          <w:rFonts w:ascii="Arial" w:cs="Arial" w:eastAsia="Arial" w:hAnsi="Arial"/>
          <w:sz w:val="14"/>
          <w:szCs w:val="14"/>
          <w:b w:val="1"/>
          <w:bCs w:val="1"/>
          <w:color w:val="auto"/>
        </w:rPr>
        <w:t xml:space="preserve"> </w:t>
      </w:r>
      <w:r>
        <w:rPr>
          <w:rFonts w:ascii="Arial" w:cs="Arial" w:eastAsia="Arial" w:hAnsi="Arial"/>
          <w:sz w:val="14"/>
          <w:szCs w:val="14"/>
          <w:color w:val="auto"/>
        </w:rPr>
        <w:t>time of the modification. As long as they do not materially change Lessee's obligations</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Lessee agrees to make such reasonable nonmonetary modifications to this Lease as may be reasonably required by a Lender in connection with the obtaining of normal financing or refinancing of the Premises.</w:t>
      </w:r>
    </w:p>
    <w:p>
      <w:pPr>
        <w:spacing w:after="0" w:line="58" w:lineRule="exact"/>
        <w:rPr>
          <w:sz w:val="20"/>
          <w:szCs w:val="20"/>
          <w:color w:val="auto"/>
        </w:rPr>
      </w:pPr>
    </w:p>
    <w:p>
      <w:pPr>
        <w:ind w:left="120" w:right="400"/>
        <w:spacing w:after="0" w:line="279" w:lineRule="auto"/>
        <w:rPr>
          <w:sz w:val="20"/>
          <w:szCs w:val="20"/>
          <w:color w:val="auto"/>
        </w:rPr>
      </w:pPr>
      <w:r>
        <w:rPr>
          <w:rFonts w:ascii="Arial" w:cs="Arial" w:eastAsia="Arial" w:hAnsi="Arial"/>
          <w:sz w:val="14"/>
          <w:szCs w:val="14"/>
          <w:b w:val="1"/>
          <w:bCs w:val="1"/>
          <w:color w:val="auto"/>
        </w:rPr>
        <w:t>49.Waiver of Jury Trial. THE PARTIES HEREBY WAIVE THEIR RESPECTIVE RIGHTS TO TRIAL BY JURY IN ANY ACTION OR PROCEEDING INVOLVING THE PROPERTY OR ARISING OUT OF THIS AGREEMENT.</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50.Arbitration of Disputes. </w:t>
      </w:r>
      <w:r>
        <w:rPr>
          <w:rFonts w:ascii="Arial" w:cs="Arial" w:eastAsia="Arial" w:hAnsi="Arial"/>
          <w:sz w:val="14"/>
          <w:szCs w:val="14"/>
          <w:color w:val="auto"/>
        </w:rPr>
        <w:t>An Addendum requiring the Arbitration of all disputes between the Parties and/or Brokers arising out of this Lease is attached to this Lease.</w:t>
      </w:r>
    </w:p>
    <w:p>
      <w:pPr>
        <w:spacing w:after="0" w:line="123" w:lineRule="exact"/>
        <w:rPr>
          <w:sz w:val="20"/>
          <w:szCs w:val="20"/>
          <w:color w:val="auto"/>
        </w:rPr>
      </w:pPr>
    </w:p>
    <w:p>
      <w:pPr>
        <w:ind w:left="480" w:hanging="369"/>
        <w:spacing w:after="0"/>
        <w:tabs>
          <w:tab w:leader="none" w:pos="480" w:val="left"/>
        </w:tabs>
        <w:numPr>
          <w:ilvl w:val="0"/>
          <w:numId w:val="152"/>
        </w:numPr>
        <w:rPr>
          <w:rFonts w:ascii="Arial" w:cs="Arial" w:eastAsia="Arial" w:hAnsi="Arial"/>
          <w:sz w:val="14"/>
          <w:szCs w:val="14"/>
          <w:b w:val="1"/>
          <w:bCs w:val="1"/>
          <w:color w:val="auto"/>
        </w:rPr>
      </w:pPr>
      <w:r>
        <w:rPr>
          <w:rFonts w:ascii="Arial" w:cs="Arial" w:eastAsia="Arial" w:hAnsi="Arial"/>
          <w:sz w:val="14"/>
          <w:szCs w:val="14"/>
          <w:b w:val="1"/>
          <w:bCs w:val="1"/>
          <w:color w:val="auto"/>
        </w:rPr>
        <w:t>Accessibility; Americans with Disabilities Act.</w:t>
      </w:r>
    </w:p>
    <w:p>
      <w:pPr>
        <w:spacing w:after="0" w:line="25" w:lineRule="exact"/>
        <w:rPr>
          <w:rFonts w:ascii="Arial" w:cs="Arial" w:eastAsia="Arial" w:hAnsi="Arial"/>
          <w:sz w:val="14"/>
          <w:szCs w:val="14"/>
          <w:b w:val="1"/>
          <w:bCs w:val="1"/>
          <w:color w:val="auto"/>
        </w:rPr>
      </w:pPr>
    </w:p>
    <w:p>
      <w:pPr>
        <w:ind w:left="860" w:hanging="374"/>
        <w:spacing w:after="0"/>
        <w:tabs>
          <w:tab w:leader="none" w:pos="860" w:val="left"/>
        </w:tabs>
        <w:numPr>
          <w:ilvl w:val="1"/>
          <w:numId w:val="152"/>
        </w:numPr>
        <w:rPr>
          <w:rFonts w:ascii="Arial" w:cs="Arial" w:eastAsia="Arial" w:hAnsi="Arial"/>
          <w:sz w:val="14"/>
          <w:szCs w:val="14"/>
          <w:color w:val="auto"/>
        </w:rPr>
      </w:pPr>
      <w:r>
        <w:rPr>
          <w:rFonts w:ascii="Arial" w:cs="Arial" w:eastAsia="Arial" w:hAnsi="Arial"/>
          <w:sz w:val="14"/>
          <w:szCs w:val="14"/>
          <w:color w:val="auto"/>
        </w:rPr>
        <w:t>The Premises: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 not</w:t>
      </w:r>
    </w:p>
    <w:p>
      <w:pPr>
        <w:spacing w:after="0" w:line="96" w:lineRule="exact"/>
        <w:rPr>
          <w:sz w:val="20"/>
          <w:szCs w:val="20"/>
          <w:color w:val="auto"/>
        </w:rPr>
      </w:pPr>
    </w:p>
    <w:p>
      <w:pPr>
        <w:ind w:left="120" w:right="220" w:firstLine="326"/>
        <w:spacing w:after="0" w:line="294" w:lineRule="auto"/>
        <w:rPr>
          <w:sz w:val="20"/>
          <w:szCs w:val="20"/>
          <w:color w:val="auto"/>
        </w:rPr>
      </w:pPr>
      <w:r>
        <w:rPr>
          <w:rFonts w:ascii="Arial" w:cs="Arial" w:eastAsia="Arial" w:hAnsi="Arial"/>
          <w:sz w:val="13"/>
          <w:szCs w:val="13"/>
          <w:color w:val="auto"/>
        </w:rPr>
        <w:t>have not undergone an inspection by a Certified Access Specialist (CASp). Note: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9" w:lineRule="exact"/>
        <w:rPr>
          <w:sz w:val="20"/>
          <w:szCs w:val="20"/>
          <w:color w:val="auto"/>
        </w:rPr>
      </w:pPr>
    </w:p>
    <w:p>
      <w:pPr>
        <w:ind w:left="120" w:right="220" w:firstLine="326"/>
        <w:spacing w:after="0" w:line="293" w:lineRule="auto"/>
        <w:rPr>
          <w:sz w:val="20"/>
          <w:szCs w:val="20"/>
          <w:color w:val="auto"/>
        </w:rPr>
      </w:pPr>
      <w:r>
        <w:rPr>
          <w:rFonts w:ascii="Arial" w:cs="Arial" w:eastAsia="Arial" w:hAnsi="Arial"/>
          <w:sz w:val="14"/>
          <w:szCs w:val="14"/>
          <w:color w:val="auto"/>
        </w:rPr>
        <w:t>have undergone an inspection by a Certified Access Specialist (CASp) and it was determined that the Premises met all applicable constructionrelated accessibility standards pursuant to California Civil Code §55.51 et seq. Lessee acknowledges that it received a copy of the inspection report at least 48 hours prior to executing this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Lease and agrees to keep such report confidential.</w:t>
      </w:r>
    </w:p>
    <w:p>
      <w:pPr>
        <w:spacing w:after="0" w:line="96" w:lineRule="exact"/>
        <w:rPr>
          <w:sz w:val="20"/>
          <w:szCs w:val="20"/>
          <w:color w:val="auto"/>
        </w:rPr>
      </w:pPr>
    </w:p>
    <w:p>
      <w:pPr>
        <w:jc w:val="both"/>
        <w:ind w:left="120" w:right="340" w:firstLine="326"/>
        <w:spacing w:after="0" w:line="279" w:lineRule="auto"/>
        <w:rPr>
          <w:sz w:val="20"/>
          <w:szCs w:val="20"/>
          <w:color w:val="auto"/>
        </w:rPr>
      </w:pPr>
      <w:r>
        <w:rPr>
          <w:rFonts w:ascii="Arial" w:cs="Arial" w:eastAsia="Arial" w:hAnsi="Arial"/>
          <w:sz w:val="13"/>
          <w:szCs w:val="13"/>
          <w:color w:val="auto"/>
        </w:rPr>
        <w:t>have undergone an inspection by a Certified Access Specialist (CASp) and it was determined that the Premises did not meet all applicable constructionrelated accessibility standards pursuant to California Civil Code §55.51 et seq. Lessee acknowledges that it received a copy of the inspection report at least 48 hours prior to executing this Lease and agrees to keep such report confidential except as necessary to complete repairs and corrections of violations of construction related accessibility standards.</w:t>
      </w:r>
    </w:p>
    <w:p>
      <w:pPr>
        <w:spacing w:after="0" w:line="230" w:lineRule="auto"/>
        <w:rPr>
          <w:sz w:val="20"/>
          <w:szCs w:val="20"/>
          <w:color w:val="auto"/>
        </w:rPr>
      </w:pPr>
      <w:r>
        <w:rPr>
          <w:rFonts w:ascii="Arial" w:cs="Arial" w:eastAsia="Arial" w:hAnsi="Arial"/>
          <w:sz w:val="16"/>
          <w:szCs w:val="16"/>
          <w:color w:val="auto"/>
        </w:rPr>
        <w:t>INITIALS</w:t>
      </w:r>
    </w:p>
    <w:p>
      <w:pPr>
        <w:spacing w:after="0"/>
        <w:rPr>
          <w:sz w:val="20"/>
          <w:szCs w:val="20"/>
          <w:color w:val="auto"/>
        </w:rPr>
      </w:pPr>
      <w:r>
        <w:rPr>
          <w:rFonts w:ascii="Arial" w:cs="Arial" w:eastAsia="Arial" w:hAnsi="Arial"/>
          <w:sz w:val="16"/>
          <w:szCs w:val="16"/>
          <w:color w:val="auto"/>
        </w:rPr>
        <w:t>© 2019 AIR CRE. All Rights Reserved.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80" w:name="page181"/>
    <w:bookmarkEnd w:id="180"/>
    <w:p>
      <w:pPr>
        <w:ind w:left="120" w:right="620"/>
        <w:spacing w:after="0" w:line="293" w:lineRule="auto"/>
        <w:rPr>
          <w:sz w:val="20"/>
          <w:szCs w:val="20"/>
          <w:color w:val="auto"/>
        </w:rPr>
      </w:pPr>
      <w:r>
        <w:rPr>
          <w:rFonts w:ascii="Arial" w:cs="Arial" w:eastAsia="Arial" w:hAnsi="Arial"/>
          <w:sz w:val="14"/>
          <w:szCs w:val="14"/>
          <w:color w:val="auto"/>
        </w:rPr>
        <w:t>In the event that the Premises have been issued an inspection report by a CASp the Lessor shall provide a copy of the disability access inspection certificate to Lessee within 7 days of the execution of this Lease.</w:t>
      </w:r>
    </w:p>
    <w:p>
      <w:pPr>
        <w:spacing w:after="0" w:line="66" w:lineRule="exact"/>
        <w:rPr>
          <w:sz w:val="20"/>
          <w:szCs w:val="20"/>
          <w:color w:val="auto"/>
        </w:rPr>
      </w:pPr>
    </w:p>
    <w:p>
      <w:pPr>
        <w:ind w:left="120" w:right="100" w:firstLine="366"/>
        <w:spacing w:after="0" w:line="343" w:lineRule="auto"/>
        <w:tabs>
          <w:tab w:leader="none" w:pos="865" w:val="left"/>
        </w:tabs>
        <w:numPr>
          <w:ilvl w:val="0"/>
          <w:numId w:val="153"/>
        </w:numPr>
        <w:rPr>
          <w:rFonts w:ascii="Arial" w:cs="Arial" w:eastAsia="Arial" w:hAnsi="Arial"/>
          <w:sz w:val="12"/>
          <w:szCs w:val="12"/>
          <w:color w:val="auto"/>
        </w:rPr>
      </w:pPr>
      <w:r>
        <w:rPr>
          <w:rFonts w:ascii="Arial" w:cs="Arial" w:eastAsia="Arial" w:hAnsi="Arial"/>
          <w:sz w:val="12"/>
          <w:szCs w:val="12"/>
          <w:color w:val="auto"/>
        </w:rPr>
        <w:t>Since compliance with the Americans with Disabilities Act (ADA) and other state and local accessibility statutes are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compliance with ADA or other accessibility statutes, Lessee agrees to make any such necessary modifications and/or additions at Lessee's expense.</w:t>
      </w:r>
    </w:p>
    <w:p>
      <w:pPr>
        <w:spacing w:after="0" w:line="25" w:lineRule="exact"/>
        <w:rPr>
          <w:sz w:val="20"/>
          <w:szCs w:val="20"/>
          <w:color w:val="auto"/>
        </w:rPr>
      </w:pPr>
    </w:p>
    <w:p>
      <w:pPr>
        <w:ind w:left="120" w:right="420"/>
        <w:spacing w:after="0" w:line="254" w:lineRule="auto"/>
        <w:rPr>
          <w:sz w:val="20"/>
          <w:szCs w:val="20"/>
          <w:color w:val="auto"/>
        </w:rPr>
      </w:pPr>
      <w:r>
        <w:rPr>
          <w:rFonts w:ascii="Arial" w:cs="Arial" w:eastAsia="Arial" w:hAnsi="Arial"/>
          <w:sz w:val="14"/>
          <w:szCs w:val="14"/>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74" w:lineRule="exact"/>
        <w:rPr>
          <w:sz w:val="20"/>
          <w:szCs w:val="20"/>
          <w:color w:val="auto"/>
        </w:rPr>
      </w:pPr>
    </w:p>
    <w:p>
      <w:pPr>
        <w:ind w:left="120" w:right="280"/>
        <w:spacing w:after="0" w:line="259" w:lineRule="auto"/>
        <w:rPr>
          <w:sz w:val="20"/>
          <w:szCs w:val="20"/>
          <w:color w:val="auto"/>
        </w:rPr>
      </w:pPr>
      <w:r>
        <w:rPr>
          <w:rFonts w:ascii="Arial" w:cs="Arial" w:eastAsia="Arial" w:hAnsi="Arial"/>
          <w:sz w:val="14"/>
          <w:szCs w:val="14"/>
          <w:b w:val="1"/>
          <w:bCs w:val="1"/>
          <w:color w:val="auto"/>
        </w:rPr>
        <w:t>ATTENTION: NO REPRESENTATION OR RECOMMENDATION IS MADE BY AIR CRE OR BY ANY BROKER AS TO THE LEGAL SUFFICIENCY, LEGAL EFFECT, OR TAX CONSEQUENCES OF THIS LEASE OR THE TRANSACTION TO WHICH IT RELATES. THE PARTIES ARE URGED TO:</w:t>
      </w:r>
    </w:p>
    <w:p>
      <w:pPr>
        <w:spacing w:after="0" w:line="1" w:lineRule="exact"/>
        <w:rPr>
          <w:sz w:val="20"/>
          <w:szCs w:val="20"/>
          <w:color w:val="auto"/>
        </w:rPr>
      </w:pPr>
    </w:p>
    <w:p>
      <w:pPr>
        <w:ind w:left="500" w:hanging="388"/>
        <w:spacing w:after="0"/>
        <w:tabs>
          <w:tab w:leader="none" w:pos="500" w:val="left"/>
        </w:tabs>
        <w:numPr>
          <w:ilvl w:val="0"/>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SEEK ADVICE OF COUNSEL AS TO THE LEGAL AND TAX CONSEQUENCES OF THIS LEASE.</w:t>
      </w:r>
    </w:p>
    <w:p>
      <w:pPr>
        <w:spacing w:after="0" w:line="6" w:lineRule="exact"/>
        <w:rPr>
          <w:sz w:val="20"/>
          <w:szCs w:val="20"/>
          <w:color w:val="auto"/>
        </w:rPr>
      </w:pPr>
    </w:p>
    <w:p>
      <w:pPr>
        <w:ind w:left="120" w:right="240"/>
        <w:spacing w:after="0" w:line="246" w:lineRule="auto"/>
        <w:rPr>
          <w:sz w:val="20"/>
          <w:szCs w:val="20"/>
          <w:color w:val="auto"/>
        </w:rPr>
      </w:pPr>
      <w:r>
        <w:rPr>
          <w:rFonts w:ascii="Arial" w:cs="Arial" w:eastAsia="Arial" w:hAnsi="Arial"/>
          <w:sz w:val="14"/>
          <w:szCs w:val="14"/>
          <w:b w:val="1"/>
          <w:bCs w:val="1"/>
          <w:color w:val="auto"/>
        </w:rPr>
        <w:t>2.RETAIN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p>
      <w:pPr>
        <w:spacing w:after="0" w:line="80" w:lineRule="exact"/>
        <w:rPr>
          <w:sz w:val="20"/>
          <w:szCs w:val="20"/>
          <w:color w:val="auto"/>
        </w:rPr>
      </w:pPr>
    </w:p>
    <w:p>
      <w:pPr>
        <w:ind w:left="120" w:right="240"/>
        <w:spacing w:after="0" w:line="279" w:lineRule="auto"/>
        <w:rPr>
          <w:sz w:val="20"/>
          <w:szCs w:val="20"/>
          <w:color w:val="auto"/>
        </w:rPr>
      </w:pPr>
      <w:r>
        <w:rPr>
          <w:rFonts w:ascii="Arial" w:cs="Arial" w:eastAsia="Arial" w:hAnsi="Arial"/>
          <w:sz w:val="14"/>
          <w:szCs w:val="14"/>
          <w:b w:val="1"/>
          <w:bCs w:val="1"/>
          <w:color w:val="auto"/>
        </w:rPr>
        <w:t>WARNING: IF THE PREMISES ARE LOCATED IN A STATE OTHER THAN CALIFORNIA, CERTAIN PROVISIONS OF THE LEASE MAY NEED TO BE REVISED TO COMPLY WITH THE LAWS OF THE STATE IN WHICH THE PREMISES ARE LOCATED.</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parties hereto have executed this Lease at the place and on the dates specified above their respective signatures.</w:t>
      </w:r>
    </w:p>
    <w:p>
      <w:pPr>
        <w:spacing w:after="0" w:line="96"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4"/>
          <w:szCs w:val="14"/>
          <w:color w:val="auto"/>
        </w:rPr>
        <w:t>Executed at:</w:t>
      </w:r>
      <w:r>
        <w:rPr>
          <w:sz w:val="20"/>
          <w:szCs w:val="20"/>
          <w:color w:val="auto"/>
        </w:rPr>
        <w:tab/>
      </w:r>
      <w:r>
        <w:rPr>
          <w:rFonts w:ascii="Arial" w:cs="Arial" w:eastAsia="Arial" w:hAnsi="Arial"/>
          <w:sz w:val="12"/>
          <w:szCs w:val="12"/>
          <w:color w:val="auto"/>
        </w:rPr>
        <w:t>Executed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-3810</wp:posOffset>
            </wp:positionV>
            <wp:extent cx="939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-3810</wp:posOffset>
            </wp:positionV>
            <wp:extent cx="482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48260" cy="889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28"/>
          <w:szCs w:val="28"/>
          <w:color w:val="auto"/>
          <w:vertAlign w:val="subscript"/>
        </w:rPr>
        <w:t>On:</w:t>
      </w:r>
      <w:r>
        <w:rPr>
          <w:rFonts w:ascii="Arial" w:cs="Arial" w:eastAsia="Arial" w:hAnsi="Arial"/>
          <w:sz w:val="16"/>
          <w:szCs w:val="16"/>
          <w:color w:val="auto"/>
        </w:rPr>
        <w:t xml:space="preserve"> 3/7/2022</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3/7/2022</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By LESSOR</w:t>
      </w:r>
      <w:r>
        <w:rPr>
          <w:rFonts w:ascii="Arial" w:cs="Arial" w:eastAsia="Arial" w:hAnsi="Arial"/>
          <w:sz w:val="14"/>
          <w:szCs w:val="14"/>
          <w:color w:val="auto"/>
        </w:rPr>
        <w:t>:</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8"/>
          <w:szCs w:val="18"/>
          <w:color w:val="0000FF"/>
        </w:rPr>
        <w:t>BML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-20320</wp:posOffset>
            </wp:positionV>
            <wp:extent cx="12312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/s/ Irene Chuah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Name Printed:  </w:t>
      </w:r>
      <w:r>
        <w:rPr>
          <w:rFonts w:ascii="Arial" w:cs="Arial" w:eastAsia="Arial" w:hAnsi="Arial"/>
          <w:sz w:val="16"/>
          <w:szCs w:val="16"/>
          <w:u w:val="single" w:color="auto"/>
          <w:color w:val="auto"/>
        </w:rPr>
        <w:t>Irene C</w:t>
      </w:r>
      <w:r>
        <w:rPr>
          <w:rFonts w:ascii="Arial" w:cs="Arial" w:eastAsia="Arial" w:hAnsi="Arial"/>
          <w:sz w:val="16"/>
          <w:szCs w:val="16"/>
          <w:color w:val="auto"/>
        </w:rPr>
        <w:t>huah</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By LESSEE</w:t>
      </w:r>
      <w:r>
        <w:rPr>
          <w:rFonts w:ascii="Arial" w:cs="Arial" w:eastAsia="Arial" w:hAnsi="Arial"/>
          <w:sz w:val="14"/>
          <w:szCs w:val="14"/>
          <w:color w:val="auto"/>
        </w:rPr>
        <w:t>:</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8"/>
          <w:szCs w:val="18"/>
          <w:color w:val="0000FF"/>
        </w:rPr>
        <w:t>RxSight,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-20320</wp:posOffset>
            </wp:positionV>
            <wp:extent cx="6915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/s/ Ron Kurtz</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Name Printed: </w:t>
      </w:r>
      <w:r>
        <w:rPr>
          <w:rFonts w:ascii="Arial" w:cs="Arial" w:eastAsia="Arial" w:hAnsi="Arial"/>
          <w:sz w:val="16"/>
          <w:szCs w:val="16"/>
          <w:u w:val="single" w:color="auto"/>
          <w:color w:val="auto"/>
        </w:rPr>
        <w:t>Ron Kurt</w:t>
      </w:r>
      <w:r>
        <w:rPr>
          <w:rFonts w:ascii="Arial" w:cs="Arial" w:eastAsia="Arial" w:hAnsi="Arial"/>
          <w:sz w:val="16"/>
          <w:szCs w:val="16"/>
          <w:color w:val="auto"/>
        </w:rPr>
        <w:t>z</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wp:posOffset>
            </wp:positionV>
            <wp:extent cx="12509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125095" cy="889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Title:</w:t>
      </w:r>
      <w:r>
        <w:rPr>
          <w:rFonts w:ascii="Arial" w:cs="Arial" w:eastAsia="Arial" w:hAnsi="Arial"/>
          <w:sz w:val="14"/>
          <w:szCs w:val="14"/>
          <w:u w:val="single" w:color="auto"/>
          <w:color w:val="auto"/>
        </w:rPr>
        <w:t>Preside</w:t>
      </w:r>
      <w:r>
        <w:rPr>
          <w:rFonts w:ascii="Arial" w:cs="Arial" w:eastAsia="Arial" w:hAnsi="Arial"/>
          <w:sz w:val="14"/>
          <w:szCs w:val="14"/>
          <w:color w:val="auto"/>
        </w:rPr>
        <w:t>nt and CEO</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-11430</wp:posOffset>
            </wp:positionV>
            <wp:extent cx="660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-3810</wp:posOffset>
            </wp:positionV>
            <wp:extent cx="1574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1">
                      <a:extLst>
                        <a:ext uri="{28A0092B-C50C-407E-A947-70E740481C1C}"/>
                      </a:extLst>
                    </a:blip>
                    <a:srcRect/>
                    <a:stretch>
                      <a:fillRect/>
                    </a:stretch>
                  </pic:blipFill>
                  <pic:spPr bwMode="auto">
                    <a:xfrm>
                      <a:off x="0" y="0"/>
                      <a:ext cx="157480" cy="8255"/>
                    </a:xfrm>
                    <a:prstGeom prst="rect">
                      <a:avLst/>
                    </a:prstGeom>
                    <a:noFill/>
                  </pic:spPr>
                </pic:pic>
              </a:graphicData>
            </a:graphic>
          </wp:anchor>
        </w:drawing>
      </w:r>
    </w:p>
    <w:p>
      <w:pPr>
        <w:spacing w:after="0" w:line="15"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6"/>
          <w:szCs w:val="16"/>
          <w:color w:val="auto"/>
        </w:rPr>
        <w:t>ichuah8@gmail.com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-3810</wp:posOffset>
            </wp:positionV>
            <wp:extent cx="6604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3">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wp:posOffset>
            </wp:positionV>
            <wp:extent cx="1574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4">
                      <a:extLst>
                        <a:ext uri="{28A0092B-C50C-407E-A947-70E740481C1C}"/>
                      </a:extLst>
                    </a:blip>
                    <a:srcRect/>
                    <a:stretch>
                      <a:fillRect/>
                    </a:stretch>
                  </pic:blipFill>
                  <pic:spPr bwMode="auto">
                    <a:xfrm>
                      <a:off x="0" y="0"/>
                      <a:ext cx="15748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6"/>
          <w:szCs w:val="16"/>
          <w:color w:val="auto"/>
        </w:rPr>
        <w:t>rkurtz@rxsight.com</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-3810</wp:posOffset>
            </wp:positionV>
            <wp:extent cx="1828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-8255</wp:posOffset>
            </wp:positionV>
            <wp:extent cx="1549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15" w:lineRule="exact"/>
        <w:rPr>
          <w:sz w:val="20"/>
          <w:szCs w:val="20"/>
          <w:color w:val="auto"/>
        </w:rPr>
      </w:pPr>
    </w:p>
    <w:p>
      <w:pPr>
        <w:ind w:left="120"/>
        <w:spacing w:after="0"/>
        <w:tabs>
          <w:tab w:leader="none" w:pos="1560" w:val="left"/>
          <w:tab w:leader="none" w:pos="3000" w:val="left"/>
          <w:tab w:leader="none" w:pos="4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Phone:</w:t>
      </w:r>
      <w:r>
        <w:rPr>
          <w:sz w:val="20"/>
          <w:szCs w:val="20"/>
          <w:color w:val="auto"/>
        </w:rPr>
        <w:tab/>
      </w:r>
      <w:r>
        <w:rPr>
          <w:rFonts w:ascii="Arial" w:cs="Arial" w:eastAsia="Arial" w:hAnsi="Arial"/>
          <w:sz w:val="14"/>
          <w:szCs w:val="14"/>
          <w:color w:val="auto"/>
        </w:rPr>
        <w:t>Fax:</w:t>
      </w:r>
      <w:r>
        <w:rPr>
          <w:sz w:val="20"/>
          <w:szCs w:val="20"/>
          <w:color w:val="auto"/>
        </w:rPr>
        <w:tab/>
      </w: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-3810</wp:posOffset>
            </wp:positionV>
            <wp:extent cx="32759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3275965"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-3810</wp:posOffset>
            </wp:positionV>
            <wp:extent cx="1778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-3810</wp:posOffset>
            </wp:positionV>
            <wp:extent cx="1092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9">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-3810</wp:posOffset>
            </wp:positionV>
            <wp:extent cx="1828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-8255</wp:posOffset>
            </wp:positionV>
            <wp:extent cx="1549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1">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6"/>
          <w:szCs w:val="16"/>
          <w:color w:val="auto"/>
        </w:rPr>
        <w:t>INITIALS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18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45" w:right="359" w:bottom="1440" w:gutter="0" w:footer="0" w:header="0"/>
        </w:sectPr>
      </w:pPr>
    </w:p>
    <w:bookmarkStart w:id="181" w:name="page182"/>
    <w:bookmarkEnd w:id="181"/>
    <w:p>
      <w:pPr>
        <w:ind w:left="140"/>
        <w:spacing w:after="0"/>
        <w:tabs>
          <w:tab w:leader="none" w:pos="1580" w:val="left"/>
          <w:tab w:leader="none" w:pos="3020" w:val="left"/>
          <w:tab w:leader="none" w:pos="44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Phone:</w:t>
      </w:r>
      <w:r>
        <w:rPr>
          <w:sz w:val="20"/>
          <w:szCs w:val="20"/>
          <w:color w:val="auto"/>
        </w:rPr>
        <w:tab/>
      </w:r>
      <w:r>
        <w:rPr>
          <w:rFonts w:ascii="Arial" w:cs="Arial" w:eastAsia="Arial" w:hAnsi="Arial"/>
          <w:sz w:val="14"/>
          <w:szCs w:val="14"/>
          <w:color w:val="auto"/>
        </w:rPr>
        <w:t>Fax:</w:t>
      </w:r>
      <w:r>
        <w:rPr>
          <w:sz w:val="20"/>
          <w:szCs w:val="20"/>
          <w:color w:val="auto"/>
        </w:rPr>
        <w:tab/>
      </w: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-3810</wp:posOffset>
            </wp:positionV>
            <wp:extent cx="327596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-3810</wp:posOffset>
            </wp:positionV>
            <wp:extent cx="1778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4">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wp:posOffset>
            </wp:positionV>
            <wp:extent cx="1092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5">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BROKER</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20"/>
          <w:szCs w:val="20"/>
          <w:color w:val="0000FF"/>
        </w:rPr>
        <w:t>CBRE,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-14605</wp:posOffset>
            </wp:positionV>
            <wp:extent cx="67691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6">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Attn:  </w:t>
      </w:r>
      <w:r>
        <w:rPr>
          <w:rFonts w:ascii="Arial" w:cs="Arial" w:eastAsia="Arial" w:hAnsi="Arial"/>
          <w:sz w:val="17"/>
          <w:szCs w:val="17"/>
          <w:u w:val="single" w:color="auto"/>
          <w:color w:val="0000FF"/>
        </w:rPr>
        <w:t>Keith Black</w:t>
      </w:r>
    </w:p>
    <w:p>
      <w:pPr>
        <w:spacing w:after="0" w:line="35"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6"/>
          <w:szCs w:val="16"/>
          <w:u w:val="single" w:color="auto"/>
          <w:color w:val="0000FF"/>
        </w:rPr>
        <w:t>Vice President</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Address: </w:t>
      </w:r>
      <w:r>
        <w:rPr>
          <w:rFonts w:ascii="Arial" w:cs="Arial" w:eastAsia="Arial" w:hAnsi="Arial"/>
          <w:sz w:val="17"/>
          <w:szCs w:val="17"/>
          <w:u w:val="single" w:color="auto"/>
          <w:color w:val="0000FF"/>
        </w:rPr>
        <w:t>3501 Jamboree, Suite 100, Newport Beach, CA 92660</w:t>
      </w:r>
    </w:p>
    <w:p>
      <w:pPr>
        <w:spacing w:after="0" w:line="23"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4"/>
          <w:szCs w:val="14"/>
          <w:color w:val="auto"/>
        </w:rPr>
        <w:t>Phone:</w:t>
      </w:r>
      <w:r>
        <w:rPr>
          <w:sz w:val="20"/>
          <w:szCs w:val="20"/>
          <w:color w:val="auto"/>
        </w:rPr>
        <w:tab/>
      </w:r>
      <w:r>
        <w:rPr>
          <w:rFonts w:ascii="Arial" w:cs="Arial" w:eastAsia="Arial" w:hAnsi="Arial"/>
          <w:sz w:val="16"/>
          <w:szCs w:val="16"/>
          <w:u w:val="single" w:color="auto"/>
          <w:color w:val="0000FF"/>
        </w:rPr>
        <w:t>949.725.8500</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-6985</wp:posOffset>
            </wp:positionV>
            <wp:extent cx="1574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7">
                      <a:extLst>
                        <a:ext uri="{28A0092B-C50C-407E-A947-70E740481C1C}"/>
                      </a:extLst>
                    </a:blip>
                    <a:srcRect/>
                    <a:stretch>
                      <a:fillRect/>
                    </a:stretch>
                  </pic:blipFill>
                  <pic:spPr bwMode="auto">
                    <a:xfrm>
                      <a:off x="0" y="0"/>
                      <a:ext cx="157480"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7"/>
          <w:szCs w:val="17"/>
          <w:color w:val="auto"/>
        </w:rPr>
        <w:t>keith.black@cbre.com</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BROKER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0000FF"/>
        </w:rPr>
        <w:t>Lee &amp;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-10160</wp:posOffset>
            </wp:positionV>
            <wp:extent cx="89154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24"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6"/>
          <w:szCs w:val="16"/>
          <w:u w:val="single" w:color="auto"/>
          <w:color w:val="0000FF"/>
        </w:rPr>
        <w:t>Guy Laferrara</w:t>
      </w:r>
    </w:p>
    <w:p>
      <w:pPr>
        <w:spacing w:after="0" w:line="46"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6"/>
          <w:szCs w:val="16"/>
          <w:u w:val="single" w:color="auto"/>
          <w:color w:val="0000FF"/>
        </w:rPr>
        <w:t>Senior Vice President</w:t>
      </w:r>
    </w:p>
    <w:p>
      <w:pPr>
        <w:spacing w:after="0" w:line="193"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6"/>
          <w:szCs w:val="16"/>
          <w:u w:val="single" w:color="auto"/>
          <w:color w:val="0000FF"/>
        </w:rPr>
        <w:t>9838 Research Drive, Irvine, CA</w:t>
      </w:r>
    </w:p>
    <w:p>
      <w:pPr>
        <w:spacing w:after="0" w:line="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4"/>
          <w:szCs w:val="14"/>
          <w:color w:val="auto"/>
        </w:rPr>
        <w:t>Phone:</w:t>
      </w:r>
      <w:r>
        <w:rPr>
          <w:sz w:val="20"/>
          <w:szCs w:val="20"/>
          <w:color w:val="auto"/>
        </w:rPr>
        <w:tab/>
      </w:r>
      <w:r>
        <w:rPr>
          <w:rFonts w:ascii="Arial" w:cs="Arial" w:eastAsia="Arial" w:hAnsi="Arial"/>
          <w:sz w:val="16"/>
          <w:szCs w:val="16"/>
          <w:u w:val="single" w:color="auto"/>
          <w:color w:val="0000FF"/>
        </w:rPr>
        <w:t>949.727.1200</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-6985</wp:posOffset>
            </wp:positionV>
            <wp:extent cx="1574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9">
                      <a:extLst>
                        <a:ext uri="{28A0092B-C50C-407E-A947-70E740481C1C}"/>
                      </a:extLst>
                    </a:blip>
                    <a:srcRect/>
                    <a:stretch>
                      <a:fillRect/>
                    </a:stretch>
                  </pic:blipFill>
                  <pic:spPr bwMode="auto">
                    <a:xfrm>
                      <a:off x="0" y="0"/>
                      <a:ext cx="157480"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7"/>
          <w:szCs w:val="17"/>
          <w:color w:val="auto"/>
        </w:rPr>
        <w:t>glaferrara@leeirvine.com</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-11430</wp:posOffset>
            </wp:positionV>
            <wp:extent cx="1092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0">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-14605</wp:posOffset>
            </wp:positionV>
            <wp:extent cx="1504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1">
                      <a:extLst>
                        <a:ext uri="{28A0092B-C50C-407E-A947-70E740481C1C}"/>
                      </a:extLst>
                    </a:blip>
                    <a:srcRect/>
                    <a:stretch>
                      <a:fillRect/>
                    </a:stretch>
                  </pic:blipFill>
                  <pic:spPr bwMode="auto">
                    <a:xfrm>
                      <a:off x="0" y="0"/>
                      <a:ext cx="150495" cy="8255"/>
                    </a:xfrm>
                    <a:prstGeom prst="rect">
                      <a:avLst/>
                    </a:prstGeom>
                    <a:noFill/>
                  </pic:spPr>
                </pic:pic>
              </a:graphicData>
            </a:graphic>
          </wp:anchor>
        </w:drawing>
      </w:r>
    </w:p>
    <w:p>
      <w:pPr>
        <w:ind w:left="140"/>
        <w:spacing w:after="0"/>
        <w:tabs>
          <w:tab w:leader="none" w:pos="1680" w:val="left"/>
        </w:tabs>
        <w:rPr>
          <w:sz w:val="20"/>
          <w:szCs w:val="20"/>
          <w:color w:val="auto"/>
        </w:rPr>
      </w:pPr>
      <w:r>
        <w:rPr>
          <w:rFonts w:ascii="Arial" w:cs="Arial" w:eastAsia="Arial" w:hAnsi="Arial"/>
          <w:sz w:val="14"/>
          <w:szCs w:val="14"/>
          <w:color w:val="auto"/>
        </w:rPr>
        <w:t>Broker DRE License #:</w:t>
      </w:r>
      <w:r>
        <w:rPr>
          <w:sz w:val="20"/>
          <w:szCs w:val="20"/>
          <w:color w:val="auto"/>
        </w:rPr>
        <w:tab/>
      </w:r>
      <w:r>
        <w:rPr>
          <w:rFonts w:ascii="Arial" w:cs="Arial" w:eastAsia="Arial" w:hAnsi="Arial"/>
          <w:sz w:val="16"/>
          <w:szCs w:val="16"/>
          <w:u w:val="single" w:color="auto"/>
          <w:color w:val="0000FF"/>
        </w:rPr>
        <w:t>00409987</w:t>
      </w:r>
    </w:p>
    <w:p>
      <w:pPr>
        <w:spacing w:after="0" w:line="30" w:lineRule="exact"/>
        <w:rPr>
          <w:sz w:val="20"/>
          <w:szCs w:val="20"/>
          <w:color w:val="auto"/>
        </w:rPr>
      </w:pPr>
    </w:p>
    <w:p>
      <w:pPr>
        <w:ind w:left="140"/>
        <w:spacing w:after="0"/>
        <w:tabs>
          <w:tab w:leader="none" w:pos="1560" w:val="left"/>
        </w:tabs>
        <w:rPr>
          <w:sz w:val="20"/>
          <w:szCs w:val="20"/>
          <w:color w:val="auto"/>
        </w:rPr>
      </w:pPr>
      <w:r>
        <w:rPr>
          <w:rFonts w:ascii="Arial" w:cs="Arial" w:eastAsia="Arial" w:hAnsi="Arial"/>
          <w:sz w:val="14"/>
          <w:szCs w:val="14"/>
          <w:color w:val="auto"/>
        </w:rPr>
        <w:t>Agent DRE License #:</w:t>
      </w:r>
      <w:r>
        <w:rPr>
          <w:sz w:val="20"/>
          <w:szCs w:val="20"/>
          <w:color w:val="auto"/>
        </w:rPr>
        <w:tab/>
      </w:r>
      <w:r>
        <w:rPr>
          <w:rFonts w:ascii="Arial" w:cs="Arial" w:eastAsia="Arial" w:hAnsi="Arial"/>
          <w:sz w:val="16"/>
          <w:szCs w:val="16"/>
          <w:u w:val="single" w:color="auto"/>
          <w:color w:val="0000FF"/>
        </w:rPr>
        <w:t>01266477</w:t>
      </w:r>
    </w:p>
    <w:p>
      <w:pPr>
        <w:spacing w:after="0" w:line="85"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color w:val="auto"/>
        </w:rPr>
        <w:t>Broker DRE License #:</w:t>
      </w:r>
      <w:r>
        <w:rPr>
          <w:sz w:val="20"/>
          <w:szCs w:val="20"/>
          <w:color w:val="auto"/>
        </w:rPr>
        <w:tab/>
      </w:r>
      <w:r>
        <w:rPr>
          <w:rFonts w:ascii="Arial" w:cs="Arial" w:eastAsia="Arial" w:hAnsi="Arial"/>
          <w:sz w:val="16"/>
          <w:szCs w:val="16"/>
          <w:u w:val="single" w:color="auto"/>
          <w:color w:val="0000FF"/>
        </w:rPr>
        <w:t>01044791</w:t>
      </w:r>
    </w:p>
    <w:p>
      <w:pPr>
        <w:spacing w:after="0" w:line="46" w:lineRule="exact"/>
        <w:rPr>
          <w:sz w:val="20"/>
          <w:szCs w:val="20"/>
          <w:color w:val="auto"/>
        </w:rPr>
      </w:pPr>
    </w:p>
    <w:p>
      <w:pPr>
        <w:ind w:left="140"/>
        <w:spacing w:after="0"/>
        <w:tabs>
          <w:tab w:leader="none" w:pos="1560" w:val="left"/>
        </w:tabs>
        <w:rPr>
          <w:sz w:val="20"/>
          <w:szCs w:val="20"/>
          <w:color w:val="auto"/>
        </w:rPr>
      </w:pPr>
      <w:r>
        <w:rPr>
          <w:rFonts w:ascii="Arial" w:cs="Arial" w:eastAsia="Arial" w:hAnsi="Arial"/>
          <w:sz w:val="14"/>
          <w:szCs w:val="14"/>
          <w:color w:val="auto"/>
        </w:rPr>
        <w:t>Agent DRE License #:</w:t>
      </w:r>
      <w:r>
        <w:rPr>
          <w:sz w:val="20"/>
          <w:szCs w:val="20"/>
          <w:color w:val="auto"/>
        </w:rPr>
        <w:tab/>
      </w:r>
      <w:r>
        <w:rPr>
          <w:rFonts w:ascii="Arial" w:cs="Arial" w:eastAsia="Arial" w:hAnsi="Arial"/>
          <w:sz w:val="16"/>
          <w:szCs w:val="16"/>
          <w:u w:val="single" w:color="auto"/>
          <w:color w:val="0000FF"/>
        </w:rPr>
        <w:t>01012355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INITIALS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MTN26.30, Revised 10222020</w:t>
      </w:r>
    </w:p>
    <w:p>
      <w:pPr>
        <w:ind w:left="20"/>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19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1303020" cy="4114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INITIALS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RENT ADJUSTMENT(S)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STANDARD LEASE ADDENDUM</w:t>
      </w:r>
    </w:p>
    <w:p>
      <w:pPr>
        <w:spacing w:after="0" w:line="171" w:lineRule="exact"/>
        <w:rPr>
          <w:sz w:val="20"/>
          <w:szCs w:val="20"/>
          <w:color w:val="auto"/>
        </w:rPr>
      </w:pPr>
    </w:p>
    <w:p>
      <w:pPr>
        <w:ind w:left="1060"/>
        <w:spacing w:after="0"/>
        <w:tabs>
          <w:tab w:leader="none" w:pos="17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u w:val="single" w:color="auto"/>
          <w:color w:val="0000FF"/>
        </w:rPr>
        <w:t>March 4, 2022</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By and Between</w:t>
      </w:r>
    </w:p>
    <w:p>
      <w:pPr>
        <w:spacing w:after="0" w:line="7"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7"/>
          <w:szCs w:val="17"/>
          <w:u w:val="single" w:color="auto"/>
          <w:color w:val="0000FF"/>
        </w:rPr>
        <w:t>BML Management, LLC</w:t>
      </w:r>
    </w:p>
    <w:p>
      <w:pPr>
        <w:spacing w:after="0" w:line="9"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b w:val="1"/>
          <w:bCs w:val="1"/>
          <w:color w:val="auto"/>
        </w:rPr>
        <w:t>Lessee:</w:t>
      </w:r>
      <w:r>
        <w:rPr>
          <w:sz w:val="20"/>
          <w:szCs w:val="20"/>
          <w:color w:val="auto"/>
        </w:rPr>
        <w:tab/>
      </w:r>
      <w:r>
        <w:rPr>
          <w:rFonts w:ascii="Arial" w:cs="Arial" w:eastAsia="Arial" w:hAnsi="Arial"/>
          <w:sz w:val="16"/>
          <w:szCs w:val="16"/>
          <w:u w:val="single" w:color="auto"/>
          <w:color w:val="0000FF"/>
        </w:rPr>
        <w:t>RxSight, Inc.</w:t>
      </w:r>
    </w:p>
    <w:p>
      <w:pPr>
        <w:spacing w:after="0" w:line="31" w:lineRule="exact"/>
        <w:rPr>
          <w:sz w:val="20"/>
          <w:szCs w:val="20"/>
          <w:color w:val="auto"/>
        </w:rPr>
      </w:pPr>
    </w:p>
    <w:p>
      <w:pPr>
        <w:ind w:left="1060"/>
        <w:spacing w:after="0"/>
        <w:tabs>
          <w:tab w:leader="none" w:pos="2840" w:val="left"/>
        </w:tabs>
        <w:rPr>
          <w:sz w:val="20"/>
          <w:szCs w:val="20"/>
          <w:color w:val="auto"/>
        </w:rPr>
      </w:pPr>
      <w:r>
        <w:rPr>
          <w:rFonts w:ascii="Arial" w:cs="Arial" w:eastAsia="Arial" w:hAnsi="Arial"/>
          <w:sz w:val="18"/>
          <w:szCs w:val="18"/>
          <w:b w:val="1"/>
          <w:bCs w:val="1"/>
          <w:color w:val="auto"/>
        </w:rPr>
        <w:t>Property Address:</w:t>
      </w:r>
      <w:r>
        <w:rPr>
          <w:sz w:val="20"/>
          <w:szCs w:val="20"/>
          <w:color w:val="auto"/>
        </w:rPr>
        <w:tab/>
      </w:r>
      <w:r>
        <w:rPr>
          <w:rFonts w:ascii="Arial" w:cs="Arial" w:eastAsia="Arial" w:hAnsi="Arial"/>
          <w:sz w:val="16"/>
          <w:szCs w:val="16"/>
          <w:u w:val="single" w:color="auto"/>
          <w:color w:val="0000FF"/>
        </w:rPr>
        <w:t>125 Columbia, Suite B, Aliso Viejo, CA 92656</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(street address, city, state, zip)</w:t>
      </w:r>
    </w:p>
    <w:p>
      <w:pPr>
        <w:spacing w:after="0" w:line="169"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4"/>
          <w:szCs w:val="14"/>
          <w:color w:val="auto"/>
        </w:rPr>
        <w:t>Paragraph:</w:t>
      </w:r>
      <w:r>
        <w:rPr>
          <w:sz w:val="20"/>
          <w:szCs w:val="20"/>
          <w:color w:val="auto"/>
        </w:rPr>
        <w:tab/>
      </w:r>
      <w:r>
        <w:rPr>
          <w:rFonts w:ascii="Arial" w:cs="Arial" w:eastAsia="Arial" w:hAnsi="Arial"/>
          <w:sz w:val="16"/>
          <w:szCs w:val="16"/>
          <w:color w:val="0000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3810</wp:posOffset>
            </wp:positionV>
            <wp:extent cx="24384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4">
                      <a:extLst>
                        <a:ext uri="{28A0092B-C50C-407E-A947-70E740481C1C}"/>
                      </a:extLst>
                    </a:blip>
                    <a:srcRect/>
                    <a:stretch>
                      <a:fillRect/>
                    </a:stretch>
                  </pic:blipFill>
                  <pic:spPr bwMode="auto">
                    <a:xfrm>
                      <a:off x="0" y="0"/>
                      <a:ext cx="243840" cy="8255"/>
                    </a:xfrm>
                    <a:prstGeom prst="rect">
                      <a:avLst/>
                    </a:prstGeom>
                    <a:noFill/>
                  </pic:spPr>
                </pic:pic>
              </a:graphicData>
            </a:graphic>
          </wp:anchor>
        </w:drawing>
      </w:r>
    </w:p>
    <w:p>
      <w:pPr>
        <w:spacing w:after="0" w:line="98" w:lineRule="exact"/>
        <w:rPr>
          <w:sz w:val="20"/>
          <w:szCs w:val="20"/>
          <w:color w:val="auto"/>
        </w:rPr>
      </w:pPr>
    </w:p>
    <w:p>
      <w:pPr>
        <w:ind w:left="520" w:hanging="388"/>
        <w:spacing w:after="0"/>
        <w:tabs>
          <w:tab w:leader="none" w:pos="520"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RENT ADJUSTMENTS</w:t>
      </w:r>
    </w:p>
    <w:p>
      <w:pPr>
        <w:spacing w:after="0" w:line="127" w:lineRule="exact"/>
        <w:rPr>
          <w:sz w:val="20"/>
          <w:szCs w:val="20"/>
          <w:color w:val="auto"/>
        </w:rPr>
      </w:pPr>
    </w:p>
    <w:p>
      <w:pPr>
        <w:ind w:left="140" w:right="1660" w:firstLine="374"/>
        <w:spacing w:after="0" w:line="273" w:lineRule="auto"/>
        <w:rPr>
          <w:sz w:val="20"/>
          <w:szCs w:val="20"/>
          <w:color w:val="auto"/>
        </w:rPr>
      </w:pPr>
      <w:r>
        <w:rPr>
          <w:rFonts w:ascii="Arial" w:cs="Arial" w:eastAsia="Arial" w:hAnsi="Arial"/>
          <w:sz w:val="14"/>
          <w:szCs w:val="14"/>
          <w:color w:val="auto"/>
        </w:rPr>
        <w:t>The monthly rent for each month of the adjustment period(s) specified below shall be increased using the method(s) indicated below: (Check Method(s) to be Used and Fill in Appropriately)</w:t>
      </w:r>
    </w:p>
    <w:p>
      <w:pPr>
        <w:spacing w:after="0" w:line="129" w:lineRule="exact"/>
        <w:rPr>
          <w:sz w:val="20"/>
          <w:szCs w:val="20"/>
          <w:color w:val="auto"/>
        </w:rPr>
      </w:pPr>
    </w:p>
    <w:p>
      <w:pPr>
        <w:ind w:left="880" w:hanging="374"/>
        <w:spacing w:after="0"/>
        <w:tabs>
          <w:tab w:leader="none" w:pos="880" w:val="left"/>
        </w:tabs>
        <w:numPr>
          <w:ilvl w:val="0"/>
          <w:numId w:val="156"/>
        </w:numPr>
        <w:rPr>
          <w:rFonts w:ascii="Arial" w:cs="Arial" w:eastAsia="Arial" w:hAnsi="Arial"/>
          <w:sz w:val="14"/>
          <w:szCs w:val="14"/>
          <w:b w:val="1"/>
          <w:bCs w:val="1"/>
          <w:color w:val="auto"/>
        </w:rPr>
      </w:pPr>
      <w:r>
        <w:rPr>
          <w:rFonts w:ascii="Arial" w:cs="Arial" w:eastAsia="Arial" w:hAnsi="Arial"/>
          <w:sz w:val="14"/>
          <w:szCs w:val="14"/>
          <w:b w:val="1"/>
          <w:bCs w:val="1"/>
          <w:color w:val="auto"/>
        </w:rPr>
        <w:t>Cost of Living Adjustment(s) (COLA)</w:t>
      </w:r>
    </w:p>
    <w:p>
      <w:pPr>
        <w:spacing w:after="0" w:line="140" w:lineRule="exact"/>
        <w:rPr>
          <w:sz w:val="20"/>
          <w:szCs w:val="20"/>
          <w:color w:val="auto"/>
        </w:rPr>
      </w:pPr>
    </w:p>
    <w:p>
      <w:pPr>
        <w:ind w:left="880"/>
        <w:spacing w:after="0"/>
        <w:tabs>
          <w:tab w:leader="none" w:pos="1240" w:val="left"/>
          <w:tab w:leader="none" w:pos="29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On (Fill in COLA Dates):</w:t>
      </w:r>
      <w:r>
        <w:rPr>
          <w:sz w:val="20"/>
          <w:szCs w:val="20"/>
          <w:color w:val="auto"/>
        </w:rPr>
        <w:tab/>
      </w:r>
      <w:r>
        <w:rPr>
          <w:rFonts w:ascii="Arial" w:cs="Arial" w:eastAsia="Arial" w:hAnsi="Arial"/>
          <w:sz w:val="12"/>
          <w:szCs w:val="12"/>
          <w:color w:val="auto"/>
        </w:rPr>
        <w:t>the Base Rent shall be adjusted by the change, if any, from the Base Month specified below, in the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-3810</wp:posOffset>
            </wp:positionV>
            <wp:extent cx="1524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5">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Price Index of the Bureau of Labor Statistics of the U.S. Department of Labor for (select one): CPI W (Urban Wage Earners and Clerical Workers) or CPI U (All Urban Consumers), for</w:t>
      </w:r>
    </w:p>
    <w:p>
      <w:pPr>
        <w:spacing w:after="0" w:line="33" w:lineRule="exact"/>
        <w:rPr>
          <w:sz w:val="20"/>
          <w:szCs w:val="20"/>
          <w:color w:val="auto"/>
        </w:rPr>
      </w:pPr>
    </w:p>
    <w:p>
      <w:pPr>
        <w:ind w:left="140"/>
        <w:spacing w:after="0"/>
        <w:tabs>
          <w:tab w:leader="none" w:pos="1560" w:val="left"/>
        </w:tabs>
        <w:rPr>
          <w:sz w:val="20"/>
          <w:szCs w:val="20"/>
          <w:color w:val="auto"/>
        </w:rPr>
      </w:pPr>
      <w:r>
        <w:rPr>
          <w:rFonts w:ascii="Arial" w:cs="Arial" w:eastAsia="Arial" w:hAnsi="Arial"/>
          <w:sz w:val="14"/>
          <w:szCs w:val="14"/>
          <w:color w:val="auto"/>
        </w:rPr>
        <w:t>(Fill in Urban Area):</w:t>
      </w:r>
      <w:r>
        <w:rPr>
          <w:sz w:val="20"/>
          <w:szCs w:val="20"/>
          <w:color w:val="auto"/>
        </w:rPr>
        <w:tab/>
      </w:r>
      <w:r>
        <w:rPr>
          <w:rFonts w:ascii="Arial" w:cs="Arial" w:eastAsia="Arial" w:hAnsi="Arial"/>
          <w:sz w:val="13"/>
          <w:szCs w:val="13"/>
          <w:color w:val="auto"/>
        </w:rPr>
        <w:t>, All Items (19821984 = 100), herein referred to as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-8255</wp:posOffset>
            </wp:positionV>
            <wp:extent cx="15494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6">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82" w:lineRule="exact"/>
        <w:rPr>
          <w:sz w:val="20"/>
          <w:szCs w:val="20"/>
          <w:color w:val="auto"/>
        </w:rPr>
      </w:pPr>
    </w:p>
    <w:p>
      <w:pPr>
        <w:ind w:left="140" w:right="360" w:firstLine="740"/>
        <w:spacing w:after="0" w:line="289" w:lineRule="auto"/>
        <w:tabs>
          <w:tab w:leader="none" w:pos="161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monthly Base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 specified in paragraph A.I.a. above during which the adjustment is to take eﬀect, and the denominator of which shall be the CPI of the calendar month which is 2</w:t>
      </w:r>
    </w:p>
    <w:p>
      <w:pPr>
        <w:spacing w:after="0" w:line="26" w:lineRule="exact"/>
        <w:rPr>
          <w:sz w:val="20"/>
          <w:szCs w:val="20"/>
          <w:color w:val="auto"/>
        </w:rPr>
      </w:pPr>
    </w:p>
    <w:p>
      <w:pPr>
        <w:ind w:left="140"/>
        <w:spacing w:after="0"/>
        <w:tabs>
          <w:tab w:leader="none" w:pos="2120" w:val="left"/>
        </w:tabs>
        <w:rPr>
          <w:sz w:val="20"/>
          <w:szCs w:val="20"/>
          <w:color w:val="auto"/>
        </w:rPr>
      </w:pPr>
      <w:r>
        <w:rPr>
          <w:rFonts w:ascii="Arial" w:cs="Arial" w:eastAsia="Arial" w:hAnsi="Arial"/>
          <w:sz w:val="14"/>
          <w:szCs w:val="14"/>
          <w:color w:val="auto"/>
        </w:rPr>
        <w:t>months prior to (select one): the</w:t>
      </w:r>
      <w:r>
        <w:rPr>
          <w:sz w:val="20"/>
          <w:szCs w:val="20"/>
          <w:color w:val="auto"/>
        </w:rPr>
        <w:tab/>
      </w:r>
      <w:r>
        <w:rPr>
          <w:rFonts w:ascii="Arial" w:cs="Arial" w:eastAsia="Arial" w:hAnsi="Arial"/>
          <w:sz w:val="13"/>
          <w:szCs w:val="13"/>
          <w:color w:val="auto"/>
        </w:rPr>
        <w:t>first month of the term of this Lease as set forth in paragraph 1.3 ("Base Month") or (Fill in Other "Base Month"):</w:t>
      </w:r>
    </w:p>
    <w:p>
      <w:pPr>
        <w:spacing w:after="0" w:line="28" w:lineRule="exact"/>
        <w:rPr>
          <w:sz w:val="20"/>
          <w:szCs w:val="20"/>
          <w:color w:val="auto"/>
        </w:rPr>
      </w:pPr>
    </w:p>
    <w:p>
      <w:pPr>
        <w:ind w:left="140" w:right="620" w:firstLine="316"/>
        <w:spacing w:after="0" w:line="293" w:lineRule="auto"/>
        <w:tabs>
          <w:tab w:leader="none" w:pos="536"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sum so calculated shall constitute the new monthly Base Rent hereunder, but in no event, shall any such new monthly Base Rent be less than the Base Rent payable for the month immediately preceding the Base Rent adjustment.</w:t>
      </w:r>
    </w:p>
    <w:p>
      <w:pPr>
        <w:spacing w:after="0" w:line="52" w:lineRule="exact"/>
        <w:rPr>
          <w:rFonts w:ascii="Arial" w:cs="Arial" w:eastAsia="Arial" w:hAnsi="Arial"/>
          <w:sz w:val="14"/>
          <w:szCs w:val="14"/>
          <w:color w:val="auto"/>
        </w:rPr>
      </w:pPr>
    </w:p>
    <w:p>
      <w:pPr>
        <w:jc w:val="both"/>
        <w:ind w:left="140" w:right="160" w:firstLine="740"/>
        <w:spacing w:after="0" w:line="272" w:lineRule="auto"/>
        <w:tabs>
          <w:tab w:leader="none" w:pos="1626" w:val="left"/>
        </w:tabs>
        <w:numPr>
          <w:ilvl w:val="2"/>
          <w:numId w:val="158"/>
        </w:numPr>
        <w:rPr>
          <w:rFonts w:ascii="Arial" w:cs="Arial" w:eastAsia="Arial" w:hAnsi="Arial"/>
          <w:sz w:val="14"/>
          <w:szCs w:val="14"/>
          <w:color w:val="auto"/>
        </w:rPr>
      </w:pPr>
      <w:r>
        <w:rPr>
          <w:rFonts w:ascii="Arial" w:cs="Arial" w:eastAsia="Arial" w:hAnsi="Arial"/>
          <w:sz w:val="14"/>
          <w:szCs w:val="14"/>
          <w:color w:val="auto"/>
        </w:rPr>
        <w:t>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alternative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130"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b w:val="1"/>
          <w:bCs w:val="1"/>
          <w:color w:val="auto"/>
        </w:rPr>
        <w:t>II.   Market Rental Value Adjustment(s) (MRV)</w:t>
      </w:r>
    </w:p>
    <w:p>
      <w:pPr>
        <w:spacing w:after="0" w:line="126" w:lineRule="exact"/>
        <w:rPr>
          <w:rFonts w:ascii="Arial" w:cs="Arial" w:eastAsia="Arial" w:hAnsi="Arial"/>
          <w:sz w:val="14"/>
          <w:szCs w:val="14"/>
          <w:color w:val="auto"/>
        </w:rPr>
      </w:pPr>
    </w:p>
    <w:p>
      <w:pPr>
        <w:ind w:left="1260" w:hanging="380"/>
        <w:spacing w:after="0"/>
        <w:tabs>
          <w:tab w:leader="none" w:pos="1260" w:val="left"/>
        </w:tabs>
        <w:numPr>
          <w:ilvl w:val="2"/>
          <w:numId w:val="159"/>
        </w:numPr>
        <w:rPr>
          <w:rFonts w:ascii="Arial" w:cs="Arial" w:eastAsia="Arial" w:hAnsi="Arial"/>
          <w:sz w:val="14"/>
          <w:szCs w:val="14"/>
          <w:color w:val="auto"/>
        </w:rPr>
      </w:pPr>
      <w:r>
        <w:rPr>
          <w:rFonts w:ascii="Arial" w:cs="Arial" w:eastAsia="Arial" w:hAnsi="Arial"/>
          <w:sz w:val="14"/>
          <w:szCs w:val="14"/>
          <w:color w:val="auto"/>
        </w:rPr>
        <w:t>On (Fill in MRV Adjustment Date(s):  the Base Rent shall be adjusted to the "Market Rental Value" of the property as follows:</w:t>
      </w:r>
    </w:p>
    <w:p>
      <w:pPr>
        <w:spacing w:after="0" w:line="136" w:lineRule="exact"/>
        <w:rPr>
          <w:rFonts w:ascii="Arial" w:cs="Arial" w:eastAsia="Arial" w:hAnsi="Arial"/>
          <w:sz w:val="14"/>
          <w:szCs w:val="14"/>
          <w:color w:val="auto"/>
        </w:rPr>
      </w:pPr>
    </w:p>
    <w:p>
      <w:pPr>
        <w:ind w:left="140" w:right="320" w:firstLine="1116"/>
        <w:spacing w:after="0" w:line="273" w:lineRule="auto"/>
        <w:tabs>
          <w:tab w:leader="none" w:pos="2358" w:val="left"/>
        </w:tabs>
        <w:numPr>
          <w:ilvl w:val="3"/>
          <w:numId w:val="159"/>
        </w:numPr>
        <w:rPr>
          <w:rFonts w:ascii="Arial" w:cs="Arial" w:eastAsia="Arial" w:hAnsi="Arial"/>
          <w:sz w:val="14"/>
          <w:szCs w:val="14"/>
          <w:color w:val="auto"/>
        </w:rPr>
      </w:pPr>
      <w:r>
        <w:rPr>
          <w:rFonts w:ascii="Arial" w:cs="Arial" w:eastAsia="Arial" w:hAnsi="Arial"/>
          <w:sz w:val="14"/>
          <w:szCs w:val="14"/>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-1334770</wp:posOffset>
            </wp:positionV>
            <wp:extent cx="1828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7">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-323215</wp:posOffset>
            </wp:positionV>
            <wp:extent cx="857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6" w:lineRule="exact"/>
        <w:rPr>
          <w:sz w:val="20"/>
          <w:szCs w:val="20"/>
          <w:color w:val="auto"/>
        </w:rPr>
      </w:pPr>
    </w:p>
    <w:p>
      <w:pPr>
        <w:ind w:left="140" w:right="1280" w:firstLine="1489"/>
        <w:spacing w:after="0" w:line="293" w:lineRule="auto"/>
        <w:tabs>
          <w:tab w:leader="none" w:pos="2004" w:val="left"/>
        </w:tabs>
        <w:numPr>
          <w:ilvl w:val="0"/>
          <w:numId w:val="160"/>
        </w:numPr>
        <w:rPr>
          <w:rFonts w:ascii="Arial" w:cs="Arial" w:eastAsia="Arial" w:hAnsi="Arial"/>
          <w:sz w:val="14"/>
          <w:szCs w:val="14"/>
          <w:color w:val="auto"/>
        </w:rPr>
      </w:pPr>
      <w:r>
        <w:rPr>
          <w:rFonts w:ascii="Arial" w:cs="Arial" w:eastAsia="Arial" w:hAnsi="Arial"/>
          <w:sz w:val="14"/>
          <w:szCs w:val="14"/>
          <w:color w:val="auto"/>
        </w:rPr>
        <w:t>Lessor and Lessee shall immediately appoint a mutually acceptable appraiser or broker to establish the new MRV within the next 30 days. Any associated costs will be split equally between the Parties, or</w:t>
      </w:r>
    </w:p>
    <w:p>
      <w:pPr>
        <w:spacing w:after="0" w:line="65" w:lineRule="exact"/>
        <w:rPr>
          <w:rFonts w:ascii="Arial" w:cs="Arial" w:eastAsia="Arial" w:hAnsi="Arial"/>
          <w:sz w:val="14"/>
          <w:szCs w:val="14"/>
          <w:color w:val="auto"/>
        </w:rPr>
      </w:pPr>
    </w:p>
    <w:p>
      <w:pPr>
        <w:ind w:left="140" w:right="120" w:firstLine="1490"/>
        <w:spacing w:after="0" w:line="293" w:lineRule="auto"/>
        <w:tabs>
          <w:tab w:leader="none" w:pos="3117"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Both Lessor and Lessee shall each immediately make a reasonable determination of the MRV and submit such determination, in writing, to arbitration in accordance with the following provisions:</w:t>
      </w:r>
    </w:p>
    <w:p>
      <w:pPr>
        <w:spacing w:after="0" w:line="25" w:lineRule="exact"/>
        <w:rPr>
          <w:sz w:val="20"/>
          <w:szCs w:val="20"/>
          <w:color w:val="auto"/>
        </w:rPr>
      </w:pPr>
    </w:p>
    <w:p>
      <w:pPr>
        <w:ind w:left="2000"/>
        <w:spacing w:after="0"/>
        <w:tabs>
          <w:tab w:leader="none" w:pos="2360" w:val="left"/>
          <w:tab w:leader="none" w:pos="7740" w:val="left"/>
          <w:tab w:leader="none" w:pos="874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Within 15 days thereafter, Lessor and Lessee shall each select an independent third party</w:t>
      </w:r>
      <w:r>
        <w:rPr>
          <w:sz w:val="20"/>
          <w:szCs w:val="20"/>
          <w:color w:val="auto"/>
        </w:rPr>
        <w:tab/>
      </w:r>
      <w:r>
        <w:rPr>
          <w:rFonts w:ascii="Arial" w:cs="Arial" w:eastAsia="Arial" w:hAnsi="Arial"/>
          <w:sz w:val="14"/>
          <w:szCs w:val="14"/>
          <w:color w:val="auto"/>
        </w:rPr>
        <w:t>appraiser or</w:t>
      </w:r>
      <w:r>
        <w:rPr>
          <w:sz w:val="20"/>
          <w:szCs w:val="20"/>
          <w:color w:val="auto"/>
        </w:rPr>
        <w:tab/>
      </w:r>
      <w:r>
        <w:rPr>
          <w:rFonts w:ascii="Arial" w:cs="Arial" w:eastAsia="Arial" w:hAnsi="Arial"/>
          <w:sz w:val="13"/>
          <w:szCs w:val="13"/>
          <w:color w:val="auto"/>
        </w:rPr>
        <w:t>broker ("Consultant"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check one) of their choice to act as an arbitrator (Note: the parties may not select either of the Brokers that was involved in negotiating the Lease). The two arbitrators so appointed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shall immediately select a third mutually acceptable Consultant to act as a third arbitrator.</w:t>
      </w:r>
    </w:p>
    <w:p>
      <w:pPr>
        <w:spacing w:after="0" w:line="1" w:lineRule="exact"/>
        <w:rPr>
          <w:sz w:val="20"/>
          <w:szCs w:val="20"/>
          <w:color w:val="auto"/>
        </w:rPr>
      </w:pPr>
    </w:p>
    <w:p>
      <w:pPr>
        <w:ind w:left="140" w:right="280" w:firstLine="1872"/>
        <w:spacing w:after="0" w:line="249" w:lineRule="auto"/>
        <w:rPr>
          <w:sz w:val="20"/>
          <w:szCs w:val="20"/>
          <w:color w:val="auto"/>
        </w:rPr>
      </w:pPr>
      <w:r>
        <w:rPr>
          <w:rFonts w:ascii="Arial" w:cs="Arial" w:eastAsia="Arial" w:hAnsi="Arial"/>
          <w:sz w:val="14"/>
          <w:szCs w:val="14"/>
          <w:color w:val="auto"/>
        </w:rPr>
        <w:t>(ii) 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MTN26.30, Revised 10222020</w:t>
      </w:r>
    </w:p>
    <w:p>
      <w:pPr>
        <w:ind w:left="20"/>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20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83" w:name="page184"/>
    <w:bookmarkEnd w:id="183"/>
    <w:p>
      <w:pPr>
        <w:ind w:left="120"/>
        <w:spacing w:after="0"/>
        <w:rPr>
          <w:sz w:val="20"/>
          <w:szCs w:val="20"/>
          <w:color w:val="auto"/>
        </w:rPr>
      </w:pPr>
      <w:r>
        <w:rPr>
          <w:rFonts w:ascii="Arial" w:cs="Arial" w:eastAsia="Arial" w:hAnsi="Arial"/>
          <w:sz w:val="14"/>
          <w:szCs w:val="14"/>
          <w:color w:val="auto"/>
        </w:rPr>
        <w:t>submitted MRV which is determined to be the closest to the actual MRV shall thereafter be used by the Parties.</w:t>
      </w:r>
    </w:p>
    <w:p>
      <w:pPr>
        <w:spacing w:after="0" w:line="21" w:lineRule="exact"/>
        <w:rPr>
          <w:sz w:val="20"/>
          <w:szCs w:val="20"/>
          <w:color w:val="auto"/>
        </w:rPr>
      </w:pPr>
    </w:p>
    <w:p>
      <w:pPr>
        <w:ind w:left="120" w:right="180" w:firstLine="1872"/>
        <w:spacing w:after="0" w:line="261" w:lineRule="auto"/>
        <w:rPr>
          <w:sz w:val="20"/>
          <w:szCs w:val="20"/>
          <w:color w:val="auto"/>
        </w:rPr>
      </w:pPr>
      <w:r>
        <w:rPr>
          <w:rFonts w:ascii="Arial" w:cs="Arial" w:eastAsia="Arial" w:hAnsi="Arial"/>
          <w:sz w:val="14"/>
          <w:szCs w:val="14"/>
          <w:color w:val="auto"/>
        </w:rPr>
        <w:t>(iii) If either of the Parties fails to appoint an arbitrator within the specified 15 days, the arbitrator timely appointed by one of them shall reach a decision on his or her own, and said decision shall be binding on the Parties.</w:t>
      </w:r>
    </w:p>
    <w:p>
      <w:pPr>
        <w:spacing w:after="0" w:line="1" w:lineRule="exact"/>
        <w:rPr>
          <w:sz w:val="20"/>
          <w:szCs w:val="20"/>
          <w:color w:val="auto"/>
        </w:rPr>
      </w:pPr>
    </w:p>
    <w:p>
      <w:pPr>
        <w:ind w:left="2360" w:hanging="376"/>
        <w:spacing w:after="0"/>
        <w:tabs>
          <w:tab w:leader="none" w:pos="236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entire cost of such arbitration shall be paid by the party whose submitted MRV is not selected, i.e., the one that is NOT the</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closest to the actual MRV.</w:t>
      </w:r>
    </w:p>
    <w:p>
      <w:pPr>
        <w:spacing w:after="0" w:line="111" w:lineRule="exact"/>
        <w:rPr>
          <w:sz w:val="20"/>
          <w:szCs w:val="20"/>
          <w:color w:val="auto"/>
        </w:rPr>
      </w:pPr>
    </w:p>
    <w:p>
      <w:pPr>
        <w:ind w:left="120" w:right="160" w:firstLine="1116"/>
        <w:spacing w:after="0" w:line="293" w:lineRule="auto"/>
        <w:tabs>
          <w:tab w:leader="none" w:pos="235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When determining MRV, the Lessor, Lessee and Consultants shall consider the terms of comparable market transactions which shall include, but not be limited to, rent, rental adjustments, abated rent, lease term and financial condition of tenants.</w:t>
      </w:r>
    </w:p>
    <w:p>
      <w:pPr>
        <w:spacing w:after="0" w:line="52" w:lineRule="exact"/>
        <w:rPr>
          <w:rFonts w:ascii="Arial" w:cs="Arial" w:eastAsia="Arial" w:hAnsi="Arial"/>
          <w:sz w:val="14"/>
          <w:szCs w:val="14"/>
          <w:color w:val="auto"/>
        </w:rPr>
      </w:pPr>
    </w:p>
    <w:p>
      <w:pPr>
        <w:ind w:left="1600" w:hanging="366"/>
        <w:spacing w:after="0"/>
        <w:tabs>
          <w:tab w:leader="none" w:pos="16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Notwithstanding the foregoing, the new Base Rent shall not be less than the rent payable for the month immediately preceding the rent</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w:t>
      </w:r>
    </w:p>
    <w:p>
      <w:pPr>
        <w:spacing w:after="0" w:line="109" w:lineRule="exact"/>
        <w:rPr>
          <w:sz w:val="20"/>
          <w:szCs w:val="20"/>
          <w:color w:val="auto"/>
        </w:rPr>
      </w:pPr>
    </w:p>
    <w:p>
      <w:pPr>
        <w:ind w:left="1240" w:hanging="380"/>
        <w:spacing w:after="0"/>
        <w:tabs>
          <w:tab w:leader="none" w:pos="1240" w:val="left"/>
        </w:tabs>
        <w:numPr>
          <w:ilvl w:val="1"/>
          <w:numId w:val="163"/>
        </w:numPr>
        <w:rPr>
          <w:rFonts w:ascii="Arial" w:cs="Arial" w:eastAsia="Arial" w:hAnsi="Arial"/>
          <w:sz w:val="14"/>
          <w:szCs w:val="14"/>
          <w:color w:val="auto"/>
        </w:rPr>
      </w:pPr>
      <w:r>
        <w:rPr>
          <w:rFonts w:ascii="Arial" w:cs="Arial" w:eastAsia="Arial" w:hAnsi="Arial"/>
          <w:sz w:val="14"/>
          <w:szCs w:val="14"/>
          <w:color w:val="auto"/>
        </w:rPr>
        <w:t>Upon the establishment of each New Market Rental Value:</w:t>
      </w:r>
    </w:p>
    <w:p>
      <w:pPr>
        <w:spacing w:after="0" w:line="122" w:lineRule="exact"/>
        <w:rPr>
          <w:rFonts w:ascii="Arial" w:cs="Arial" w:eastAsia="Arial" w:hAnsi="Arial"/>
          <w:sz w:val="14"/>
          <w:szCs w:val="14"/>
          <w:color w:val="auto"/>
        </w:rPr>
      </w:pPr>
    </w:p>
    <w:p>
      <w:pPr>
        <w:ind w:left="1600" w:hanging="366"/>
        <w:spacing w:after="0"/>
        <w:tabs>
          <w:tab w:leader="none" w:pos="1600" w:val="left"/>
        </w:tabs>
        <w:numPr>
          <w:ilvl w:val="2"/>
          <w:numId w:val="163"/>
        </w:numPr>
        <w:rPr>
          <w:rFonts w:ascii="Arial" w:cs="Arial" w:eastAsia="Arial" w:hAnsi="Arial"/>
          <w:sz w:val="14"/>
          <w:szCs w:val="14"/>
          <w:color w:val="auto"/>
        </w:rPr>
      </w:pPr>
      <w:r>
        <w:rPr>
          <w:rFonts w:ascii="Arial" w:cs="Arial" w:eastAsia="Arial" w:hAnsi="Arial"/>
          <w:sz w:val="14"/>
          <w:szCs w:val="14"/>
          <w:color w:val="auto"/>
        </w:rPr>
        <w:t>the new MRV will become the new "Base Rent" for the purpose of calculating any further Adjustments, and</w:t>
      </w:r>
    </w:p>
    <w:p>
      <w:pPr>
        <w:spacing w:after="0" w:line="122" w:lineRule="exact"/>
        <w:rPr>
          <w:rFonts w:ascii="Arial" w:cs="Arial" w:eastAsia="Arial" w:hAnsi="Arial"/>
          <w:sz w:val="14"/>
          <w:szCs w:val="14"/>
          <w:color w:val="auto"/>
        </w:rPr>
      </w:pPr>
    </w:p>
    <w:p>
      <w:pPr>
        <w:ind w:left="1600" w:hanging="365"/>
        <w:spacing w:after="0"/>
        <w:tabs>
          <w:tab w:leader="none" w:pos="1600" w:val="left"/>
        </w:tabs>
        <w:numPr>
          <w:ilvl w:val="2"/>
          <w:numId w:val="163"/>
        </w:numPr>
        <w:rPr>
          <w:rFonts w:ascii="Arial" w:cs="Arial" w:eastAsia="Arial" w:hAnsi="Arial"/>
          <w:sz w:val="14"/>
          <w:szCs w:val="14"/>
          <w:color w:val="auto"/>
        </w:rPr>
      </w:pPr>
      <w:r>
        <w:rPr>
          <w:rFonts w:ascii="Arial" w:cs="Arial" w:eastAsia="Arial" w:hAnsi="Arial"/>
          <w:sz w:val="14"/>
          <w:szCs w:val="14"/>
          <w:color w:val="auto"/>
        </w:rPr>
        <w:t>the first month of each Market Rental Value term shall become the new 'Base Month' for the purpose of calculating any further Adjustments.</w:t>
      </w:r>
    </w:p>
    <w:p>
      <w:pPr>
        <w:spacing w:after="0" w:line="172"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b w:val="1"/>
          <w:bCs w:val="1"/>
          <w:color w:val="auto"/>
        </w:rPr>
        <w:t>III.   Fixed Rental Adjustment(s) (FRA)</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6040" w:type="dxa"/>
            <w:vAlign w:val="bottom"/>
            <w:gridSpan w:val="7"/>
          </w:tcPr>
          <w:p>
            <w:pPr>
              <w:jc w:val="right"/>
              <w:ind w:right="1000"/>
              <w:spacing w:after="0"/>
              <w:rPr>
                <w:sz w:val="20"/>
                <w:szCs w:val="20"/>
                <w:color w:val="auto"/>
              </w:rPr>
            </w:pPr>
            <w:r>
              <w:rPr>
                <w:rFonts w:ascii="Arial" w:cs="Arial" w:eastAsia="Arial" w:hAnsi="Arial"/>
                <w:sz w:val="14"/>
                <w:szCs w:val="14"/>
                <w:color w:val="auto"/>
                <w:w w:val="92"/>
              </w:rPr>
              <w:t>The Base Rent shall be increased to the following amounts on the dates set forth below:</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60" w:type="dxa"/>
            <w:vAlign w:val="bottom"/>
          </w:tcPr>
          <w:p>
            <w:pPr>
              <w:spacing w:after="0"/>
              <w:rPr>
                <w:sz w:val="23"/>
                <w:szCs w:val="23"/>
                <w:color w:val="auto"/>
              </w:rPr>
            </w:pPr>
          </w:p>
        </w:tc>
        <w:tc>
          <w:tcPr>
            <w:tcW w:w="5580" w:type="dxa"/>
            <w:vAlign w:val="bottom"/>
            <w:gridSpan w:val="6"/>
          </w:tcPr>
          <w:p>
            <w:pPr>
              <w:spacing w:after="0"/>
              <w:rPr>
                <w:sz w:val="20"/>
                <w:szCs w:val="20"/>
                <w:color w:val="auto"/>
              </w:rPr>
            </w:pPr>
            <w:r>
              <w:rPr>
                <w:rFonts w:ascii="Arial" w:cs="Arial" w:eastAsia="Arial" w:hAnsi="Arial"/>
                <w:sz w:val="14"/>
                <w:szCs w:val="14"/>
                <w:color w:val="auto"/>
              </w:rPr>
              <w:t>On (Fill in FRA Adjustment Date(s)):</w:t>
            </w:r>
          </w:p>
        </w:tc>
        <w:tc>
          <w:tcPr>
            <w:tcW w:w="2660" w:type="dxa"/>
            <w:vAlign w:val="bottom"/>
            <w:gridSpan w:val="4"/>
          </w:tcPr>
          <w:p>
            <w:pPr>
              <w:ind w:left="1000"/>
              <w:spacing w:after="0"/>
              <w:rPr>
                <w:sz w:val="20"/>
                <w:szCs w:val="20"/>
                <w:color w:val="auto"/>
              </w:rPr>
            </w:pPr>
            <w:r>
              <w:rPr>
                <w:rFonts w:ascii="Arial" w:cs="Arial" w:eastAsia="Arial" w:hAnsi="Arial"/>
                <w:sz w:val="14"/>
                <w:szCs w:val="14"/>
                <w:color w:val="auto"/>
                <w:w w:val="90"/>
              </w:rPr>
              <w:t>The New Base Rent shall be:</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5580" w:type="dxa"/>
            <w:vAlign w:val="bottom"/>
            <w:gridSpan w:val="6"/>
          </w:tcPr>
          <w:p>
            <w:pPr>
              <w:ind w:left="120"/>
              <w:spacing w:after="0" w:line="190" w:lineRule="exact"/>
              <w:rPr>
                <w:sz w:val="20"/>
                <w:szCs w:val="20"/>
                <w:color w:val="auto"/>
              </w:rPr>
            </w:pPr>
            <w:r>
              <w:rPr>
                <w:rFonts w:ascii="Arial" w:cs="Arial" w:eastAsia="Arial" w:hAnsi="Arial"/>
                <w:sz w:val="18"/>
                <w:szCs w:val="18"/>
                <w:color w:val="0000FF"/>
              </w:rPr>
              <w:t>May 1-31, 2022</w:t>
            </w:r>
          </w:p>
        </w:tc>
        <w:tc>
          <w:tcPr>
            <w:tcW w:w="2660" w:type="dxa"/>
            <w:vAlign w:val="bottom"/>
            <w:gridSpan w:val="4"/>
          </w:tcPr>
          <w:p>
            <w:pPr>
              <w:ind w:left="1160"/>
              <w:spacing w:after="0" w:line="190" w:lineRule="exact"/>
              <w:rPr>
                <w:sz w:val="20"/>
                <w:szCs w:val="20"/>
                <w:color w:val="auto"/>
              </w:rPr>
            </w:pPr>
            <w:r>
              <w:rPr>
                <w:rFonts w:ascii="Arial" w:cs="Arial" w:eastAsia="Arial" w:hAnsi="Arial"/>
                <w:sz w:val="18"/>
                <w:szCs w:val="18"/>
                <w:color w:val="0000FF"/>
              </w:rPr>
              <w:t>$15,738.30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0" w:type="dxa"/>
            <w:vAlign w:val="bottom"/>
          </w:tcPr>
          <w:p>
            <w:pPr>
              <w:ind w:left="120"/>
              <w:spacing w:after="0" w:line="196" w:lineRule="exact"/>
              <w:rPr>
                <w:sz w:val="20"/>
                <w:szCs w:val="20"/>
                <w:color w:val="auto"/>
              </w:rPr>
            </w:pPr>
            <w:r>
              <w:rPr>
                <w:rFonts w:ascii="Arial" w:cs="Arial" w:eastAsia="Arial" w:hAnsi="Arial"/>
                <w:sz w:val="18"/>
                <w:szCs w:val="18"/>
                <w:color w:val="0000FF"/>
                <w:w w:val="88"/>
              </w:rPr>
              <w:t>June 1, 2022</w:t>
            </w:r>
          </w:p>
        </w:tc>
        <w:tc>
          <w:tcPr>
            <w:tcW w:w="4520" w:type="dxa"/>
            <w:vAlign w:val="bottom"/>
            <w:gridSpan w:val="5"/>
          </w:tcPr>
          <w:p>
            <w:pPr>
              <w:ind w:left="20"/>
              <w:spacing w:after="0" w:line="196" w:lineRule="exact"/>
              <w:rPr>
                <w:sz w:val="20"/>
                <w:szCs w:val="20"/>
                <w:color w:val="auto"/>
              </w:rPr>
            </w:pPr>
            <w:r>
              <w:rPr>
                <w:rFonts w:ascii="Arial" w:cs="Arial" w:eastAsia="Arial" w:hAnsi="Arial"/>
                <w:sz w:val="18"/>
                <w:szCs w:val="18"/>
                <w:color w:val="0000FF"/>
              </w:rPr>
              <w:t>- August 31, 2022</w:t>
            </w:r>
          </w:p>
        </w:tc>
        <w:tc>
          <w:tcPr>
            <w:tcW w:w="1580" w:type="dxa"/>
            <w:vAlign w:val="bottom"/>
            <w:gridSpan w:val="2"/>
          </w:tcPr>
          <w:p>
            <w:pPr>
              <w:ind w:left="1160"/>
              <w:spacing w:after="0" w:line="196" w:lineRule="exact"/>
              <w:rPr>
                <w:sz w:val="20"/>
                <w:szCs w:val="20"/>
                <w:color w:val="auto"/>
              </w:rPr>
            </w:pPr>
            <w:r>
              <w:rPr>
                <w:rFonts w:ascii="Arial" w:cs="Arial" w:eastAsia="Arial" w:hAnsi="Arial"/>
                <w:sz w:val="18"/>
                <w:szCs w:val="18"/>
                <w:color w:val="0000FF"/>
                <w:w w:val="88"/>
              </w:rPr>
              <w:t>$0.00</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0" w:type="dxa"/>
            <w:vAlign w:val="bottom"/>
            <w:gridSpan w:val="2"/>
            <w:vMerge w:val="restart"/>
          </w:tcPr>
          <w:p>
            <w:pPr>
              <w:jc w:val="right"/>
              <w:ind w:right="2900"/>
              <w:spacing w:after="0"/>
              <w:rPr>
                <w:sz w:val="20"/>
                <w:szCs w:val="20"/>
                <w:color w:val="auto"/>
              </w:rPr>
            </w:pPr>
            <w:r>
              <w:rPr>
                <w:rFonts w:ascii="Arial" w:cs="Arial" w:eastAsia="Arial" w:hAnsi="Arial"/>
                <w:sz w:val="17"/>
                <w:szCs w:val="17"/>
                <w:color w:val="0000FF"/>
                <w:w w:val="73"/>
              </w:rPr>
              <w:t>2023</w:t>
            </w:r>
          </w:p>
        </w:tc>
        <w:tc>
          <w:tcPr>
            <w:tcW w:w="104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380" w:type="dxa"/>
            <w:vAlign w:val="bottom"/>
            <w:gridSpan w:val="4"/>
          </w:tcPr>
          <w:p>
            <w:pPr>
              <w:ind w:left="120"/>
              <w:spacing w:after="0" w:line="182" w:lineRule="exact"/>
              <w:rPr>
                <w:sz w:val="20"/>
                <w:szCs w:val="20"/>
                <w:color w:val="auto"/>
              </w:rPr>
            </w:pPr>
            <w:r>
              <w:rPr>
                <w:rFonts w:ascii="Arial" w:cs="Arial" w:eastAsia="Arial" w:hAnsi="Arial"/>
                <w:sz w:val="18"/>
                <w:szCs w:val="18"/>
                <w:color w:val="0000FF"/>
                <w:w w:val="95"/>
              </w:rPr>
              <w:t>September 1, 2022 - April 30,</w:t>
            </w:r>
          </w:p>
        </w:tc>
        <w:tc>
          <w:tcPr>
            <w:tcW w:w="32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20" w:type="dxa"/>
            <w:vAlign w:val="bottom"/>
            <w:gridSpan w:val="3"/>
          </w:tcPr>
          <w:p>
            <w:pPr>
              <w:ind w:left="120"/>
              <w:spacing w:after="0" w:line="182" w:lineRule="exact"/>
              <w:rPr>
                <w:sz w:val="20"/>
                <w:szCs w:val="20"/>
                <w:color w:val="auto"/>
              </w:rPr>
            </w:pPr>
            <w:r>
              <w:rPr>
                <w:rFonts w:ascii="Arial" w:cs="Arial" w:eastAsia="Arial" w:hAnsi="Arial"/>
                <w:sz w:val="18"/>
                <w:szCs w:val="18"/>
                <w:color w:val="0000FF"/>
              </w:rPr>
              <w:t>$15,738.30</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1060" w:type="dxa"/>
            <w:vAlign w:val="bottom"/>
            <w:tcBorders>
              <w:top w:val="single" w:sz="8" w:color="0000FF"/>
            </w:tcBorders>
          </w:tcPr>
          <w:p>
            <w:pPr>
              <w:ind w:left="120"/>
              <w:spacing w:after="0" w:line="182" w:lineRule="exact"/>
              <w:rPr>
                <w:sz w:val="20"/>
                <w:szCs w:val="20"/>
                <w:color w:val="auto"/>
              </w:rPr>
            </w:pPr>
            <w:r>
              <w:rPr>
                <w:rFonts w:ascii="Arial" w:cs="Arial" w:eastAsia="Arial" w:hAnsi="Arial"/>
                <w:sz w:val="18"/>
                <w:szCs w:val="18"/>
                <w:color w:val="0000FF"/>
                <w:w w:val="92"/>
              </w:rPr>
              <w:t>May 1, 2023</w:t>
            </w:r>
          </w:p>
        </w:tc>
        <w:tc>
          <w:tcPr>
            <w:tcW w:w="1620" w:type="dxa"/>
            <w:vAlign w:val="bottom"/>
            <w:tcBorders>
              <w:top w:val="single" w:sz="8" w:color="0000FF"/>
            </w:tcBorders>
            <w:gridSpan w:val="4"/>
          </w:tcPr>
          <w:p>
            <w:pPr>
              <w:ind w:left="20"/>
              <w:spacing w:after="0" w:line="182" w:lineRule="exact"/>
              <w:rPr>
                <w:sz w:val="20"/>
                <w:szCs w:val="20"/>
                <w:color w:val="auto"/>
              </w:rPr>
            </w:pPr>
            <w:r>
              <w:rPr>
                <w:rFonts w:ascii="Arial" w:cs="Arial" w:eastAsia="Arial" w:hAnsi="Arial"/>
                <w:sz w:val="18"/>
                <w:szCs w:val="18"/>
                <w:color w:val="0000FF"/>
              </w:rPr>
              <w:t>- April 30, 2024</w:t>
            </w:r>
          </w:p>
        </w:tc>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Borders>
              <w:top w:val="single" w:sz="8" w:color="0000FF"/>
            </w:tcBorders>
            <w:gridSpan w:val="2"/>
          </w:tcPr>
          <w:p>
            <w:pPr>
              <w:ind w:left="120"/>
              <w:spacing w:after="0" w:line="182" w:lineRule="exact"/>
              <w:rPr>
                <w:sz w:val="20"/>
                <w:szCs w:val="20"/>
                <w:color w:val="auto"/>
              </w:rPr>
            </w:pPr>
            <w:r>
              <w:rPr>
                <w:rFonts w:ascii="Arial" w:cs="Arial" w:eastAsia="Arial" w:hAnsi="Arial"/>
                <w:sz w:val="18"/>
                <w:szCs w:val="18"/>
                <w:color w:val="0000FF"/>
                <w:w w:val="88"/>
              </w:rPr>
              <w:t>$16,281.00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1060" w:type="dxa"/>
            <w:vAlign w:val="bottom"/>
          </w:tcPr>
          <w:p>
            <w:pPr>
              <w:ind w:left="120"/>
              <w:spacing w:after="0" w:line="182" w:lineRule="exact"/>
              <w:rPr>
                <w:sz w:val="20"/>
                <w:szCs w:val="20"/>
                <w:color w:val="auto"/>
              </w:rPr>
            </w:pPr>
            <w:r>
              <w:rPr>
                <w:rFonts w:ascii="Arial" w:cs="Arial" w:eastAsia="Arial" w:hAnsi="Arial"/>
                <w:sz w:val="18"/>
                <w:szCs w:val="18"/>
                <w:color w:val="0000FF"/>
                <w:w w:val="92"/>
              </w:rPr>
              <w:t>May 1, 2024</w:t>
            </w:r>
          </w:p>
        </w:tc>
        <w:tc>
          <w:tcPr>
            <w:tcW w:w="4520" w:type="dxa"/>
            <w:vAlign w:val="bottom"/>
            <w:gridSpan w:val="5"/>
          </w:tcPr>
          <w:p>
            <w:pPr>
              <w:ind w:left="20"/>
              <w:spacing w:after="0" w:line="182" w:lineRule="exact"/>
              <w:rPr>
                <w:sz w:val="20"/>
                <w:szCs w:val="20"/>
                <w:color w:val="auto"/>
              </w:rPr>
            </w:pPr>
            <w:r>
              <w:rPr>
                <w:rFonts w:ascii="Arial" w:cs="Arial" w:eastAsia="Arial" w:hAnsi="Arial"/>
                <w:sz w:val="18"/>
                <w:szCs w:val="18"/>
                <w:color w:val="0000FF"/>
              </w:rPr>
              <w:t>- August 31, 2024</w:t>
            </w:r>
          </w:p>
        </w:tc>
        <w:tc>
          <w:tcPr>
            <w:tcW w:w="1040" w:type="dxa"/>
            <w:vAlign w:val="bottom"/>
            <w:vMerge w:val="continue"/>
          </w:tcPr>
          <w:p>
            <w:pPr>
              <w:spacing w:after="0"/>
              <w:rPr>
                <w:sz w:val="15"/>
                <w:szCs w:val="15"/>
                <w:color w:val="auto"/>
              </w:rPr>
            </w:pPr>
          </w:p>
        </w:tc>
        <w:tc>
          <w:tcPr>
            <w:tcW w:w="940" w:type="dxa"/>
            <w:vAlign w:val="bottom"/>
            <w:gridSpan w:val="2"/>
          </w:tcPr>
          <w:p>
            <w:pPr>
              <w:ind w:left="120"/>
              <w:spacing w:after="0" w:line="182" w:lineRule="exact"/>
              <w:rPr>
                <w:sz w:val="20"/>
                <w:szCs w:val="20"/>
                <w:color w:val="auto"/>
              </w:rPr>
            </w:pPr>
            <w:r>
              <w:rPr>
                <w:rFonts w:ascii="Arial" w:cs="Arial" w:eastAsia="Arial" w:hAnsi="Arial"/>
                <w:sz w:val="18"/>
                <w:szCs w:val="18"/>
                <w:color w:val="0000FF"/>
                <w:w w:val="88"/>
              </w:rPr>
              <w:t>$16,823.70</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0000"/>
        </w:rPr>
        <w:t>Lessee shall pay its proportionate share of the Operating Expenses, Utilities and Trash during months of June 2022 through August 2022.</w:t>
      </w:r>
    </w:p>
    <w:p>
      <w:pPr>
        <w:spacing w:after="0" w:line="258" w:lineRule="exact"/>
        <w:rPr>
          <w:sz w:val="20"/>
          <w:szCs w:val="20"/>
          <w:color w:val="auto"/>
        </w:rPr>
      </w:pPr>
    </w:p>
    <w:p>
      <w:pPr>
        <w:ind w:left="480" w:hanging="368"/>
        <w:spacing w:after="0"/>
        <w:tabs>
          <w:tab w:leader="none" w:pos="480"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color w:val="auto"/>
        </w:rPr>
        <w:t>NOTICE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Unless specified otherwise herein, notice of any rental adjustments, other than Fixed Rental Adjustments, shall be made as specified in paragraph 23 of the Lease.</w:t>
      </w:r>
    </w:p>
    <w:p>
      <w:pPr>
        <w:spacing w:after="0" w:line="105" w:lineRule="exact"/>
        <w:rPr>
          <w:sz w:val="20"/>
          <w:szCs w:val="20"/>
          <w:color w:val="auto"/>
        </w:rPr>
      </w:pPr>
    </w:p>
    <w:p>
      <w:pPr>
        <w:ind w:left="500" w:hanging="389"/>
        <w:spacing w:after="0"/>
        <w:tabs>
          <w:tab w:leader="none" w:pos="500" w:val="left"/>
        </w:tabs>
        <w:numPr>
          <w:ilvl w:val="0"/>
          <w:numId w:val="165"/>
        </w:numPr>
        <w:rPr>
          <w:rFonts w:ascii="Arial" w:cs="Arial" w:eastAsia="Arial" w:hAnsi="Arial"/>
          <w:sz w:val="14"/>
          <w:szCs w:val="14"/>
          <w:b w:val="1"/>
          <w:bCs w:val="1"/>
          <w:color w:val="auto"/>
        </w:rPr>
      </w:pPr>
      <w:r>
        <w:rPr>
          <w:rFonts w:ascii="Arial" w:cs="Arial" w:eastAsia="Arial" w:hAnsi="Arial"/>
          <w:sz w:val="14"/>
          <w:szCs w:val="14"/>
          <w:b w:val="1"/>
          <w:bCs w:val="1"/>
          <w:color w:val="auto"/>
        </w:rPr>
        <w:t>BROKER'S FEE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Brokers shall be paid a Brokerage Fee for each adjustment specified above in accordance with paragraph 15 of the Lease or if applicable, paragraph 9 of the Sublease.</w:t>
      </w:r>
    </w:p>
    <w:p>
      <w:pPr>
        <w:spacing w:after="0" w:line="12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21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285115</wp:posOffset>
            </wp:positionH>
            <wp:positionV relativeFrom="page">
              <wp:posOffset>217805</wp:posOffset>
            </wp:positionV>
            <wp:extent cx="1303020" cy="4114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OPTION(S) TO EXTEND TERM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STANDARD LEASE ADDENDUM</w:t>
      </w:r>
    </w:p>
    <w:p>
      <w:pPr>
        <w:spacing w:after="0" w:line="158"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u w:val="single" w:color="auto"/>
          <w:color w:val="0000FF"/>
        </w:rPr>
        <w:t>March 4, 2022</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7"/>
          <w:szCs w:val="17"/>
          <w:u w:val="single" w:color="auto"/>
          <w:color w:val="0000FF"/>
        </w:rPr>
        <w:t>BML Management, LLC</w:t>
      </w:r>
    </w:p>
    <w:p>
      <w:pPr>
        <w:spacing w:after="0" w:line="9"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Lessee:</w:t>
      </w:r>
      <w:r>
        <w:rPr>
          <w:sz w:val="20"/>
          <w:szCs w:val="20"/>
          <w:color w:val="auto"/>
        </w:rPr>
        <w:tab/>
      </w:r>
      <w:r>
        <w:rPr>
          <w:rFonts w:ascii="Arial" w:cs="Arial" w:eastAsia="Arial" w:hAnsi="Arial"/>
          <w:sz w:val="16"/>
          <w:szCs w:val="16"/>
          <w:u w:val="single" w:color="auto"/>
          <w:color w:val="0000FF"/>
        </w:rPr>
        <w:t>RxSight, Inc.</w:t>
      </w:r>
    </w:p>
    <w:p>
      <w:pPr>
        <w:spacing w:after="0" w:line="31" w:lineRule="exact"/>
        <w:rPr>
          <w:sz w:val="20"/>
          <w:szCs w:val="20"/>
          <w:color w:val="auto"/>
        </w:rPr>
      </w:pPr>
    </w:p>
    <w:p>
      <w:pPr>
        <w:ind w:left="1040"/>
        <w:spacing w:after="0"/>
        <w:tabs>
          <w:tab w:leader="none" w:pos="2820" w:val="left"/>
        </w:tabs>
        <w:rPr>
          <w:sz w:val="20"/>
          <w:szCs w:val="20"/>
          <w:color w:val="auto"/>
        </w:rPr>
      </w:pPr>
      <w:r>
        <w:rPr>
          <w:rFonts w:ascii="Arial" w:cs="Arial" w:eastAsia="Arial" w:hAnsi="Arial"/>
          <w:sz w:val="18"/>
          <w:szCs w:val="18"/>
          <w:b w:val="1"/>
          <w:bCs w:val="1"/>
          <w:color w:val="auto"/>
        </w:rPr>
        <w:t>Property Address:</w:t>
      </w:r>
      <w:r>
        <w:rPr>
          <w:sz w:val="20"/>
          <w:szCs w:val="20"/>
          <w:color w:val="auto"/>
        </w:rPr>
        <w:tab/>
      </w:r>
      <w:r>
        <w:rPr>
          <w:rFonts w:ascii="Arial" w:cs="Arial" w:eastAsia="Arial" w:hAnsi="Arial"/>
          <w:sz w:val="16"/>
          <w:szCs w:val="16"/>
          <w:u w:val="single" w:color="auto"/>
          <w:color w:val="0000FF"/>
        </w:rPr>
        <w:t>125 Columbia, Suite B, Aliso Viejo, CA 92656</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(street address, city, state, zip)</w:t>
      </w:r>
    </w:p>
    <w:p>
      <w:pPr>
        <w:spacing w:after="0" w:line="169" w:lineRule="exact"/>
        <w:rPr>
          <w:sz w:val="20"/>
          <w:szCs w:val="20"/>
          <w:color w:val="auto"/>
        </w:rPr>
      </w:pPr>
    </w:p>
    <w:p>
      <w:pPr>
        <w:ind w:left="120" w:right="240"/>
        <w:spacing w:after="0" w:line="294" w:lineRule="auto"/>
        <w:rPr>
          <w:sz w:val="20"/>
          <w:szCs w:val="20"/>
          <w:color w:val="auto"/>
        </w:rPr>
      </w:pPr>
      <w:r>
        <w:rPr>
          <w:rFonts w:ascii="Arial" w:cs="Arial" w:eastAsia="Arial" w:hAnsi="Arial"/>
          <w:sz w:val="13"/>
          <w:szCs w:val="13"/>
          <w:color w:val="auto"/>
        </w:rPr>
        <w:t xml:space="preserve">Paragraph: </w:t>
      </w:r>
      <w:r>
        <w:rPr>
          <w:rFonts w:ascii="Arial" w:cs="Arial" w:eastAsia="Arial" w:hAnsi="Arial"/>
          <w:sz w:val="15"/>
          <w:szCs w:val="15"/>
          <w:color w:val="0000FF"/>
        </w:rPr>
        <w:t>51</w:t>
      </w:r>
      <w:r>
        <w:rPr>
          <w:rFonts w:ascii="Arial" w:cs="Arial" w:eastAsia="Arial" w:hAnsi="Arial"/>
          <w:sz w:val="13"/>
          <w:szCs w:val="13"/>
          <w:color w:val="auto"/>
        </w:rPr>
        <w:t xml:space="preserve"> </w:t>
      </w:r>
      <w:r>
        <w:rPr>
          <w:rFonts w:ascii="Arial" w:cs="Arial" w:eastAsia="Arial" w:hAnsi="Arial"/>
          <w:sz w:val="13"/>
          <w:szCs w:val="13"/>
          <w:b w:val="1"/>
          <w:bCs w:val="1"/>
          <w:color w:val="auto"/>
        </w:rPr>
        <w:t>OPTION(S) TO EXTEND TERM.</w:t>
      </w:r>
      <w:r>
        <w:rPr>
          <w:rFonts w:ascii="Arial" w:cs="Arial" w:eastAsia="Arial" w:hAnsi="Arial"/>
          <w:sz w:val="13"/>
          <w:szCs w:val="13"/>
          <w:color w:val="auto"/>
        </w:rPr>
        <w:t xml:space="preserve"> Subject to the terms, conditions and provisions of Paragraph 39, Lessor grants Lessee </w:t>
      </w:r>
      <w:r>
        <w:rPr>
          <w:rFonts w:ascii="Arial" w:cs="Arial" w:eastAsia="Arial" w:hAnsi="Arial"/>
          <w:sz w:val="15"/>
          <w:szCs w:val="15"/>
          <w:color w:val="0000FF"/>
        </w:rPr>
        <w:t>one (1)</w:t>
      </w:r>
      <w:r>
        <w:rPr>
          <w:rFonts w:ascii="Arial" w:cs="Arial" w:eastAsia="Arial" w:hAnsi="Arial"/>
          <w:sz w:val="13"/>
          <w:szCs w:val="13"/>
          <w:color w:val="auto"/>
        </w:rPr>
        <w:t xml:space="preserve"> option(s) to extend the term of the Lease ("</w:t>
      </w:r>
      <w:r>
        <w:rPr>
          <w:rFonts w:ascii="Arial" w:cs="Arial" w:eastAsia="Arial" w:hAnsi="Arial"/>
          <w:sz w:val="13"/>
          <w:szCs w:val="13"/>
          <w:b w:val="1"/>
          <w:bCs w:val="1"/>
          <w:color w:val="auto"/>
        </w:rPr>
        <w:t>Extension Option(s)</w:t>
      </w:r>
      <w:r>
        <w:rPr>
          <w:rFonts w:ascii="Arial" w:cs="Arial" w:eastAsia="Arial" w:hAnsi="Arial"/>
          <w:sz w:val="13"/>
          <w:szCs w:val="13"/>
          <w:color w:val="auto"/>
        </w:rPr>
        <w:t xml:space="preserve">"), with each Extension Option being for a term of </w:t>
      </w:r>
      <w:r>
        <w:rPr>
          <w:rFonts w:ascii="Arial" w:cs="Arial" w:eastAsia="Arial" w:hAnsi="Arial"/>
          <w:sz w:val="15"/>
          <w:szCs w:val="15"/>
          <w:u w:val="single" w:color="auto"/>
          <w:color w:val="0000FF"/>
        </w:rPr>
        <w:t>sixty (60)</w:t>
      </w:r>
      <w:r>
        <w:rPr>
          <w:rFonts w:ascii="Arial" w:cs="Arial" w:eastAsia="Arial" w:hAnsi="Arial"/>
          <w:sz w:val="13"/>
          <w:szCs w:val="13"/>
          <w:color w:val="auto"/>
        </w:rPr>
        <w:t xml:space="preserve"> months, commencing when the prior term expires ("</w:t>
      </w:r>
      <w:r>
        <w:rPr>
          <w:rFonts w:ascii="Arial" w:cs="Arial" w:eastAsia="Arial" w:hAnsi="Arial"/>
          <w:sz w:val="13"/>
          <w:szCs w:val="13"/>
          <w:b w:val="1"/>
          <w:bCs w:val="1"/>
          <w:color w:val="auto"/>
        </w:rPr>
        <w:t>Option Term(s)</w:t>
      </w:r>
      <w:r>
        <w:rPr>
          <w:rFonts w:ascii="Arial" w:cs="Arial" w:eastAsia="Arial" w:hAnsi="Arial"/>
          <w:sz w:val="13"/>
          <w:szCs w:val="13"/>
          <w:color w:val="auto"/>
        </w:rPr>
        <w:t xml:space="preserve">"). In order to exercise an Extension Option, Lessee must give written notice of such election to Lessor and Lessor must receive such notice at least </w:t>
      </w:r>
      <w:r>
        <w:rPr>
          <w:rFonts w:ascii="Arial" w:cs="Arial" w:eastAsia="Arial" w:hAnsi="Arial"/>
          <w:sz w:val="15"/>
          <w:szCs w:val="15"/>
          <w:u w:val="single" w:color="auto"/>
          <w:color w:val="0000FF"/>
        </w:rPr>
        <w:t>six (6)</w:t>
      </w:r>
      <w:r>
        <w:rPr>
          <w:rFonts w:ascii="Arial" w:cs="Arial" w:eastAsia="Arial" w:hAnsi="Arial"/>
          <w:sz w:val="13"/>
          <w:szCs w:val="13"/>
          <w:color w:val="auto"/>
        </w:rPr>
        <w:t xml:space="preserve"> but not more than </w:t>
      </w:r>
      <w:r>
        <w:rPr>
          <w:rFonts w:ascii="Arial" w:cs="Arial" w:eastAsia="Arial" w:hAnsi="Arial"/>
          <w:sz w:val="15"/>
          <w:szCs w:val="15"/>
          <w:u w:val="single" w:color="auto"/>
          <w:color w:val="0000FF"/>
        </w:rPr>
        <w:t>nine (9)</w:t>
      </w:r>
      <w:r>
        <w:rPr>
          <w:rFonts w:ascii="Arial" w:cs="Arial" w:eastAsia="Arial" w:hAnsi="Arial"/>
          <w:sz w:val="13"/>
          <w:szCs w:val="13"/>
          <w:color w:val="auto"/>
        </w:rPr>
        <w:t xml:space="preserve"> months prior to the date that the applicable Option Term would commence, time being of the essence. If timely and proper notification of the exercise of an Extension Option is not given by Lessee and/or received by Lessor, such Extension Option shall automatically expire. Except as specifically modified, the terms, conditions and provisions of the Lease shall apply during Option Terms but the amount of Rent during Option Terms shall be established by using the method(s) selected below </w:t>
      </w:r>
      <w:r>
        <w:rPr>
          <w:rFonts w:ascii="Arial" w:cs="Arial" w:eastAsia="Arial" w:hAnsi="Arial"/>
          <w:sz w:val="13"/>
          <w:szCs w:val="13"/>
          <w:i w:val="1"/>
          <w:iCs w:val="1"/>
          <w:color w:val="auto"/>
        </w:rPr>
        <w:t>(check method(s) to be used and</w:t>
      </w:r>
      <w:r>
        <w:rPr>
          <w:rFonts w:ascii="Arial" w:cs="Arial" w:eastAsia="Arial" w:hAnsi="Arial"/>
          <w:sz w:val="13"/>
          <w:szCs w:val="13"/>
          <w:color w:val="auto"/>
        </w:rPr>
        <w:t xml:space="preserve"> </w:t>
      </w:r>
      <w:r>
        <w:rPr>
          <w:rFonts w:ascii="Arial" w:cs="Arial" w:eastAsia="Arial" w:hAnsi="Arial"/>
          <w:sz w:val="13"/>
          <w:szCs w:val="13"/>
          <w:i w:val="1"/>
          <w:iCs w:val="1"/>
          <w:color w:val="auto"/>
        </w:rPr>
        <w:t>fill in appropriately)</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-629920</wp:posOffset>
            </wp:positionV>
            <wp:extent cx="2438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2">
                      <a:extLst>
                        <a:ext uri="{28A0092B-C50C-407E-A947-70E740481C1C}"/>
                      </a:extLst>
                    </a:blip>
                    <a:srcRect/>
                    <a:stretch>
                      <a:fillRect/>
                    </a:stretch>
                  </pic:blipFill>
                  <pic:spPr bwMode="auto">
                    <a:xfrm>
                      <a:off x="0" y="0"/>
                      <a:ext cx="24384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-629920</wp:posOffset>
            </wp:positionV>
            <wp:extent cx="41783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3">
                      <a:extLst>
                        <a:ext uri="{28A0092B-C50C-407E-A947-70E740481C1C}"/>
                      </a:extLst>
                    </a:blip>
                    <a:srcRect/>
                    <a:stretch>
                      <a:fillRect/>
                    </a:stretch>
                  </pic:blipFill>
                  <pic:spPr bwMode="auto">
                    <a:xfrm>
                      <a:off x="0" y="0"/>
                      <a:ext cx="417830" cy="8890"/>
                    </a:xfrm>
                    <a:prstGeom prst="rect">
                      <a:avLst/>
                    </a:prstGeom>
                    <a:noFill/>
                  </pic:spPr>
                </pic:pic>
              </a:graphicData>
            </a:graphic>
          </wp:anchor>
        </w:drawing>
      </w:r>
    </w:p>
    <w:p>
      <w:pPr>
        <w:spacing w:after="0" w:line="84" w:lineRule="exact"/>
        <w:rPr>
          <w:sz w:val="20"/>
          <w:szCs w:val="20"/>
          <w:color w:val="auto"/>
        </w:rPr>
      </w:pPr>
    </w:p>
    <w:p>
      <w:pPr>
        <w:ind w:left="860" w:hanging="422"/>
        <w:spacing w:after="0"/>
        <w:tabs>
          <w:tab w:leader="none" w:pos="860" w:val="left"/>
        </w:tabs>
        <w:numPr>
          <w:ilvl w:val="0"/>
          <w:numId w:val="166"/>
        </w:numPr>
        <w:rPr>
          <w:rFonts w:ascii="Arial" w:cs="Arial" w:eastAsia="Arial" w:hAnsi="Arial"/>
          <w:sz w:val="14"/>
          <w:szCs w:val="14"/>
          <w:b w:val="1"/>
          <w:bCs w:val="1"/>
          <w:color w:val="auto"/>
        </w:rPr>
      </w:pPr>
      <w:r>
        <w:rPr>
          <w:rFonts w:ascii="Arial" w:cs="Arial" w:eastAsia="Arial" w:hAnsi="Arial"/>
          <w:sz w:val="14"/>
          <w:szCs w:val="14"/>
          <w:b w:val="1"/>
          <w:bCs w:val="1"/>
          <w:color w:val="auto"/>
        </w:rPr>
        <w:t>Consumer Price Index.</w:t>
      </w:r>
    </w:p>
    <w:p>
      <w:pPr>
        <w:spacing w:after="0" w:line="25" w:lineRule="exact"/>
        <w:rPr>
          <w:sz w:val="20"/>
          <w:szCs w:val="20"/>
          <w:color w:val="auto"/>
        </w:rPr>
      </w:pPr>
    </w:p>
    <w:p>
      <w:pPr>
        <w:ind w:left="120" w:right="200" w:firstLine="374"/>
        <w:spacing w:after="0" w:line="297" w:lineRule="auto"/>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During the Option Term(s) which start(s) on , the monthly Base Rent shall be increased on and every months thereafter during such Option Term(s) ("</w:t>
      </w:r>
      <w:r>
        <w:rPr>
          <w:rFonts w:ascii="Arial" w:cs="Arial" w:eastAsia="Arial" w:hAnsi="Arial"/>
          <w:sz w:val="13"/>
          <w:szCs w:val="13"/>
          <w:b w:val="1"/>
          <w:bCs w:val="1"/>
          <w:color w:val="auto"/>
        </w:rPr>
        <w:t>Option Term CPI Increase Date(s)</w:t>
      </w:r>
      <w:r>
        <w:rPr>
          <w:rFonts w:ascii="Arial" w:cs="Arial" w:eastAsia="Arial" w:hAnsi="Arial"/>
          <w:sz w:val="13"/>
          <w:szCs w:val="13"/>
          <w:color w:val="auto"/>
        </w:rPr>
        <w:t>") commensurate with the increase in the Option Term CPI (as herein defined) determined as follows: the monthly Base Rent scheduled for the month immediately</w:t>
      </w:r>
      <w:r>
        <w:rPr>
          <w:rFonts w:ascii="Arial" w:cs="Arial" w:eastAsia="Arial" w:hAnsi="Arial"/>
          <w:sz w:val="13"/>
          <w:szCs w:val="13"/>
          <w:b w:val="1"/>
          <w:bCs w:val="1"/>
          <w:color w:val="auto"/>
        </w:rPr>
        <w:t xml:space="preserve"> </w:t>
      </w:r>
      <w:r>
        <w:rPr>
          <w:rFonts w:ascii="Arial" w:cs="Arial" w:eastAsia="Arial" w:hAnsi="Arial"/>
          <w:sz w:val="13"/>
          <w:szCs w:val="13"/>
          <w:color w:val="auto"/>
        </w:rPr>
        <w:t>preceding the first occurring Option Term CPI Increase Date shall be multiplied by a fraction the denominator of which is the Option Term Base CPI (as herein defined), and the numerator of which is the Option Term Comparison CPI (as herein defined). The amount so calculated shall constitute the new Base Rent until the next Option Term CPI Increase Date during the applicable Option Term, but in no event shall any such new Base Rent be less than the Base Rent for the month immediately preceding the applicable Option Term CPI Increase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-484505</wp:posOffset>
            </wp:positionV>
            <wp:extent cx="1625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-484505</wp:posOffset>
            </wp:positionV>
            <wp:extent cx="1600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5">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-484505</wp:posOffset>
            </wp:positionV>
            <wp:extent cx="1905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6">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12" w:lineRule="exact"/>
        <w:rPr>
          <w:sz w:val="20"/>
          <w:szCs w:val="20"/>
          <w:color w:val="auto"/>
        </w:rPr>
      </w:pPr>
    </w:p>
    <w:p>
      <w:pPr>
        <w:ind w:left="860" w:hanging="374"/>
        <w:spacing w:after="0"/>
        <w:tabs>
          <w:tab w:leader="none" w:pos="860" w:val="left"/>
        </w:tabs>
        <w:numPr>
          <w:ilvl w:val="0"/>
          <w:numId w:val="167"/>
        </w:numPr>
        <w:rPr>
          <w:rFonts w:ascii="Arial" w:cs="Arial" w:eastAsia="Arial" w:hAnsi="Arial"/>
          <w:sz w:val="14"/>
          <w:szCs w:val="14"/>
          <w:b w:val="1"/>
          <w:bCs w:val="1"/>
          <w:color w:val="auto"/>
        </w:rPr>
      </w:pPr>
      <w:r>
        <w:rPr>
          <w:rFonts w:ascii="Arial" w:cs="Arial" w:eastAsia="Arial" w:hAnsi="Arial"/>
          <w:sz w:val="14"/>
          <w:szCs w:val="14"/>
          <w:color w:val="auto"/>
        </w:rPr>
        <w:t>The term "</w:t>
      </w:r>
      <w:r>
        <w:rPr>
          <w:rFonts w:ascii="Arial" w:cs="Arial" w:eastAsia="Arial" w:hAnsi="Arial"/>
          <w:sz w:val="14"/>
          <w:szCs w:val="14"/>
          <w:b w:val="1"/>
          <w:bCs w:val="1"/>
          <w:color w:val="auto"/>
        </w:rPr>
        <w:t>Option Term CPI</w:t>
      </w:r>
      <w:r>
        <w:rPr>
          <w:rFonts w:ascii="Arial" w:cs="Arial" w:eastAsia="Arial" w:hAnsi="Arial"/>
          <w:sz w:val="14"/>
          <w:szCs w:val="14"/>
          <w:color w:val="auto"/>
        </w:rPr>
        <w:t xml:space="preserve">" shall mean the Consumer Price Index of the Bureau of Labor Statistics of the U.S. Department of Labor for </w:t>
      </w:r>
      <w:r>
        <w:rPr>
          <w:rFonts w:ascii="Arial" w:cs="Arial" w:eastAsia="Arial" w:hAnsi="Arial"/>
          <w:sz w:val="14"/>
          <w:szCs w:val="14"/>
          <w:i w:val="1"/>
          <w:iCs w:val="1"/>
          <w:color w:val="auto"/>
        </w:rPr>
        <w:t>(select one)</w:t>
      </w:r>
      <w:r>
        <w:rPr>
          <w:rFonts w:ascii="Arial" w:cs="Arial" w:eastAsia="Arial" w:hAnsi="Arial"/>
          <w:sz w:val="14"/>
          <w:szCs w:val="14"/>
          <w:color w:val="auto"/>
        </w:rPr>
        <w:t>:</w:t>
      </w:r>
    </w:p>
    <w:p>
      <w:pPr>
        <w:spacing w:after="0" w:line="100" w:lineRule="exact"/>
        <w:rPr>
          <w:sz w:val="20"/>
          <w:szCs w:val="20"/>
          <w:color w:val="auto"/>
        </w:rPr>
      </w:pPr>
    </w:p>
    <w:p>
      <w:pPr>
        <w:ind w:left="120" w:right="460"/>
        <w:spacing w:after="0" w:line="299" w:lineRule="auto"/>
        <w:rPr>
          <w:sz w:val="20"/>
          <w:szCs w:val="20"/>
          <w:color w:val="auto"/>
        </w:rPr>
      </w:pPr>
      <w:r>
        <w:rPr>
          <w:rFonts w:ascii="Arial" w:cs="Arial" w:eastAsia="Arial" w:hAnsi="Arial"/>
          <w:sz w:val="14"/>
          <w:szCs w:val="14"/>
          <w:color w:val="auto"/>
        </w:rPr>
        <w:t>CPI W (Urban Wage Earners and Clerical Workers) or CPI U (All Urban Consumers), for (</w:t>
      </w:r>
      <w:r>
        <w:rPr>
          <w:rFonts w:ascii="Arial" w:cs="Arial" w:eastAsia="Arial" w:hAnsi="Arial"/>
          <w:sz w:val="14"/>
          <w:szCs w:val="14"/>
          <w:i w:val="1"/>
          <w:iCs w:val="1"/>
          <w:color w:val="auto"/>
        </w:rPr>
        <w:t>fill in Urban Area</w:t>
      </w:r>
      <w:r>
        <w:rPr>
          <w:rFonts w:ascii="Arial" w:cs="Arial" w:eastAsia="Arial" w:hAnsi="Arial"/>
          <w:sz w:val="14"/>
          <w:szCs w:val="14"/>
          <w:color w:val="auto"/>
        </w:rPr>
        <w:t>): or the area in which the Premises is located, All Items (19821984 = 100). The term "</w:t>
      </w:r>
      <w:r>
        <w:rPr>
          <w:rFonts w:ascii="Arial" w:cs="Arial" w:eastAsia="Arial" w:hAnsi="Arial"/>
          <w:sz w:val="14"/>
          <w:szCs w:val="14"/>
          <w:b w:val="1"/>
          <w:bCs w:val="1"/>
          <w:color w:val="auto"/>
        </w:rPr>
        <w:t>Option Term Comparison CPI</w:t>
      </w:r>
      <w:r>
        <w:rPr>
          <w:rFonts w:ascii="Arial" w:cs="Arial" w:eastAsia="Arial" w:hAnsi="Arial"/>
          <w:sz w:val="14"/>
          <w:szCs w:val="14"/>
          <w:color w:val="auto"/>
        </w:rPr>
        <w:t>" shall mean the CPI of the calendar month which is 2 full months prior to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-153670</wp:posOffset>
            </wp:positionV>
            <wp:extent cx="1657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7">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Option Term CPI Increase Date. The term "</w:t>
      </w:r>
      <w:r>
        <w:rPr>
          <w:rFonts w:ascii="Arial" w:cs="Arial" w:eastAsia="Arial" w:hAnsi="Arial"/>
          <w:sz w:val="14"/>
          <w:szCs w:val="14"/>
          <w:b w:val="1"/>
          <w:bCs w:val="1"/>
          <w:color w:val="auto"/>
        </w:rPr>
        <w:t>Option Term Base CPI</w:t>
      </w:r>
      <w:r>
        <w:rPr>
          <w:rFonts w:ascii="Arial" w:cs="Arial" w:eastAsia="Arial" w:hAnsi="Arial"/>
          <w:sz w:val="14"/>
          <w:szCs w:val="14"/>
          <w:color w:val="auto"/>
        </w:rPr>
        <w:t>" shall mean the CPI of the calendar month which is 2 full months prior to (</w:t>
      </w:r>
      <w:r>
        <w:rPr>
          <w:rFonts w:ascii="Arial" w:cs="Arial" w:eastAsia="Arial" w:hAnsi="Arial"/>
          <w:sz w:val="14"/>
          <w:szCs w:val="14"/>
          <w:i w:val="1"/>
          <w:iCs w:val="1"/>
          <w:color w:val="auto"/>
        </w:rPr>
        <w:t>select one</w:t>
      </w:r>
      <w:r>
        <w:rPr>
          <w:rFonts w:ascii="Arial" w:cs="Arial" w:eastAsia="Arial" w:hAnsi="Arial"/>
          <w:sz w:val="14"/>
          <w:szCs w:val="14"/>
          <w:color w:val="auto"/>
        </w:rPr>
        <w:t>):</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Commencement Date of the Original Term, start of the applicable Option Term, or  (</w:t>
      </w:r>
      <w:r>
        <w:rPr>
          <w:rFonts w:ascii="Arial" w:cs="Arial" w:eastAsia="Arial" w:hAnsi="Arial"/>
          <w:sz w:val="14"/>
          <w:szCs w:val="14"/>
          <w:i w:val="1"/>
          <w:iCs w:val="1"/>
          <w:color w:val="auto"/>
        </w:rPr>
        <w:t>fill in month</w:t>
      </w: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-2540</wp:posOffset>
            </wp:positionV>
            <wp:extent cx="457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8">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0" w:lineRule="exact"/>
        <w:rPr>
          <w:sz w:val="20"/>
          <w:szCs w:val="20"/>
          <w:color w:val="auto"/>
        </w:rPr>
      </w:pPr>
    </w:p>
    <w:p>
      <w:pPr>
        <w:ind w:left="120" w:right="220" w:firstLine="367"/>
        <w:spacing w:after="0" w:line="272" w:lineRule="auto"/>
        <w:tabs>
          <w:tab w:leader="none" w:pos="862" w:val="left"/>
        </w:tabs>
        <w:numPr>
          <w:ilvl w:val="0"/>
          <w:numId w:val="168"/>
        </w:numPr>
        <w:rPr>
          <w:rFonts w:ascii="Arial" w:cs="Arial" w:eastAsia="Arial" w:hAnsi="Arial"/>
          <w:sz w:val="14"/>
          <w:szCs w:val="14"/>
          <w:b w:val="1"/>
          <w:bCs w:val="1"/>
          <w:color w:val="auto"/>
        </w:rPr>
      </w:pPr>
      <w:r>
        <w:rPr>
          <w:rFonts w:ascii="Arial" w:cs="Arial" w:eastAsia="Arial" w:hAnsi="Arial"/>
          <w:sz w:val="14"/>
          <w:szCs w:val="14"/>
          <w:color w:val="auto"/>
        </w:rPr>
        <w:t>If compilation and/or publication of the CPI is transferred to another governmental department, bureau or agency or is discontinued, then instead the index most nearly the same as the CPI shall be used to calculate the Base Rent increases hereunder. If the Parties cannot agree on such alternative index, then the matter shall be submitted for decision to the American Arbitration Association in accordance with the then rules of said association and the decision of the arbitrators shall be binding upon the parties, with the cost of such arbitration being paid equally by the Parties.</w:t>
      </w:r>
    </w:p>
    <w:p>
      <w:pPr>
        <w:spacing w:after="0" w:line="144" w:lineRule="exact"/>
        <w:rPr>
          <w:sz w:val="20"/>
          <w:szCs w:val="20"/>
          <w:color w:val="auto"/>
        </w:rPr>
      </w:pPr>
    </w:p>
    <w:p>
      <w:pPr>
        <w:ind w:left="440"/>
        <w:spacing w:after="0"/>
        <w:tabs>
          <w:tab w:leader="none" w:pos="840" w:val="left"/>
          <w:tab w:leader="none" w:pos="7460" w:val="left"/>
        </w:tabs>
        <w:rPr>
          <w:sz w:val="20"/>
          <w:szCs w:val="20"/>
          <w:color w:val="auto"/>
        </w:rPr>
      </w:pPr>
      <w:r>
        <w:rPr>
          <w:rFonts w:ascii="Arial" w:cs="Arial" w:eastAsia="Arial" w:hAnsi="Arial"/>
          <w:sz w:val="14"/>
          <w:szCs w:val="14"/>
          <w:b w:val="1"/>
          <w:bCs w:val="1"/>
          <w:color w:val="auto"/>
        </w:rPr>
        <w:t>II.</w:t>
      </w:r>
      <w:r>
        <w:rPr>
          <w:sz w:val="20"/>
          <w:szCs w:val="20"/>
          <w:color w:val="auto"/>
        </w:rPr>
        <w:tab/>
      </w:r>
      <w:r>
        <w:rPr>
          <w:rFonts w:ascii="Arial" w:cs="Arial" w:eastAsia="Arial" w:hAnsi="Arial"/>
          <w:sz w:val="14"/>
          <w:szCs w:val="14"/>
          <w:b w:val="1"/>
          <w:bCs w:val="1"/>
          <w:color w:val="auto"/>
        </w:rPr>
        <w:t xml:space="preserve">Fixed Percentage. </w:t>
      </w:r>
      <w:r>
        <w:rPr>
          <w:rFonts w:ascii="Arial" w:cs="Arial" w:eastAsia="Arial" w:hAnsi="Arial"/>
          <w:sz w:val="14"/>
          <w:szCs w:val="14"/>
          <w:color w:val="auto"/>
        </w:rPr>
        <w:t>During the Option Term(s) which start(s) on , the monthly Base Rent shall be increased on</w:t>
      </w:r>
      <w:r>
        <w:rPr>
          <w:sz w:val="20"/>
          <w:szCs w:val="20"/>
          <w:color w:val="auto"/>
        </w:rPr>
        <w:tab/>
      </w:r>
      <w:r>
        <w:rPr>
          <w:rFonts w:ascii="Arial" w:cs="Arial" w:eastAsia="Arial" w:hAnsi="Arial"/>
          <w:sz w:val="12"/>
          <w:szCs w:val="12"/>
          <w:color w:val="auto"/>
        </w:rPr>
        <w:t>and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-1270</wp:posOffset>
            </wp:positionV>
            <wp:extent cx="463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9">
                      <a:extLst>
                        <a:ext uri="{28A0092B-C50C-407E-A947-70E740481C1C}"/>
                      </a:extLst>
                    </a:blip>
                    <a:srcRect/>
                    <a:stretch>
                      <a:fillRect/>
                    </a:stretch>
                  </pic:blipFill>
                  <pic:spPr bwMode="auto">
                    <a:xfrm>
                      <a:off x="0" y="0"/>
                      <a:ext cx="46355" cy="8890"/>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-1270</wp:posOffset>
            </wp:positionV>
            <wp:extent cx="1600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0">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pacing w:after="0" w:line="17" w:lineRule="exact"/>
        <w:rPr>
          <w:sz w:val="20"/>
          <w:szCs w:val="20"/>
          <w:color w:val="auto"/>
        </w:rPr>
      </w:pPr>
    </w:p>
    <w:p>
      <w:pPr>
        <w:ind w:left="120" w:right="760" w:firstLine="324"/>
        <w:spacing w:after="0" w:line="305" w:lineRule="auto"/>
        <w:rPr>
          <w:sz w:val="20"/>
          <w:szCs w:val="20"/>
          <w:color w:val="auto"/>
        </w:rPr>
      </w:pPr>
      <w:r>
        <w:rPr>
          <w:rFonts w:ascii="Arial" w:cs="Arial" w:eastAsia="Arial" w:hAnsi="Arial"/>
          <w:sz w:val="14"/>
          <w:szCs w:val="14"/>
          <w:color w:val="auto"/>
        </w:rPr>
        <w:t>months thereafter during such Option Term(s) ("</w:t>
      </w:r>
      <w:r>
        <w:rPr>
          <w:rFonts w:ascii="Arial" w:cs="Arial" w:eastAsia="Arial" w:hAnsi="Arial"/>
          <w:sz w:val="14"/>
          <w:szCs w:val="14"/>
          <w:b w:val="1"/>
          <w:bCs w:val="1"/>
          <w:color w:val="auto"/>
        </w:rPr>
        <w:t>Option Term Percentage Increase Date(s)"</w:t>
      </w:r>
      <w:r>
        <w:rPr>
          <w:rFonts w:ascii="Arial" w:cs="Arial" w:eastAsia="Arial" w:hAnsi="Arial"/>
          <w:sz w:val="14"/>
          <w:szCs w:val="14"/>
          <w:color w:val="auto"/>
        </w:rPr>
        <w:t>) by percent ( %) of the monthly Base Rent scheduled to be paid for the month immediately preceding the applicable Option Term Percentage Increase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-156210</wp:posOffset>
            </wp:positionV>
            <wp:extent cx="1828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1">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-156210</wp:posOffset>
            </wp:positionV>
            <wp:extent cx="6286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2">
                      <a:extLst>
                        <a:ext uri="{28A0092B-C50C-407E-A947-70E740481C1C}"/>
                      </a:extLst>
                    </a:blip>
                    <a:srcRect/>
                    <a:stretch>
                      <a:fillRect/>
                    </a:stretch>
                  </pic:blipFill>
                  <pic:spPr bwMode="auto">
                    <a:xfrm>
                      <a:off x="0" y="0"/>
                      <a:ext cx="6286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-156210</wp:posOffset>
            </wp:positionV>
            <wp:extent cx="431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4" w:lineRule="exact"/>
        <w:rPr>
          <w:sz w:val="20"/>
          <w:szCs w:val="20"/>
          <w:color w:val="auto"/>
        </w:rPr>
      </w:pPr>
    </w:p>
    <w:p>
      <w:pPr>
        <w:ind w:left="860" w:hanging="422"/>
        <w:spacing w:after="0"/>
        <w:tabs>
          <w:tab w:leader="none" w:pos="860" w:val="left"/>
        </w:tabs>
        <w:numPr>
          <w:ilvl w:val="0"/>
          <w:numId w:val="169"/>
        </w:numPr>
        <w:rPr>
          <w:rFonts w:ascii="Arial" w:cs="Arial" w:eastAsia="Arial" w:hAnsi="Arial"/>
          <w:sz w:val="14"/>
          <w:szCs w:val="14"/>
          <w:b w:val="1"/>
          <w:bCs w:val="1"/>
          <w:color w:val="auto"/>
        </w:rPr>
      </w:pPr>
      <w:r>
        <w:rPr>
          <w:rFonts w:ascii="Arial" w:cs="Arial" w:eastAsia="Arial" w:hAnsi="Arial"/>
          <w:sz w:val="14"/>
          <w:szCs w:val="14"/>
          <w:b w:val="1"/>
          <w:bCs w:val="1"/>
          <w:color w:val="auto"/>
        </w:rPr>
        <w:t>Fair Market Value.</w:t>
      </w:r>
    </w:p>
    <w:p>
      <w:pPr>
        <w:spacing w:after="0" w:line="25" w:lineRule="exact"/>
        <w:rPr>
          <w:rFonts w:ascii="Arial" w:cs="Arial" w:eastAsia="Arial" w:hAnsi="Arial"/>
          <w:sz w:val="14"/>
          <w:szCs w:val="14"/>
          <w:b w:val="1"/>
          <w:bCs w:val="1"/>
          <w:color w:val="auto"/>
        </w:rPr>
      </w:pPr>
    </w:p>
    <w:p>
      <w:pPr>
        <w:ind w:left="120" w:right="160" w:firstLine="366"/>
        <w:spacing w:after="0" w:line="259" w:lineRule="auto"/>
        <w:tabs>
          <w:tab w:leader="none" w:pos="864" w:val="left"/>
        </w:tabs>
        <w:numPr>
          <w:ilvl w:val="1"/>
          <w:numId w:val="169"/>
        </w:numPr>
        <w:rPr>
          <w:rFonts w:ascii="Arial" w:cs="Arial" w:eastAsia="Arial" w:hAnsi="Arial"/>
          <w:sz w:val="14"/>
          <w:szCs w:val="14"/>
          <w:b w:val="1"/>
          <w:bCs w:val="1"/>
          <w:color w:val="auto"/>
        </w:rPr>
      </w:pPr>
      <w:r>
        <w:rPr>
          <w:rFonts w:ascii="Arial" w:cs="Arial" w:eastAsia="Arial" w:hAnsi="Arial"/>
          <w:sz w:val="14"/>
          <w:szCs w:val="14"/>
          <w:color w:val="auto"/>
        </w:rPr>
        <w:t xml:space="preserve">During the Option Term(s) which start(s) on </w:t>
      </w:r>
      <w:r>
        <w:rPr>
          <w:rFonts w:ascii="Arial" w:cs="Arial" w:eastAsia="Arial" w:hAnsi="Arial"/>
          <w:sz w:val="17"/>
          <w:szCs w:val="17"/>
          <w:u w:val="single" w:color="auto"/>
          <w:color w:val="0000FF"/>
        </w:rPr>
        <w:t>September 1, 2024</w:t>
      </w:r>
      <w:r>
        <w:rPr>
          <w:rFonts w:ascii="Arial" w:cs="Arial" w:eastAsia="Arial" w:hAnsi="Arial"/>
          <w:sz w:val="14"/>
          <w:szCs w:val="14"/>
          <w:color w:val="auto"/>
        </w:rPr>
        <w:t xml:space="preserve"> , the amount of Rent shall be the amount forecasted to be the fair market rental value of the Premises during such Option Term established pursuant to the procedures, terms, assumptions and conditions set forth herein ("</w:t>
      </w:r>
      <w:r>
        <w:rPr>
          <w:rFonts w:ascii="Arial" w:cs="Arial" w:eastAsia="Arial" w:hAnsi="Arial"/>
          <w:sz w:val="14"/>
          <w:szCs w:val="14"/>
          <w:b w:val="1"/>
          <w:bCs w:val="1"/>
          <w:color w:val="auto"/>
        </w:rPr>
        <w:t>Fair Market Value</w:t>
      </w:r>
      <w:r>
        <w:rPr>
          <w:rFonts w:ascii="Arial" w:cs="Arial" w:eastAsia="Arial" w:hAnsi="Arial"/>
          <w:sz w:val="14"/>
          <w:szCs w:val="14"/>
          <w:color w:val="auto"/>
        </w:rPr>
        <w:t>"); provided, however, regardless of such Fair Market Value, Base Rent during an Option Term shall not be less than the Base Rent scheduled as of when the prior term expires. Starting as of Lessee's exercise of the applicable Extension Option (but not earlier than six (6) months before start of the applicable Option Term), the Parties shall for thirty (30) days ("</w:t>
      </w:r>
      <w:r>
        <w:rPr>
          <w:rFonts w:ascii="Arial" w:cs="Arial" w:eastAsia="Arial" w:hAnsi="Arial"/>
          <w:sz w:val="14"/>
          <w:szCs w:val="14"/>
          <w:b w:val="1"/>
          <w:bCs w:val="1"/>
          <w:color w:val="auto"/>
        </w:rPr>
        <w:t>Negotiation Period</w:t>
      </w:r>
      <w:r>
        <w:rPr>
          <w:rFonts w:ascii="Arial" w:cs="Arial" w:eastAsia="Arial" w:hAnsi="Arial"/>
          <w:sz w:val="14"/>
          <w:szCs w:val="14"/>
          <w:color w:val="auto"/>
        </w:rPr>
        <w:t>") attempt to agree upon the Fair Market Value. If during the Negotiation Period the Parties do not agree on the Fair Market Value, then the Fair Market Value shall be established pursuant to the procedures set forth herein, which shall be binding.</w:t>
      </w:r>
    </w:p>
    <w:p>
      <w:pPr>
        <w:ind w:left="860" w:hanging="373"/>
        <w:spacing w:after="0"/>
        <w:tabs>
          <w:tab w:leader="none" w:pos="860" w:val="left"/>
        </w:tabs>
        <w:numPr>
          <w:ilvl w:val="1"/>
          <w:numId w:val="169"/>
        </w:numPr>
        <w:rPr>
          <w:rFonts w:ascii="Arial" w:cs="Arial" w:eastAsia="Arial" w:hAnsi="Arial"/>
          <w:sz w:val="14"/>
          <w:szCs w:val="14"/>
          <w:b w:val="1"/>
          <w:bCs w:val="1"/>
          <w:color w:val="auto"/>
        </w:rPr>
      </w:pPr>
      <w:r>
        <w:rPr>
          <w:rFonts w:ascii="Arial" w:cs="Arial" w:eastAsia="Arial" w:hAnsi="Arial"/>
          <w:sz w:val="14"/>
          <w:szCs w:val="14"/>
          <w:color w:val="auto"/>
        </w:rPr>
        <w:t>Each Party shall, within fifteen (15) days after the end of the Negotiation Period, in writing submit to the other Party such Party's determination of the Fair Market Value</w:t>
      </w:r>
    </w:p>
    <w:p>
      <w:pPr>
        <w:spacing w:after="0" w:line="15" w:lineRule="exact"/>
        <w:rPr>
          <w:sz w:val="20"/>
          <w:szCs w:val="20"/>
          <w:color w:val="auto"/>
        </w:rPr>
      </w:pPr>
    </w:p>
    <w:p>
      <w:pPr>
        <w:ind w:left="120" w:right="28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Submitted Value(s)</w:t>
      </w:r>
      <w:r>
        <w:rPr>
          <w:rFonts w:ascii="Arial" w:cs="Arial" w:eastAsia="Arial" w:hAnsi="Arial"/>
          <w:sz w:val="14"/>
          <w:szCs w:val="14"/>
          <w:color w:val="auto"/>
        </w:rPr>
        <w:t>"). If a Party fails to timely provide a Submitted Value, then the other Party's Submitted Value shall be the Fair Market Value. If both Parties timely provide Submitted Values, then each Party shall, within fifteen (15) days after both Parties have exchanged Submitted Values, in writing notify the other Party of such Party's selected arbitrator who shall meet the qualifications set forth herein ("</w:t>
      </w:r>
      <w:r>
        <w:rPr>
          <w:rFonts w:ascii="Arial" w:cs="Arial" w:eastAsia="Arial" w:hAnsi="Arial"/>
          <w:sz w:val="14"/>
          <w:szCs w:val="14"/>
          <w:b w:val="1"/>
          <w:bCs w:val="1"/>
          <w:color w:val="auto"/>
        </w:rPr>
        <w:t>Advocate Arbitrator(s)</w:t>
      </w:r>
      <w:r>
        <w:rPr>
          <w:rFonts w:ascii="Arial" w:cs="Arial" w:eastAsia="Arial" w:hAnsi="Arial"/>
          <w:sz w:val="14"/>
          <w:szCs w:val="14"/>
          <w:color w:val="auto"/>
        </w:rPr>
        <w:t>"). Lessor and Lessee may select an Advocate Arbitrator who is favorable to such Party's position and may, prior to or after appointment of an Advocate Arbitrator, consult with such Party's Advocate Arbitrator. If a Party fails to timely and properly provide notice of such Party's chosen Advocate Arbitrator, then the other Party's Submitted Value shall be the Fair Market Value.</w:t>
      </w:r>
    </w:p>
    <w:p>
      <w:pPr>
        <w:spacing w:after="0" w:line="2" w:lineRule="exact"/>
        <w:rPr>
          <w:sz w:val="20"/>
          <w:szCs w:val="20"/>
          <w:color w:val="auto"/>
        </w:rPr>
      </w:pPr>
    </w:p>
    <w:p>
      <w:pPr>
        <w:ind w:left="120" w:right="640" w:firstLine="366"/>
        <w:spacing w:after="0" w:line="253" w:lineRule="auto"/>
        <w:tabs>
          <w:tab w:leader="none" w:pos="858" w:val="left"/>
        </w:tabs>
        <w:numPr>
          <w:ilvl w:val="0"/>
          <w:numId w:val="170"/>
        </w:numPr>
        <w:rPr>
          <w:rFonts w:ascii="Arial" w:cs="Arial" w:eastAsia="Arial" w:hAnsi="Arial"/>
          <w:sz w:val="14"/>
          <w:szCs w:val="14"/>
          <w:b w:val="1"/>
          <w:bCs w:val="1"/>
          <w:color w:val="auto"/>
        </w:rPr>
      </w:pPr>
      <w:r>
        <w:rPr>
          <w:rFonts w:ascii="Arial" w:cs="Arial" w:eastAsia="Arial" w:hAnsi="Arial"/>
          <w:sz w:val="14"/>
          <w:szCs w:val="14"/>
          <w:color w:val="auto"/>
        </w:rPr>
        <w:t>If both Parties timely and properly designate Advocate Arbitrators, then such Advocate Arbitrators shall, within fifteen (15) days after their selection, choose a third (3rd) neutral arbitrator who shall meet the qualifications set forth herein ("</w:t>
      </w:r>
      <w:r>
        <w:rPr>
          <w:rFonts w:ascii="Arial" w:cs="Arial" w:eastAsia="Arial" w:hAnsi="Arial"/>
          <w:sz w:val="14"/>
          <w:szCs w:val="14"/>
          <w:b w:val="1"/>
          <w:bCs w:val="1"/>
          <w:color w:val="auto"/>
        </w:rPr>
        <w:t>Neutral Arbitrator</w:t>
      </w:r>
      <w:r>
        <w:rPr>
          <w:rFonts w:ascii="Arial" w:cs="Arial" w:eastAsia="Arial" w:hAnsi="Arial"/>
          <w:sz w:val="14"/>
          <w:szCs w:val="14"/>
          <w:color w:val="auto"/>
        </w:rPr>
        <w:t>"). The Neutral Arbitrator shall be engaged jointly by</w:t>
      </w:r>
    </w:p>
    <w:p>
      <w:pPr>
        <w:spacing w:after="0" w:line="229" w:lineRule="auto"/>
        <w:rPr>
          <w:sz w:val="20"/>
          <w:szCs w:val="20"/>
          <w:color w:val="auto"/>
        </w:rPr>
      </w:pPr>
      <w:r>
        <w:rPr>
          <w:rFonts w:ascii="Arial" w:cs="Arial" w:eastAsia="Arial" w:hAnsi="Arial"/>
          <w:sz w:val="16"/>
          <w:szCs w:val="16"/>
          <w:color w:val="auto"/>
        </w:rPr>
        <w:t>INITIALS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185" w:name="page186"/>
    <w:bookmarkEnd w:id="185"/>
    <w:p>
      <w:pPr>
        <w:ind w:left="120" w:right="480"/>
        <w:spacing w:after="0" w:line="293" w:lineRule="auto"/>
        <w:rPr>
          <w:sz w:val="20"/>
          <w:szCs w:val="20"/>
          <w:color w:val="auto"/>
        </w:rPr>
      </w:pPr>
      <w:r>
        <w:rPr>
          <w:rFonts w:ascii="Arial" w:cs="Arial" w:eastAsia="Arial" w:hAnsi="Arial"/>
          <w:sz w:val="14"/>
          <w:szCs w:val="14"/>
          <w:color w:val="auto"/>
        </w:rPr>
        <w:t>Lessor and Lessee. If Advocate Arbitrators fail to agree upon and timely appoint a Neutral Arbitrator, then the President of AIR CRE shall appoint such Neutral Arbitrator within fifteen (15) days after request by either Party. If the President of AIR CRE does not timely appoint the Neutral Arbitrator, then either Party may file</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 appropriate legal action for a judge with competent jurisdiction over the Parties to appoint the Neutral Arbitrator.</w:t>
      </w:r>
    </w:p>
    <w:p>
      <w:pPr>
        <w:spacing w:after="0" w:line="13" w:lineRule="exact"/>
        <w:rPr>
          <w:sz w:val="20"/>
          <w:szCs w:val="20"/>
          <w:color w:val="auto"/>
        </w:rPr>
      </w:pPr>
    </w:p>
    <w:p>
      <w:pPr>
        <w:ind w:left="120" w:right="300" w:firstLine="366"/>
        <w:spacing w:after="0" w:line="280" w:lineRule="auto"/>
        <w:tabs>
          <w:tab w:leader="none" w:pos="862" w:val="left"/>
        </w:tabs>
        <w:numPr>
          <w:ilvl w:val="0"/>
          <w:numId w:val="171"/>
        </w:numPr>
        <w:rPr>
          <w:rFonts w:ascii="Arial" w:cs="Arial" w:eastAsia="Arial" w:hAnsi="Arial"/>
          <w:sz w:val="13"/>
          <w:szCs w:val="13"/>
          <w:b w:val="1"/>
          <w:bCs w:val="1"/>
          <w:color w:val="auto"/>
        </w:rPr>
      </w:pPr>
      <w:r>
        <w:rPr>
          <w:rFonts w:ascii="Arial" w:cs="Arial" w:eastAsia="Arial" w:hAnsi="Arial"/>
          <w:sz w:val="13"/>
          <w:szCs w:val="13"/>
          <w:color w:val="auto"/>
        </w:rPr>
        <w:t>The Advocate Arbitrators and the Neutral Arbitrator ("</w:t>
      </w:r>
      <w:r>
        <w:rPr>
          <w:rFonts w:ascii="Arial" w:cs="Arial" w:eastAsia="Arial" w:hAnsi="Arial"/>
          <w:sz w:val="13"/>
          <w:szCs w:val="13"/>
          <w:b w:val="1"/>
          <w:bCs w:val="1"/>
          <w:color w:val="auto"/>
        </w:rPr>
        <w:t>Arbitrator(s)</w:t>
      </w:r>
      <w:r>
        <w:rPr>
          <w:rFonts w:ascii="Arial" w:cs="Arial" w:eastAsia="Arial" w:hAnsi="Arial"/>
          <w:sz w:val="13"/>
          <w:szCs w:val="13"/>
          <w:color w:val="auto"/>
        </w:rPr>
        <w:t>") shall be duly licensed real estate brokers or salespersons in good standing in the state in which the Premises is located, shall have been active over the five (5) year period before their appointment in the leasing of properties similar to the Premises within the general real estate market of the Premises. The Neutral Arbitrator shall additionally not be related to or aﬃliated with either Party or Advocate Arbitrator, and shall not have previously represented in a real estate transaction a Party or anyone related to or aﬃliated with a Party. All matters to be determined by the Arbitrators shall be decided by a majority vote of the Arbitrators, with each Arbitrator having one (1) vote. The Arbitrators may, as the Arbitrators determine, hold hearings and require briefs, including market data and additional information.</w:t>
      </w:r>
    </w:p>
    <w:p>
      <w:pPr>
        <w:ind w:left="120" w:right="360" w:firstLine="366"/>
        <w:spacing w:after="0" w:line="258" w:lineRule="auto"/>
        <w:tabs>
          <w:tab w:leader="none" w:pos="861" w:val="left"/>
        </w:tabs>
        <w:numPr>
          <w:ilvl w:val="0"/>
          <w:numId w:val="171"/>
        </w:numPr>
        <w:rPr>
          <w:rFonts w:ascii="Arial" w:cs="Arial" w:eastAsia="Arial" w:hAnsi="Arial"/>
          <w:sz w:val="14"/>
          <w:szCs w:val="14"/>
          <w:b w:val="1"/>
          <w:bCs w:val="1"/>
          <w:color w:val="auto"/>
        </w:rPr>
      </w:pPr>
      <w:r>
        <w:rPr>
          <w:rFonts w:ascii="Arial" w:cs="Arial" w:eastAsia="Arial" w:hAnsi="Arial"/>
          <w:sz w:val="14"/>
          <w:szCs w:val="14"/>
          <w:color w:val="auto"/>
        </w:rPr>
        <w:t>Within thirty (30) days after selection of the Neutral Arbitrator, the three Arbitrators shall first reach a decision as to their own independent opinion of the Fair Market Value established by taking into account the terms, assumptions and conditions set forth herein ("</w:t>
      </w:r>
      <w:r>
        <w:rPr>
          <w:rFonts w:ascii="Arial" w:cs="Arial" w:eastAsia="Arial" w:hAnsi="Arial"/>
          <w:sz w:val="14"/>
          <w:szCs w:val="14"/>
          <w:b w:val="1"/>
          <w:bCs w:val="1"/>
          <w:color w:val="auto"/>
        </w:rPr>
        <w:t>Arbitrators' Market Value</w:t>
      </w:r>
      <w:r>
        <w:rPr>
          <w:rFonts w:ascii="Arial" w:cs="Arial" w:eastAsia="Arial" w:hAnsi="Arial"/>
          <w:sz w:val="14"/>
          <w:szCs w:val="14"/>
          <w:color w:val="auto"/>
        </w:rPr>
        <w:t>"), then decide which Party's Submitted Value is closer in monetary amount to the Arbitrators' Market Value ("</w:t>
      </w:r>
      <w:r>
        <w:rPr>
          <w:rFonts w:ascii="Arial" w:cs="Arial" w:eastAsia="Arial" w:hAnsi="Arial"/>
          <w:sz w:val="14"/>
          <w:szCs w:val="14"/>
          <w:b w:val="1"/>
          <w:bCs w:val="1"/>
          <w:color w:val="auto"/>
        </w:rPr>
        <w:t>Selected Market Value</w:t>
      </w:r>
      <w:r>
        <w:rPr>
          <w:rFonts w:ascii="Arial" w:cs="Arial" w:eastAsia="Arial" w:hAnsi="Arial"/>
          <w:sz w:val="14"/>
          <w:szCs w:val="14"/>
          <w:color w:val="auto"/>
        </w:rPr>
        <w:t>"), then provide the Parties a copy of the Arbitrators' Market Value and finally notify the Parties of the Selected Market Value. The Selected Market Value shall be the Fair Market Value. The Arbitrators shall have no right to decide a Selected Market Value which is a compromise to (or modification of) the Submitted Values. The decision of the Arbitrators shall be binding upon the Parties. The Party whose Submitted Value is not the Selected Market Value shall, within ten (10) days after the Arbitrators decide the Selected Market Value, pay the fees and costs of all three (3) Arbitrators.</w:t>
      </w:r>
    </w:p>
    <w:p>
      <w:pPr>
        <w:spacing w:after="0" w:line="1" w:lineRule="exact"/>
        <w:rPr>
          <w:rFonts w:ascii="Arial" w:cs="Arial" w:eastAsia="Arial" w:hAnsi="Arial"/>
          <w:sz w:val="14"/>
          <w:szCs w:val="14"/>
          <w:b w:val="1"/>
          <w:bCs w:val="1"/>
          <w:color w:val="auto"/>
        </w:rPr>
      </w:pPr>
    </w:p>
    <w:p>
      <w:pPr>
        <w:ind w:left="120" w:right="160" w:firstLine="366"/>
        <w:spacing w:after="0" w:line="259" w:lineRule="auto"/>
        <w:tabs>
          <w:tab w:leader="none" w:pos="864" w:val="left"/>
        </w:tabs>
        <w:numPr>
          <w:ilvl w:val="0"/>
          <w:numId w:val="171"/>
        </w:numPr>
        <w:rPr>
          <w:rFonts w:ascii="Arial" w:cs="Arial" w:eastAsia="Arial" w:hAnsi="Arial"/>
          <w:sz w:val="14"/>
          <w:szCs w:val="14"/>
          <w:b w:val="1"/>
          <w:bCs w:val="1"/>
          <w:color w:val="auto"/>
        </w:rPr>
      </w:pPr>
      <w:r>
        <w:rPr>
          <w:rFonts w:ascii="Arial" w:cs="Arial" w:eastAsia="Arial" w:hAnsi="Arial"/>
          <w:sz w:val="14"/>
          <w:szCs w:val="14"/>
          <w:color w:val="auto"/>
        </w:rPr>
        <w:t>If the Fair Market Value has not been established before the start of the applicable Option Term, then Lessee shall continue to pay to Lessor rent in the amount payable for the month immediately preceding the start of such Option Term and Lessor's acceptance of such rent shall not waive, adversely aﬀect or prejudice the Parties' right to complete establishment of the Fair Market Value or Lessor's right to collect the full amount of the Fair Market Value once the Fair Market Value is established. Lessee shall, within ten (10) days after establishment of the Fair Market Value, pay to Lessor any deficiency in rent then due for the Option Term. Following establishment of Fair Market Value, the Parties shall, within ten (10) days after request by either Party, sign an amendment to this Lease to confirm the Fair Market Value and the expiration date of this Lease, but the Parties' failure to request or to sign such an amendment shall not aﬀect establishment of the Fair Market Value or extension of the Lease term.</w:t>
      </w:r>
    </w:p>
    <w:p>
      <w:pPr>
        <w:spacing w:after="0" w:line="2" w:lineRule="exact"/>
        <w:rPr>
          <w:rFonts w:ascii="Arial" w:cs="Arial" w:eastAsia="Arial" w:hAnsi="Arial"/>
          <w:sz w:val="14"/>
          <w:szCs w:val="14"/>
          <w:b w:val="1"/>
          <w:bCs w:val="1"/>
          <w:color w:val="auto"/>
        </w:rPr>
      </w:pPr>
    </w:p>
    <w:p>
      <w:pPr>
        <w:ind w:left="120" w:right="200" w:firstLine="366"/>
        <w:spacing w:after="0" w:line="280" w:lineRule="auto"/>
        <w:tabs>
          <w:tab w:leader="none" w:pos="862" w:val="left"/>
        </w:tabs>
        <w:numPr>
          <w:ilvl w:val="0"/>
          <w:numId w:val="171"/>
        </w:numPr>
        <w:rPr>
          <w:rFonts w:ascii="Arial" w:cs="Arial" w:eastAsia="Arial" w:hAnsi="Arial"/>
          <w:sz w:val="13"/>
          <w:szCs w:val="13"/>
          <w:b w:val="1"/>
          <w:bCs w:val="1"/>
          <w:color w:val="auto"/>
        </w:rPr>
      </w:pPr>
      <w:r>
        <w:rPr>
          <w:rFonts w:ascii="Arial" w:cs="Arial" w:eastAsia="Arial" w:hAnsi="Arial"/>
          <w:sz w:val="13"/>
          <w:szCs w:val="13"/>
          <w:color w:val="auto"/>
        </w:rPr>
        <w:t>The Arbitrators, in deciding the Arbitrators' Market Value, shall take into account rent rates, rent abatements, periodic rent increases, real property taxes, insurance premiums and other operating expenses, tenant improvement and other applicable allowances, building services, length of lease term and other factors professional real estate brokers and/or appraisers customarily consider in determining fair market rent of property in an arm's length transaction by ready, willing and able parties for space of comparable location, size, age, condition, quality, parking, visibility, view, signage and accessibility if the Premises were marketed in a normal and customary manner for a reasonable length of time on the open market to be leased to a tenant with financial strength and credit worthiness comparable to Lessee and guarantors (if any) of this Lease (as of Lessee's exercise of the Extension Option) for a term comparable to the length of the applicable Option Term and used for the Agreed Use (or other reasonably comparable uses). The Arbitrators, in deciding the Arbitrators' Market Value, shall not consider as a comparable transaction any of the following: a sublease, lease assignment, lease renewal or extension; lease with a tenant that has equity, is related to or aﬃliated with the landlord; or a lease of space that was subject to a right of first refusal, right of first oﬀer, expansion option or other encumbrances. The Arbitrators, in deciding the Arbitrators' Market Value, shall reduce the Fair Market Value on account of Alterations and improvements made by Lessee to the extent the cost thereof was paid solely by Lessee (in excess of any applicable improvement allowance, abated rent in lieu of improvement allowance or other consideration provided by Lessor for Lessee's improvement of the Premises), shall not reduce the Fair Market Value on account of any real estate brokerage commission savings by Lessor, and shall not reduce the Fair Market Value on account of deferred maintenance or repair of the Premises for which Lessee was responsible under the Lease but did not perform.</w:t>
      </w:r>
    </w:p>
    <w:p>
      <w:pPr>
        <w:spacing w:after="0" w:line="13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b w:val="1"/>
          <w:bCs w:val="1"/>
          <w:color w:val="auto"/>
        </w:rPr>
        <w:t>IV.</w:t>
        <w:tab/>
        <w:t>Fixed Rental Adjustment(s) ("FRA")</w:t>
      </w:r>
      <w:r>
        <w:rPr>
          <w:rFonts w:ascii="Arial" w:cs="Arial" w:eastAsia="Arial" w:hAnsi="Arial"/>
          <w:sz w:val="14"/>
          <w:szCs w:val="14"/>
          <w:color w:val="auto"/>
        </w:rPr>
        <w:t>.</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monthly Base Rent shall be increased to the following amounts on the dates set forth below:</w:t>
      </w:r>
    </w:p>
    <w:p>
      <w:pPr>
        <w:spacing w:after="0" w:line="9" w:lineRule="exact"/>
        <w:rPr>
          <w:sz w:val="20"/>
          <w:szCs w:val="20"/>
          <w:color w:val="auto"/>
        </w:rPr>
      </w:pPr>
    </w:p>
    <w:p>
      <w:pPr>
        <w:ind w:left="1740"/>
        <w:spacing w:after="0"/>
        <w:tabs>
          <w:tab w:leader="none" w:pos="4040" w:val="left"/>
        </w:tabs>
        <w:rPr>
          <w:sz w:val="20"/>
          <w:szCs w:val="20"/>
          <w:color w:val="auto"/>
        </w:rPr>
      </w:pPr>
      <w:r>
        <w:rPr>
          <w:rFonts w:ascii="Arial" w:cs="Arial" w:eastAsia="Arial" w:hAnsi="Arial"/>
          <w:sz w:val="14"/>
          <w:szCs w:val="14"/>
          <w:color w:val="auto"/>
        </w:rPr>
        <w:t>On (fill in FRA Adjustment Date(s)):</w:t>
      </w:r>
      <w:r>
        <w:rPr>
          <w:sz w:val="20"/>
          <w:szCs w:val="20"/>
          <w:color w:val="auto"/>
        </w:rPr>
        <w:tab/>
      </w:r>
      <w:r>
        <w:rPr>
          <w:rFonts w:ascii="Arial" w:cs="Arial" w:eastAsia="Arial" w:hAnsi="Arial"/>
          <w:sz w:val="12"/>
          <w:szCs w:val="12"/>
          <w:color w:val="auto"/>
        </w:rPr>
        <w:t>The new Base Rent shall be:</w:t>
      </w:r>
    </w:p>
    <w:p>
      <w:pPr>
        <w:spacing w:after="0" w:line="162" w:lineRule="exact"/>
        <w:rPr>
          <w:sz w:val="20"/>
          <w:szCs w:val="20"/>
          <w:color w:val="auto"/>
        </w:rPr>
      </w:pPr>
    </w:p>
    <w:p>
      <w:pPr>
        <w:ind w:left="840" w:hanging="402"/>
        <w:spacing w:after="0"/>
        <w:tabs>
          <w:tab w:leader="none" w:pos="840" w:val="left"/>
        </w:tabs>
        <w:numPr>
          <w:ilvl w:val="0"/>
          <w:numId w:val="172"/>
        </w:numPr>
        <w:rPr>
          <w:rFonts w:ascii="Arial" w:cs="Arial" w:eastAsia="Arial" w:hAnsi="Arial"/>
          <w:sz w:val="14"/>
          <w:szCs w:val="14"/>
          <w:b w:val="1"/>
          <w:bCs w:val="1"/>
          <w:color w:val="auto"/>
        </w:rPr>
      </w:pPr>
      <w:r>
        <w:rPr>
          <w:rFonts w:ascii="Arial" w:cs="Arial" w:eastAsia="Arial" w:hAnsi="Arial"/>
          <w:sz w:val="14"/>
          <w:szCs w:val="14"/>
          <w:b w:val="1"/>
          <w:bCs w:val="1"/>
          <w:color w:val="auto"/>
        </w:rPr>
        <w:t>Continuation of Original Term Adjustments.</w:t>
      </w:r>
    </w:p>
    <w:p>
      <w:pPr>
        <w:spacing w:after="0" w:line="36" w:lineRule="exact"/>
        <w:rPr>
          <w:sz w:val="20"/>
          <w:szCs w:val="20"/>
          <w:color w:val="auto"/>
        </w:rPr>
      </w:pPr>
    </w:p>
    <w:p>
      <w:pPr>
        <w:ind w:left="120" w:right="360"/>
        <w:spacing w:after="0" w:line="293" w:lineRule="auto"/>
        <w:rPr>
          <w:sz w:val="20"/>
          <w:szCs w:val="20"/>
          <w:color w:val="auto"/>
        </w:rPr>
      </w:pPr>
      <w:r>
        <w:rPr>
          <w:rFonts w:ascii="Arial" w:cs="Arial" w:eastAsia="Arial" w:hAnsi="Arial"/>
          <w:sz w:val="14"/>
          <w:szCs w:val="14"/>
          <w:color w:val="auto"/>
        </w:rPr>
        <w:t>The monthly Base Rent during the Option Term(s) which start(s) on shall be increased in accordance with the same formula provided in the Lease to be used to calculate increases in the Base Rent during the Original Term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-151130</wp:posOffset>
            </wp:positionV>
            <wp:extent cx="781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5">
                      <a:extLst>
                        <a:ext uri="{28A0092B-C50C-407E-A947-70E740481C1C}"/>
                      </a:extLst>
                    </a:blip>
                    <a:srcRect/>
                    <a:stretch>
                      <a:fillRect/>
                    </a:stretch>
                  </pic:blipFill>
                  <pic:spPr bwMode="auto">
                    <a:xfrm>
                      <a:off x="0" y="0"/>
                      <a:ext cx="78105" cy="8255"/>
                    </a:xfrm>
                    <a:prstGeom prst="rect">
                      <a:avLst/>
                    </a:prstGeom>
                    <a:noFill/>
                  </pic:spPr>
                </pic:pic>
              </a:graphicData>
            </a:graphic>
          </wp:anchor>
        </w:drawing>
      </w:r>
    </w:p>
    <w:p>
      <w:pPr>
        <w:spacing w:after="0" w:line="28" w:lineRule="exact"/>
        <w:rPr>
          <w:sz w:val="20"/>
          <w:szCs w:val="20"/>
          <w:color w:val="auto"/>
        </w:rPr>
      </w:pPr>
    </w:p>
    <w:p>
      <w:pPr>
        <w:ind w:left="120" w:right="300" w:hanging="1"/>
        <w:spacing w:after="0" w:line="279" w:lineRule="auto"/>
        <w:rPr>
          <w:sz w:val="20"/>
          <w:szCs w:val="20"/>
          <w:color w:val="auto"/>
        </w:rPr>
      </w:pPr>
      <w:r>
        <w:rPr>
          <w:rFonts w:ascii="Arial" w:cs="Arial" w:eastAsia="Arial" w:hAnsi="Arial"/>
          <w:sz w:val="14"/>
          <w:szCs w:val="14"/>
          <w:b w:val="1"/>
          <w:bCs w:val="1"/>
          <w:color w:val="auto"/>
        </w:rPr>
        <w:t>BROKER'S FEE</w:t>
      </w:r>
      <w:r>
        <w:rPr>
          <w:rFonts w:ascii="Arial" w:cs="Arial" w:eastAsia="Arial" w:hAnsi="Arial"/>
          <w:sz w:val="14"/>
          <w:szCs w:val="14"/>
          <w:color w:val="auto"/>
        </w:rPr>
        <w:t>: For each adjustment in Base Rent specified above, the Brokers shall be paid a Brokerage Fee in accordance with paragraph 15 of the Lease or if applicable, paragraph 9</w:t>
      </w:r>
      <w:r>
        <w:rPr>
          <w:rFonts w:ascii="Arial" w:cs="Arial" w:eastAsia="Arial" w:hAnsi="Arial"/>
          <w:sz w:val="14"/>
          <w:szCs w:val="14"/>
          <w:b w:val="1"/>
          <w:bCs w:val="1"/>
          <w:color w:val="auto"/>
        </w:rPr>
        <w:t xml:space="preserve"> </w:t>
      </w:r>
      <w:r>
        <w:rPr>
          <w:rFonts w:ascii="Arial" w:cs="Arial" w:eastAsia="Arial" w:hAnsi="Arial"/>
          <w:sz w:val="14"/>
          <w:szCs w:val="14"/>
          <w:color w:val="auto"/>
        </w:rPr>
        <w:t>of the Sublease.</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285115</wp:posOffset>
            </wp:positionH>
            <wp:positionV relativeFrom="page">
              <wp:posOffset>217805</wp:posOffset>
            </wp:positionV>
            <wp:extent cx="1303020" cy="4114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ARBITRATION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STANDARD LEASE ADDENDUM</w:t>
      </w:r>
    </w:p>
    <w:p>
      <w:pPr>
        <w:spacing w:after="0" w:line="158"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u w:val="single" w:color="auto"/>
          <w:color w:val="0000FF"/>
        </w:rPr>
        <w:t>March 4, 2022</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7"/>
          <w:szCs w:val="17"/>
          <w:u w:val="single" w:color="auto"/>
          <w:color w:val="0000FF"/>
        </w:rPr>
        <w:t>BML Management, LLC</w:t>
      </w:r>
    </w:p>
    <w:p>
      <w:pPr>
        <w:spacing w:after="0" w:line="9"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Lessee:</w:t>
      </w:r>
      <w:r>
        <w:rPr>
          <w:sz w:val="20"/>
          <w:szCs w:val="20"/>
          <w:color w:val="auto"/>
        </w:rPr>
        <w:tab/>
      </w:r>
      <w:r>
        <w:rPr>
          <w:rFonts w:ascii="Arial" w:cs="Arial" w:eastAsia="Arial" w:hAnsi="Arial"/>
          <w:sz w:val="16"/>
          <w:szCs w:val="16"/>
          <w:u w:val="single" w:color="auto"/>
          <w:color w:val="0000FF"/>
        </w:rPr>
        <w:t>RxSight, Inc.</w:t>
      </w:r>
    </w:p>
    <w:p>
      <w:pPr>
        <w:spacing w:after="0" w:line="31" w:lineRule="exact"/>
        <w:rPr>
          <w:sz w:val="20"/>
          <w:szCs w:val="20"/>
          <w:color w:val="auto"/>
        </w:rPr>
      </w:pPr>
    </w:p>
    <w:p>
      <w:pPr>
        <w:ind w:left="1040"/>
        <w:spacing w:after="0"/>
        <w:tabs>
          <w:tab w:leader="none" w:pos="2820" w:val="left"/>
        </w:tabs>
        <w:rPr>
          <w:sz w:val="20"/>
          <w:szCs w:val="20"/>
          <w:color w:val="auto"/>
        </w:rPr>
      </w:pPr>
      <w:r>
        <w:rPr>
          <w:rFonts w:ascii="Arial" w:cs="Arial" w:eastAsia="Arial" w:hAnsi="Arial"/>
          <w:sz w:val="18"/>
          <w:szCs w:val="18"/>
          <w:b w:val="1"/>
          <w:bCs w:val="1"/>
          <w:color w:val="auto"/>
        </w:rPr>
        <w:t>Property Address:</w:t>
      </w:r>
      <w:r>
        <w:rPr>
          <w:sz w:val="20"/>
          <w:szCs w:val="20"/>
          <w:color w:val="auto"/>
        </w:rPr>
        <w:tab/>
      </w:r>
      <w:r>
        <w:rPr>
          <w:rFonts w:ascii="Arial" w:cs="Arial" w:eastAsia="Arial" w:hAnsi="Arial"/>
          <w:sz w:val="16"/>
          <w:szCs w:val="16"/>
          <w:u w:val="single" w:color="auto"/>
          <w:color w:val="0000FF"/>
        </w:rPr>
        <w:t>125 Columbia, Suite B, Aliso Viejo, CA 92656</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(street address, city, state, zip)</w:t>
      </w:r>
    </w:p>
    <w:p>
      <w:pPr>
        <w:spacing w:after="0" w:line="169"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color w:val="auto"/>
        </w:rPr>
        <w:t>Paragraph:</w:t>
      </w:r>
      <w:r>
        <w:rPr>
          <w:sz w:val="20"/>
          <w:szCs w:val="20"/>
          <w:color w:val="auto"/>
        </w:rPr>
        <w:tab/>
      </w:r>
      <w:r>
        <w:rPr>
          <w:rFonts w:ascii="Arial" w:cs="Arial" w:eastAsia="Arial" w:hAnsi="Arial"/>
          <w:sz w:val="16"/>
          <w:szCs w:val="16"/>
          <w:u w:val="single" w:color="auto"/>
          <w:color w:val="0000FF"/>
        </w:rPr>
        <w:t>52</w:t>
      </w:r>
    </w:p>
    <w:p>
      <w:pPr>
        <w:spacing w:after="0" w:line="118" w:lineRule="exact"/>
        <w:rPr>
          <w:sz w:val="20"/>
          <w:szCs w:val="20"/>
          <w:color w:val="auto"/>
        </w:rPr>
      </w:pPr>
    </w:p>
    <w:p>
      <w:pPr>
        <w:ind w:left="480" w:hanging="368"/>
        <w:spacing w:after="0"/>
        <w:tabs>
          <w:tab w:leader="none" w:pos="480" w:val="left"/>
        </w:tabs>
        <w:numPr>
          <w:ilvl w:val="0"/>
          <w:numId w:val="173"/>
        </w:numPr>
        <w:rPr>
          <w:rFonts w:ascii="Arial" w:cs="Arial" w:eastAsia="Arial" w:hAnsi="Arial"/>
          <w:sz w:val="14"/>
          <w:szCs w:val="14"/>
          <w:color w:val="auto"/>
        </w:rPr>
      </w:pPr>
      <w:r>
        <w:rPr>
          <w:rFonts w:ascii="Arial" w:cs="Arial" w:eastAsia="Arial" w:hAnsi="Arial"/>
          <w:sz w:val="14"/>
          <w:szCs w:val="14"/>
          <w:b w:val="1"/>
          <w:bCs w:val="1"/>
          <w:color w:val="auto"/>
        </w:rPr>
        <w:t>ARBITRATION OF DISPUTES</w:t>
      </w:r>
      <w:r>
        <w:rPr>
          <w:rFonts w:ascii="Arial" w:cs="Arial" w:eastAsia="Arial" w:hAnsi="Arial"/>
          <w:sz w:val="14"/>
          <w:szCs w:val="14"/>
          <w:color w:val="auto"/>
        </w:rPr>
        <w:t>:</w:t>
      </w:r>
    </w:p>
    <w:p>
      <w:pPr>
        <w:spacing w:after="0" w:line="127" w:lineRule="exact"/>
        <w:rPr>
          <w:sz w:val="20"/>
          <w:szCs w:val="20"/>
          <w:color w:val="auto"/>
        </w:rPr>
      </w:pPr>
    </w:p>
    <w:p>
      <w:pPr>
        <w:ind w:left="120" w:right="240"/>
        <w:spacing w:after="0" w:line="332" w:lineRule="auto"/>
        <w:rPr>
          <w:sz w:val="20"/>
          <w:szCs w:val="20"/>
          <w:color w:val="auto"/>
        </w:rPr>
      </w:pPr>
      <w:r>
        <w:rPr>
          <w:rFonts w:ascii="Arial" w:cs="Arial" w:eastAsia="Arial" w:hAnsi="Arial"/>
          <w:sz w:val="12"/>
          <w:szCs w:val="12"/>
          <w:color w:val="auto"/>
        </w:rPr>
        <w:t>Except as provided in Paragraph B below, the Parties agree to resolve any and all claims, disputes or disagreements arising under this Lease, including, but not limited to any matter relating to Lessor's failure to approve an assignment, sublease or other transfer of Lessee's interest in the Lease under Paragraph 12 of this Lease, any other defaults by Lessor, or any defaults by Lessee by and through arbitration as provided below and irrevocably waive any and all rights to the contrary. The Parties agree to at all times conduct themselves in strict, full, complete and timely accordance with the terms hereof and that any attempt to circumvent the terms of this Arbitration Agreement shall be absolutely null and void and of no force or eﬀect whatsoever.</w:t>
      </w:r>
    </w:p>
    <w:p>
      <w:pPr>
        <w:spacing w:after="0" w:line="15" w:lineRule="exact"/>
        <w:rPr>
          <w:sz w:val="20"/>
          <w:szCs w:val="20"/>
          <w:color w:val="auto"/>
        </w:rPr>
      </w:pPr>
    </w:p>
    <w:p>
      <w:pPr>
        <w:ind w:left="500" w:hanging="388"/>
        <w:spacing w:after="0"/>
        <w:tabs>
          <w:tab w:leader="none" w:pos="500" w:val="left"/>
        </w:tabs>
        <w:numPr>
          <w:ilvl w:val="0"/>
          <w:numId w:val="174"/>
        </w:numPr>
        <w:rPr>
          <w:rFonts w:ascii="Arial" w:cs="Arial" w:eastAsia="Arial" w:hAnsi="Arial"/>
          <w:sz w:val="14"/>
          <w:szCs w:val="14"/>
          <w:color w:val="auto"/>
        </w:rPr>
      </w:pPr>
      <w:r>
        <w:rPr>
          <w:rFonts w:ascii="Arial" w:cs="Arial" w:eastAsia="Arial" w:hAnsi="Arial"/>
          <w:sz w:val="14"/>
          <w:szCs w:val="14"/>
          <w:b w:val="1"/>
          <w:bCs w:val="1"/>
          <w:color w:val="auto"/>
        </w:rPr>
        <w:t>DISPUTES EXCLUDED FROM ARBITRATION</w:t>
      </w:r>
      <w:r>
        <w:rPr>
          <w:rFonts w:ascii="Arial" w:cs="Arial" w:eastAsia="Arial" w:hAnsi="Arial"/>
          <w:sz w:val="14"/>
          <w:szCs w:val="14"/>
          <w:color w:val="auto"/>
        </w:rPr>
        <w:t>:</w:t>
      </w:r>
    </w:p>
    <w:p>
      <w:pPr>
        <w:spacing w:after="0" w:line="99" w:lineRule="exact"/>
        <w:rPr>
          <w:sz w:val="20"/>
          <w:szCs w:val="20"/>
          <w:color w:val="auto"/>
        </w:rPr>
      </w:pPr>
    </w:p>
    <w:p>
      <w:pPr>
        <w:ind w:left="120" w:right="240"/>
        <w:spacing w:after="0" w:line="295" w:lineRule="auto"/>
        <w:rPr>
          <w:sz w:val="20"/>
          <w:szCs w:val="20"/>
          <w:color w:val="auto"/>
        </w:rPr>
      </w:pPr>
      <w:r>
        <w:rPr>
          <w:rFonts w:ascii="Arial" w:cs="Arial" w:eastAsia="Arial" w:hAnsi="Arial"/>
          <w:sz w:val="13"/>
          <w:szCs w:val="13"/>
          <w:color w:val="auto"/>
        </w:rPr>
        <w:t>The following claims, disputes or disagreements under this Lease are expressly excluded from the arbitration procedures set forth herein: 1. Disputes for which a diﬀerent resolution determination is specifically set forth in this Lease, 2. All claims by either party which (a) seek anything other than enforcement or determination of rights under this Lease, or (b) are primarily founded upon matters of fraud, willful misconduct, bad faith or any other allegations of tortious action, and seek the award of punitive or exemplary damages, 3. Claims relating to</w:t>
      </w:r>
    </w:p>
    <w:p>
      <w:pPr>
        <w:spacing w:after="0" w:line="1" w:lineRule="exact"/>
        <w:rPr>
          <w:sz w:val="20"/>
          <w:szCs w:val="20"/>
          <w:color w:val="auto"/>
        </w:rPr>
      </w:pPr>
    </w:p>
    <w:p>
      <w:pPr>
        <w:ind w:left="120" w:right="520" w:hanging="8"/>
        <w:spacing w:after="0" w:line="298" w:lineRule="auto"/>
        <w:tabs>
          <w:tab w:leader="none" w:pos="316" w:val="left"/>
        </w:tabs>
        <w:numPr>
          <w:ilvl w:val="1"/>
          <w:numId w:val="175"/>
        </w:numPr>
        <w:rPr>
          <w:rFonts w:ascii="Arial" w:cs="Arial" w:eastAsia="Arial" w:hAnsi="Arial"/>
          <w:sz w:val="13"/>
          <w:szCs w:val="13"/>
          <w:color w:val="auto"/>
        </w:rPr>
      </w:pPr>
      <w:r>
        <w:rPr>
          <w:rFonts w:ascii="Arial" w:cs="Arial" w:eastAsia="Arial" w:hAnsi="Arial"/>
          <w:sz w:val="13"/>
          <w:szCs w:val="13"/>
          <w:color w:val="auto"/>
        </w:rPr>
        <w:t>Lessor's exercise of any unlawful detainer rights pursuant to applicable law or (b) rights or remedies used by Lessor to gain possession of the Premises or terminate Lessee's right of possession to the Premises, all of which disputes shall be resolved by suit filed in the applicable court of jurisdiction, the decision of which court shall be subject to appeal pursuant to applicable law 4. Any claim or dispute that is within the jurisdiction of the Small Claims Court and 5. All claims arising under Paragraph 39 of this Lease.</w:t>
      </w:r>
    </w:p>
    <w:p>
      <w:pPr>
        <w:spacing w:after="0" w:line="48" w:lineRule="exact"/>
        <w:rPr>
          <w:rFonts w:ascii="Arial" w:cs="Arial" w:eastAsia="Arial" w:hAnsi="Arial"/>
          <w:sz w:val="13"/>
          <w:szCs w:val="13"/>
          <w:color w:val="auto"/>
        </w:rPr>
      </w:pPr>
    </w:p>
    <w:p>
      <w:pPr>
        <w:ind w:left="500" w:hanging="389"/>
        <w:spacing w:after="0"/>
        <w:tabs>
          <w:tab w:leader="none" w:pos="500" w:val="left"/>
        </w:tabs>
        <w:numPr>
          <w:ilvl w:val="0"/>
          <w:numId w:val="176"/>
        </w:numPr>
        <w:rPr>
          <w:rFonts w:ascii="Arial" w:cs="Arial" w:eastAsia="Arial" w:hAnsi="Arial"/>
          <w:sz w:val="14"/>
          <w:szCs w:val="14"/>
          <w:color w:val="auto"/>
        </w:rPr>
      </w:pPr>
      <w:r>
        <w:rPr>
          <w:rFonts w:ascii="Arial" w:cs="Arial" w:eastAsia="Arial" w:hAnsi="Arial"/>
          <w:sz w:val="14"/>
          <w:szCs w:val="14"/>
          <w:b w:val="1"/>
          <w:bCs w:val="1"/>
          <w:color w:val="auto"/>
        </w:rPr>
        <w:t>APPOINTMENT OF AN ARBITRATOR</w:t>
      </w:r>
      <w:r>
        <w:rPr>
          <w:rFonts w:ascii="Arial" w:cs="Arial" w:eastAsia="Arial" w:hAnsi="Arial"/>
          <w:sz w:val="14"/>
          <w:szCs w:val="14"/>
          <w:color w:val="auto"/>
        </w:rPr>
        <w:t>:</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900" w:type="dxa"/>
            <w:vAlign w:val="bottom"/>
            <w:gridSpan w:val="3"/>
          </w:tcPr>
          <w:p>
            <w:pPr>
              <w:spacing w:after="0"/>
              <w:rPr>
                <w:sz w:val="20"/>
                <w:szCs w:val="20"/>
                <w:color w:val="auto"/>
              </w:rPr>
            </w:pPr>
            <w:r>
              <w:rPr>
                <w:rFonts w:ascii="Arial" w:cs="Arial" w:eastAsia="Arial" w:hAnsi="Arial"/>
                <w:sz w:val="14"/>
                <w:szCs w:val="14"/>
                <w:color w:val="auto"/>
                <w:w w:val="96"/>
              </w:rPr>
              <w:t>All disputes subject to this Arbitration Agreement, shall be determined by binding arbitration before:</w:t>
            </w:r>
          </w:p>
        </w:tc>
        <w:tc>
          <w:tcPr>
            <w:tcW w:w="4920" w:type="dxa"/>
            <w:vAlign w:val="bottom"/>
          </w:tcPr>
          <w:p>
            <w:pPr>
              <w:ind w:left="140"/>
              <w:spacing w:after="0"/>
              <w:rPr>
                <w:sz w:val="20"/>
                <w:szCs w:val="20"/>
                <w:color w:val="auto"/>
              </w:rPr>
            </w:pPr>
            <w:r>
              <w:rPr>
                <w:rFonts w:ascii="Arial" w:cs="Arial" w:eastAsia="Arial" w:hAnsi="Arial"/>
                <w:sz w:val="14"/>
                <w:szCs w:val="14"/>
                <w:color w:val="auto"/>
                <w:w w:val="93"/>
              </w:rPr>
              <w:t>a retired judge of the applicable court of jurisdiction (e.g., the Superior Court of the</w:t>
            </w:r>
          </w:p>
        </w:tc>
      </w:tr>
      <w:tr>
        <w:trPr>
          <w:trHeight w:val="245"/>
        </w:trPr>
        <w:tc>
          <w:tcPr>
            <w:tcW w:w="10820" w:type="dxa"/>
            <w:vAlign w:val="bottom"/>
            <w:gridSpan w:val="4"/>
          </w:tcPr>
          <w:p>
            <w:pPr>
              <w:spacing w:after="0"/>
              <w:rPr>
                <w:sz w:val="20"/>
                <w:szCs w:val="20"/>
                <w:color w:val="auto"/>
              </w:rPr>
            </w:pPr>
            <w:r>
              <w:rPr>
                <w:rFonts w:ascii="Arial" w:cs="Arial" w:eastAsia="Arial" w:hAnsi="Arial"/>
                <w:sz w:val="14"/>
                <w:szCs w:val="14"/>
                <w:color w:val="auto"/>
              </w:rPr>
              <w:t>State of California) aﬃliated with Judicial Arbitration &amp; Mediation Services, Inc. ("</w:t>
            </w:r>
            <w:r>
              <w:rPr>
                <w:rFonts w:ascii="Arial" w:cs="Arial" w:eastAsia="Arial" w:hAnsi="Arial"/>
                <w:sz w:val="14"/>
                <w:szCs w:val="14"/>
                <w:b w:val="1"/>
                <w:bCs w:val="1"/>
                <w:color w:val="auto"/>
              </w:rPr>
              <w:t>JAMS</w:t>
            </w:r>
            <w:r>
              <w:rPr>
                <w:rFonts w:ascii="Arial" w:cs="Arial" w:eastAsia="Arial" w:hAnsi="Arial"/>
                <w:sz w:val="14"/>
                <w:szCs w:val="14"/>
                <w:color w:val="auto"/>
              </w:rPr>
              <w:t>"),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w:t>
            </w:r>
          </w:p>
        </w:tc>
      </w:tr>
      <w:tr>
        <w:trPr>
          <w:trHeight w:val="158"/>
        </w:trPr>
        <w:tc>
          <w:tcPr>
            <w:tcW w:w="2300" w:type="dxa"/>
            <w:vAlign w:val="bottom"/>
          </w:tcPr>
          <w:p>
            <w:pPr>
              <w:spacing w:after="0" w:line="158" w:lineRule="exact"/>
              <w:rPr>
                <w:sz w:val="20"/>
                <w:szCs w:val="20"/>
                <w:color w:val="auto"/>
              </w:rPr>
            </w:pPr>
            <w:r>
              <w:rPr>
                <w:rFonts w:ascii="Arial" w:cs="Arial" w:eastAsia="Arial" w:hAnsi="Arial"/>
                <w:sz w:val="14"/>
                <w:szCs w:val="14"/>
                <w:color w:val="auto"/>
                <w:w w:val="97"/>
              </w:rPr>
              <w:t>under its commercial arbitration rules,</w:t>
            </w:r>
          </w:p>
        </w:tc>
        <w:tc>
          <w:tcPr>
            <w:tcW w:w="280" w:type="dxa"/>
            <w:vAlign w:val="bottom"/>
            <w:tcBorders>
              <w:bottom w:val="single" w:sz="8" w:color="auto"/>
            </w:tcBorders>
          </w:tcPr>
          <w:p>
            <w:pPr>
              <w:spacing w:after="0"/>
              <w:rPr>
                <w:sz w:val="13"/>
                <w:szCs w:val="13"/>
                <w:color w:val="auto"/>
              </w:rPr>
            </w:pPr>
          </w:p>
        </w:tc>
        <w:tc>
          <w:tcPr>
            <w:tcW w:w="8240" w:type="dxa"/>
            <w:vAlign w:val="bottom"/>
            <w:gridSpan w:val="2"/>
          </w:tcPr>
          <w:p>
            <w:pPr>
              <w:ind w:left="40"/>
              <w:spacing w:after="0" w:line="158" w:lineRule="exact"/>
              <w:rPr>
                <w:sz w:val="20"/>
                <w:szCs w:val="20"/>
                <w:color w:val="auto"/>
              </w:rPr>
            </w:pPr>
            <w:r>
              <w:rPr>
                <w:rFonts w:ascii="Arial" w:cs="Arial" w:eastAsia="Arial" w:hAnsi="Arial"/>
                <w:sz w:val="14"/>
                <w:szCs w:val="14"/>
                <w:color w:val="auto"/>
                <w:w w:val="93"/>
              </w:rPr>
              <w:t>, or as may be otherwise mutually agreed by Lessor and Lessee (the "</w:t>
            </w:r>
            <w:r>
              <w:rPr>
                <w:rFonts w:ascii="Arial" w:cs="Arial" w:eastAsia="Arial" w:hAnsi="Arial"/>
                <w:sz w:val="14"/>
                <w:szCs w:val="14"/>
                <w:b w:val="1"/>
                <w:bCs w:val="1"/>
                <w:color w:val="auto"/>
                <w:w w:val="93"/>
              </w:rPr>
              <w:t>Arbitrator</w:t>
            </w:r>
            <w:r>
              <w:rPr>
                <w:rFonts w:ascii="Arial" w:cs="Arial" w:eastAsia="Arial" w:hAnsi="Arial"/>
                <w:sz w:val="14"/>
                <w:szCs w:val="14"/>
                <w:color w:val="auto"/>
                <w:w w:val="93"/>
              </w:rPr>
              <w:t>"). In the event that the parties elect to use an arbitrator other</w:t>
            </w:r>
          </w:p>
        </w:tc>
      </w:tr>
    </w:tbl>
    <w:p>
      <w:pPr>
        <w:ind w:left="120"/>
        <w:spacing w:after="0"/>
        <w:rPr>
          <w:sz w:val="20"/>
          <w:szCs w:val="20"/>
          <w:color w:val="auto"/>
        </w:rPr>
      </w:pPr>
      <w:r>
        <w:rPr>
          <w:rFonts w:ascii="Arial" w:cs="Arial" w:eastAsia="Arial" w:hAnsi="Arial"/>
          <w:sz w:val="14"/>
          <w:szCs w:val="14"/>
          <w:color w:val="auto"/>
        </w:rPr>
        <w:t>than one aﬃliated with JAMS or AAA then such arbitrator shall be obligated to comply with the Code of Ethics for Arbitrators in Commercial Disputes (see:</w:t>
      </w:r>
    </w:p>
    <w:p>
      <w:pPr>
        <w:spacing w:after="0" w:line="33" w:lineRule="exact"/>
        <w:rPr>
          <w:sz w:val="20"/>
          <w:szCs w:val="20"/>
          <w:color w:val="auto"/>
        </w:rPr>
      </w:pPr>
    </w:p>
    <w:p>
      <w:pPr>
        <w:ind w:left="120" w:right="280"/>
        <w:spacing w:after="0" w:line="264" w:lineRule="auto"/>
        <w:rPr>
          <w:sz w:val="20"/>
          <w:szCs w:val="20"/>
          <w:color w:val="auto"/>
        </w:rPr>
      </w:pPr>
      <w:r>
        <w:rPr>
          <w:rFonts w:ascii="Arial" w:cs="Arial" w:eastAsia="Arial" w:hAnsi="Arial"/>
          <w:sz w:val="14"/>
          <w:szCs w:val="14"/>
          <w:color w:val="auto"/>
        </w:rPr>
        <w:t>http://www.adr.org/aaa/ShowProperty?nodeId=/UCM/ADRSTG_003867). Such arbitration shall be initiated by the Parties, or either of them, within ten (10) days after either party sends written notice (the "</w:t>
      </w:r>
      <w:r>
        <w:rPr>
          <w:rFonts w:ascii="Arial" w:cs="Arial" w:eastAsia="Arial" w:hAnsi="Arial"/>
          <w:sz w:val="14"/>
          <w:szCs w:val="14"/>
          <w:b w:val="1"/>
          <w:bCs w:val="1"/>
          <w:color w:val="auto"/>
        </w:rPr>
        <w:t>Arbitration Notice</w:t>
      </w:r>
      <w:r>
        <w:rPr>
          <w:rFonts w:ascii="Arial" w:cs="Arial" w:eastAsia="Arial" w:hAnsi="Arial"/>
          <w:sz w:val="14"/>
          <w:szCs w:val="14"/>
          <w:color w:val="auto"/>
        </w:rPr>
        <w:t>") of a demand to arbitrate by registered or certified mail to the other party and to the Arbitrator. The Arbitration Notice shall contain a description of the subject matter of the arbitration, the dispute with respect thereto, the amount involved, if any, and the remedy or determination sought. If the Parties have agreed to use JAMS they may agree on a retired judge from the JAMS panel. If they are unable to agree within ten days, JAMS will provide a list of three available judges and each party may strike one. The remaining judge (or if there are two, the one selected by JAMS) will serve as the Arbitrator. If the Parties have elected to utilize AAA or some other organization, the Arbitrator shall be selected in accordance with said organization's rules. In the event the Arbitrator is not selected as provided for above for any reason, the party initiating arbitration shall apply to the appropriate Court for the appointment of a qualified retired judge to act as the Arbitrator.</w:t>
      </w:r>
    </w:p>
    <w:p>
      <w:pPr>
        <w:spacing w:after="0" w:line="56" w:lineRule="exact"/>
        <w:rPr>
          <w:sz w:val="20"/>
          <w:szCs w:val="20"/>
          <w:color w:val="auto"/>
        </w:rPr>
      </w:pPr>
    </w:p>
    <w:p>
      <w:pPr>
        <w:ind w:left="480" w:hanging="367"/>
        <w:spacing w:after="0"/>
        <w:tabs>
          <w:tab w:leader="none" w:pos="480" w:val="left"/>
        </w:tabs>
        <w:numPr>
          <w:ilvl w:val="0"/>
          <w:numId w:val="177"/>
        </w:numPr>
        <w:rPr>
          <w:rFonts w:ascii="Arial" w:cs="Arial" w:eastAsia="Arial" w:hAnsi="Arial"/>
          <w:sz w:val="14"/>
          <w:szCs w:val="14"/>
          <w:color w:val="auto"/>
        </w:rPr>
      </w:pPr>
      <w:r>
        <w:rPr>
          <w:rFonts w:ascii="Arial" w:cs="Arial" w:eastAsia="Arial" w:hAnsi="Arial"/>
          <w:sz w:val="14"/>
          <w:szCs w:val="14"/>
          <w:b w:val="1"/>
          <w:bCs w:val="1"/>
          <w:color w:val="auto"/>
        </w:rPr>
        <w:t>ARBITRATION PROCEDURE</w:t>
      </w:r>
      <w:r>
        <w:rPr>
          <w:rFonts w:ascii="Arial" w:cs="Arial" w:eastAsia="Arial" w:hAnsi="Arial"/>
          <w:sz w:val="14"/>
          <w:szCs w:val="14"/>
          <w:color w:val="auto"/>
        </w:rPr>
        <w:t>:</w:t>
      </w:r>
    </w:p>
    <w:p>
      <w:pPr>
        <w:spacing w:after="0" w:line="122" w:lineRule="exact"/>
        <w:rPr>
          <w:rFonts w:ascii="Arial" w:cs="Arial" w:eastAsia="Arial" w:hAnsi="Arial"/>
          <w:sz w:val="14"/>
          <w:szCs w:val="14"/>
          <w:color w:val="auto"/>
        </w:rPr>
      </w:pPr>
    </w:p>
    <w:p>
      <w:pPr>
        <w:ind w:left="120" w:right="280" w:firstLine="362"/>
        <w:spacing w:after="0" w:line="265" w:lineRule="auto"/>
        <w:tabs>
          <w:tab w:leader="none" w:pos="860" w:val="left"/>
        </w:tabs>
        <w:numPr>
          <w:ilvl w:val="1"/>
          <w:numId w:val="177"/>
        </w:numPr>
        <w:rPr>
          <w:rFonts w:ascii="Arial" w:cs="Arial" w:eastAsia="Arial" w:hAnsi="Arial"/>
          <w:sz w:val="14"/>
          <w:szCs w:val="14"/>
          <w:color w:val="auto"/>
        </w:rPr>
      </w:pPr>
      <w:r>
        <w:rPr>
          <w:rFonts w:ascii="Arial" w:cs="Arial" w:eastAsia="Arial" w:hAnsi="Arial"/>
          <w:sz w:val="14"/>
          <w:szCs w:val="14"/>
          <w:b w:val="1"/>
          <w:bCs w:val="1"/>
          <w:color w:val="auto"/>
        </w:rPr>
        <w:t>PREHEARING ACTIONS</w:t>
      </w:r>
      <w:r>
        <w:rPr>
          <w:rFonts w:ascii="Arial" w:cs="Arial" w:eastAsia="Arial" w:hAnsi="Arial"/>
          <w:sz w:val="14"/>
          <w:szCs w:val="14"/>
          <w:color w:val="auto"/>
        </w:rPr>
        <w:t>. The Arbitrator shall schedule a prehearing conference to resolve procedural matters, arrange for the exchange of information, obtain stipulations,</w:t>
      </w:r>
      <w:r>
        <w:rPr>
          <w:rFonts w:ascii="Arial" w:cs="Arial" w:eastAsia="Arial" w:hAnsi="Arial"/>
          <w:sz w:val="14"/>
          <w:szCs w:val="14"/>
          <w:b w:val="1"/>
          <w:bCs w:val="1"/>
          <w:color w:val="auto"/>
        </w:rPr>
        <w:t xml:space="preserve"> </w:t>
      </w:r>
      <w:r>
        <w:rPr>
          <w:rFonts w:ascii="Arial" w:cs="Arial" w:eastAsia="Arial" w:hAnsi="Arial"/>
          <w:sz w:val="14"/>
          <w:szCs w:val="14"/>
          <w:color w:val="auto"/>
        </w:rPr>
        <w:t>and narrow the issues. The Parties will submit proposed discovery schedules to the Arbitrator at the prehearing conference. The scope and duration of discovery will be within the sole discretion of the Arbitrator. The Arbitrator shall have the discretion to order a prehearing exchange of information by the Parties, including, without limitation, production of requested documents, exchange of summaries of testimony of proposed witnesses, and examination by deposition of parties and thirdparty witnesses. This discretion shall be exercised in favor of discovery reasonable under the circumstances. The Arbitrator shall issue subpoenas and subpoenas duces tecum as provided for in the applicable statutory or case law (e.g., in California Code of Civil Procedure Section 1282.6).</w:t>
      </w:r>
    </w:p>
    <w:p>
      <w:pPr>
        <w:spacing w:after="0" w:line="80" w:lineRule="exact"/>
        <w:rPr>
          <w:rFonts w:ascii="Arial" w:cs="Arial" w:eastAsia="Arial" w:hAnsi="Arial"/>
          <w:sz w:val="14"/>
          <w:szCs w:val="14"/>
          <w:color w:val="auto"/>
        </w:rPr>
      </w:pPr>
    </w:p>
    <w:p>
      <w:pPr>
        <w:ind w:left="120" w:right="240" w:firstLine="366"/>
        <w:spacing w:after="0" w:line="253" w:lineRule="auto"/>
        <w:tabs>
          <w:tab w:leader="none" w:pos="860" w:val="left"/>
        </w:tabs>
        <w:numPr>
          <w:ilvl w:val="1"/>
          <w:numId w:val="177"/>
        </w:numPr>
        <w:rPr>
          <w:rFonts w:ascii="Arial" w:cs="Arial" w:eastAsia="Arial" w:hAnsi="Arial"/>
          <w:sz w:val="14"/>
          <w:szCs w:val="14"/>
          <w:color w:val="auto"/>
        </w:rPr>
      </w:pPr>
      <w:r>
        <w:rPr>
          <w:rFonts w:ascii="Arial" w:cs="Arial" w:eastAsia="Arial" w:hAnsi="Arial"/>
          <w:sz w:val="14"/>
          <w:szCs w:val="14"/>
          <w:b w:val="1"/>
          <w:bCs w:val="1"/>
          <w:color w:val="auto"/>
        </w:rPr>
        <w:t>THE DECISION</w:t>
      </w:r>
      <w:r>
        <w:rPr>
          <w:rFonts w:ascii="Arial" w:cs="Arial" w:eastAsia="Arial" w:hAnsi="Arial"/>
          <w:sz w:val="14"/>
          <w:szCs w:val="14"/>
          <w:color w:val="auto"/>
        </w:rPr>
        <w:t>. The arbitration shall be conducted in the city or county within which the Premises are located at a reasonably convenient site. Any Party may be represented</w:t>
      </w:r>
      <w:r>
        <w:rPr>
          <w:rFonts w:ascii="Arial" w:cs="Arial" w:eastAsia="Arial" w:hAnsi="Arial"/>
          <w:sz w:val="14"/>
          <w:szCs w:val="14"/>
          <w:b w:val="1"/>
          <w:bCs w:val="1"/>
          <w:color w:val="auto"/>
        </w:rPr>
        <w:t xml:space="preserve"> </w:t>
      </w:r>
      <w:r>
        <w:rPr>
          <w:rFonts w:ascii="Arial" w:cs="Arial" w:eastAsia="Arial" w:hAnsi="Arial"/>
          <w:sz w:val="14"/>
          <w:szCs w:val="14"/>
          <w:color w:val="auto"/>
        </w:rPr>
        <w:t>by counsel or other authorized representative. In rendering a decision(s), the Arbitrator shall determine the rights and obligations of the Parties according to the substantive laws and the terms and provisions of this Lease. The Arbitrator's decision shall be based on the evidence introduced at the hearing, including all logical and reasonable inferences therefrom. The Arbitrator may make any determination and/or grant any remedy or relief that is just and equitable. The decision must be based on, and accompanied by, a written statement of decision explaining the factual and legal basis for the decision as to each of</w:t>
      </w:r>
    </w:p>
    <w:p>
      <w:pPr>
        <w:spacing w:after="0" w:line="231" w:lineRule="auto"/>
        <w:rPr>
          <w:sz w:val="20"/>
          <w:szCs w:val="20"/>
          <w:color w:val="auto"/>
        </w:rPr>
      </w:pPr>
      <w:r>
        <w:rPr>
          <w:rFonts w:ascii="Arial" w:cs="Arial" w:eastAsia="Arial" w:hAnsi="Arial"/>
          <w:sz w:val="16"/>
          <w:szCs w:val="16"/>
          <w:color w:val="auto"/>
        </w:rPr>
        <w:t>INITIALS</w:t>
      </w:r>
    </w:p>
    <w:p>
      <w:pPr>
        <w:spacing w:after="0"/>
        <w:rPr>
          <w:sz w:val="20"/>
          <w:szCs w:val="20"/>
          <w:color w:val="auto"/>
        </w:rPr>
      </w:pPr>
      <w:r>
        <w:rPr>
          <w:rFonts w:ascii="Arial" w:cs="Arial" w:eastAsia="Arial" w:hAnsi="Arial"/>
          <w:sz w:val="16"/>
          <w:szCs w:val="16"/>
          <w:color w:val="auto"/>
        </w:rPr>
        <w:t>© 2019 AIR CRE. All Rights Reserved.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187" w:name="page188"/>
    <w:bookmarkEnd w:id="187"/>
    <w:p>
      <w:pPr>
        <w:ind w:left="120" w:right="580"/>
        <w:spacing w:after="0" w:line="293" w:lineRule="auto"/>
        <w:rPr>
          <w:sz w:val="20"/>
          <w:szCs w:val="20"/>
          <w:color w:val="auto"/>
        </w:rPr>
      </w:pPr>
      <w:r>
        <w:rPr>
          <w:rFonts w:ascii="Arial" w:cs="Arial" w:eastAsia="Arial" w:hAnsi="Arial"/>
          <w:sz w:val="14"/>
          <w:szCs w:val="14"/>
          <w:color w:val="auto"/>
        </w:rPr>
        <w:t>the principal controverted issues. The decision shall be conclusive and binding, and it may thereafter be confirmed as a judgment by the court of applicable jurisdiction, subject only to challenge on the grounds set forth in the applicable statutory or case law (e.g., in California Code of Civil Procedure Section 1286.2). The validity and</w:t>
      </w:r>
    </w:p>
    <w:p>
      <w:pPr>
        <w:spacing w:after="0" w:line="201" w:lineRule="exact"/>
        <w:rPr>
          <w:sz w:val="20"/>
          <w:szCs w:val="20"/>
          <w:color w:val="auto"/>
        </w:rPr>
      </w:pPr>
    </w:p>
    <w:p>
      <w:pPr>
        <w:ind w:left="120" w:right="720"/>
        <w:spacing w:after="0" w:line="277" w:lineRule="auto"/>
        <w:rPr>
          <w:sz w:val="20"/>
          <w:szCs w:val="20"/>
          <w:color w:val="auto"/>
        </w:rPr>
      </w:pPr>
      <w:r>
        <w:rPr>
          <w:rFonts w:ascii="Arial" w:cs="Arial" w:eastAsia="Arial" w:hAnsi="Arial"/>
          <w:sz w:val="14"/>
          <w:szCs w:val="14"/>
          <w:color w:val="auto"/>
        </w:rPr>
        <w:t>enforceability of the Arbitrator's decision is to be determined exclusively by the court of appropriate jurisdiction pursuant to the provisions of this Lease. The Arbitrator may award costs, including without limitation, Arbitrator's fees and costs, attorneys' fees, and expert and witness costs, to the prevailing party, if any, as determined by the Arbitrator in his discretion.</w:t>
      </w:r>
    </w:p>
    <w:p>
      <w:pPr>
        <w:spacing w:after="0" w:line="77"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Whenever a matter which has been submitted to arbitration involves a dispute as to whether or not a particular act or omission (other than a failure to pay money) constitutes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Default, the time to commence or cease such action shall be tolled from the date that the Notice of Arbitration is served through and until the date the Arbitrator renders his or her decision.</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Provided, however, that this provision shall NOT apply in the event that the Arbitrator determines that the Arbitration Notice was prepared in bad faith.</w:t>
      </w:r>
    </w:p>
    <w:p>
      <w:pPr>
        <w:spacing w:after="0" w:line="116" w:lineRule="exact"/>
        <w:rPr>
          <w:sz w:val="20"/>
          <w:szCs w:val="20"/>
          <w:color w:val="auto"/>
        </w:rPr>
      </w:pPr>
    </w:p>
    <w:p>
      <w:pPr>
        <w:ind w:left="120" w:right="340" w:firstLine="374"/>
        <w:spacing w:after="0" w:line="294" w:lineRule="auto"/>
        <w:rPr>
          <w:sz w:val="20"/>
          <w:szCs w:val="20"/>
          <w:color w:val="auto"/>
        </w:rPr>
      </w:pPr>
      <w:r>
        <w:rPr>
          <w:rFonts w:ascii="Arial" w:cs="Arial" w:eastAsia="Arial" w:hAnsi="Arial"/>
          <w:sz w:val="13"/>
          <w:szCs w:val="13"/>
          <w:color w:val="auto"/>
        </w:rPr>
        <w:t>Whenever a dispute arises between the Parties concerning whether or not the failure to make a payment of money constitutes a default, the service of an Arbitration Notice shall NOT toll the time period in which to pay the money. The Party allegedly obligated to pay the money may, however, elect to pay the money "under protest" by accompanying said payment with a written statement setting forth the reasons for such protest. If thereafter, the Arbitrator determines that the Party who received said money was not entitled to such payment, said money shall be promptly returned to the Party who paid such money under protest together with Interest thereon as defined in Paragraph 13.5. If a Party makes a payment "under protest" but no Notice of Arbitration is filed within thirty days, then such protest shall be deemed waived. (See also Paragraph 42 or 43)</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45" w:right="35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285115</wp:posOffset>
            </wp:positionH>
            <wp:positionV relativeFrom="page">
              <wp:posOffset>217805</wp:posOffset>
            </wp:positionV>
            <wp:extent cx="1303020" cy="4114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RIGHT OF FIRST REFUSAL TO LEASE ADDITIONAL SPACE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STANDARD LEASE ADDENDUM</w:t>
      </w:r>
    </w:p>
    <w:p>
      <w:pPr>
        <w:spacing w:after="0" w:line="158"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u w:val="single" w:color="auto"/>
          <w:color w:val="0000FF"/>
        </w:rPr>
        <w:t>March 4, 2022</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7"/>
          <w:szCs w:val="17"/>
          <w:u w:val="single" w:color="auto"/>
          <w:color w:val="0000FF"/>
        </w:rPr>
        <w:t>BML Management, LLC</w:t>
      </w:r>
    </w:p>
    <w:p>
      <w:pPr>
        <w:spacing w:after="0" w:line="9"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Lessee:</w:t>
      </w:r>
      <w:r>
        <w:rPr>
          <w:sz w:val="20"/>
          <w:szCs w:val="20"/>
          <w:color w:val="auto"/>
        </w:rPr>
        <w:tab/>
      </w:r>
      <w:r>
        <w:rPr>
          <w:rFonts w:ascii="Arial" w:cs="Arial" w:eastAsia="Arial" w:hAnsi="Arial"/>
          <w:sz w:val="16"/>
          <w:szCs w:val="16"/>
          <w:u w:val="single" w:color="auto"/>
          <w:color w:val="0000FF"/>
        </w:rPr>
        <w:t>RxSight, Inc.</w:t>
      </w:r>
    </w:p>
    <w:p>
      <w:pPr>
        <w:spacing w:after="0" w:line="31" w:lineRule="exact"/>
        <w:rPr>
          <w:sz w:val="20"/>
          <w:szCs w:val="20"/>
          <w:color w:val="auto"/>
        </w:rPr>
      </w:pPr>
    </w:p>
    <w:p>
      <w:pPr>
        <w:ind w:left="1040"/>
        <w:spacing w:after="0"/>
        <w:tabs>
          <w:tab w:leader="none" w:pos="2820" w:val="left"/>
        </w:tabs>
        <w:rPr>
          <w:sz w:val="20"/>
          <w:szCs w:val="20"/>
          <w:color w:val="auto"/>
        </w:rPr>
      </w:pPr>
      <w:r>
        <w:rPr>
          <w:rFonts w:ascii="Arial" w:cs="Arial" w:eastAsia="Arial" w:hAnsi="Arial"/>
          <w:sz w:val="18"/>
          <w:szCs w:val="18"/>
          <w:b w:val="1"/>
          <w:bCs w:val="1"/>
          <w:color w:val="auto"/>
        </w:rPr>
        <w:t>Property Address:</w:t>
      </w:r>
      <w:r>
        <w:rPr>
          <w:sz w:val="20"/>
          <w:szCs w:val="20"/>
          <w:color w:val="auto"/>
        </w:rPr>
        <w:tab/>
      </w:r>
      <w:r>
        <w:rPr>
          <w:rFonts w:ascii="Arial" w:cs="Arial" w:eastAsia="Arial" w:hAnsi="Arial"/>
          <w:sz w:val="16"/>
          <w:szCs w:val="16"/>
          <w:u w:val="single" w:color="auto"/>
          <w:color w:val="0000FF"/>
        </w:rPr>
        <w:t>125 Columbia, Suite B, Aliso Viejo, CA 92656</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(street address, city, state, zip)</w:t>
      </w:r>
    </w:p>
    <w:p>
      <w:pPr>
        <w:spacing w:after="0" w:line="169"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color w:val="auto"/>
        </w:rPr>
        <w:t>Paragraph:</w:t>
      </w:r>
      <w:r>
        <w:rPr>
          <w:sz w:val="20"/>
          <w:szCs w:val="20"/>
          <w:color w:val="auto"/>
        </w:rPr>
        <w:tab/>
      </w:r>
      <w:r>
        <w:rPr>
          <w:rFonts w:ascii="Arial" w:cs="Arial" w:eastAsia="Arial" w:hAnsi="Arial"/>
          <w:sz w:val="16"/>
          <w:szCs w:val="16"/>
          <w:color w:val="0000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3810</wp:posOffset>
            </wp:positionV>
            <wp:extent cx="24384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1">
                      <a:extLst>
                        <a:ext uri="{28A0092B-C50C-407E-A947-70E740481C1C}"/>
                      </a:extLst>
                    </a:blip>
                    <a:srcRect/>
                    <a:stretch>
                      <a:fillRect/>
                    </a:stretch>
                  </pic:blipFill>
                  <pic:spPr bwMode="auto">
                    <a:xfrm>
                      <a:off x="0" y="0"/>
                      <a:ext cx="243840" cy="8890"/>
                    </a:xfrm>
                    <a:prstGeom prst="rect">
                      <a:avLst/>
                    </a:prstGeom>
                    <a:noFill/>
                  </pic:spPr>
                </pic:pic>
              </a:graphicData>
            </a:graphic>
          </wp:anchor>
        </w:drawing>
      </w:r>
    </w:p>
    <w:p>
      <w:pPr>
        <w:spacing w:after="0" w:line="116" w:lineRule="exact"/>
        <w:rPr>
          <w:sz w:val="20"/>
          <w:szCs w:val="20"/>
          <w:color w:val="auto"/>
        </w:rPr>
      </w:pPr>
    </w:p>
    <w:p>
      <w:pPr>
        <w:ind w:left="120" w:right="240"/>
        <w:spacing w:after="0" w:line="273" w:lineRule="auto"/>
        <w:rPr>
          <w:sz w:val="20"/>
          <w:szCs w:val="20"/>
          <w:color w:val="auto"/>
        </w:rPr>
      </w:pPr>
      <w:r>
        <w:rPr>
          <w:rFonts w:ascii="Arial" w:cs="Arial" w:eastAsia="Arial" w:hAnsi="Arial"/>
          <w:sz w:val="14"/>
          <w:szCs w:val="14"/>
          <w:color w:val="auto"/>
        </w:rPr>
        <w:t>(a)Subject to the provisions of Paragraph 39 Lessee shall have a onetime right to lease (the "Right to Lease") the space described in subparagraph (b) if such space becomes available during the term of this Lease.</w:t>
      </w:r>
    </w:p>
    <w:p>
      <w:pPr>
        <w:spacing w:after="0" w:line="70" w:lineRule="exact"/>
        <w:rPr>
          <w:sz w:val="20"/>
          <w:szCs w:val="20"/>
          <w:color w:val="auto"/>
        </w:rPr>
      </w:pPr>
    </w:p>
    <w:p>
      <w:pPr>
        <w:ind w:left="120" w:right="760"/>
        <w:spacing w:after="0" w:line="243" w:lineRule="auto"/>
        <w:rPr>
          <w:sz w:val="20"/>
          <w:szCs w:val="20"/>
          <w:color w:val="auto"/>
        </w:rPr>
      </w:pPr>
      <w:r>
        <w:rPr>
          <w:rFonts w:ascii="Arial" w:cs="Arial" w:eastAsia="Arial" w:hAnsi="Arial"/>
          <w:sz w:val="14"/>
          <w:szCs w:val="14"/>
          <w:color w:val="auto"/>
        </w:rPr>
        <w:t xml:space="preserve">(b)This Right to Lease shall only apply to the following space in the Project: </w:t>
      </w:r>
      <w:r>
        <w:rPr>
          <w:rFonts w:ascii="Arial" w:cs="Arial" w:eastAsia="Arial" w:hAnsi="Arial"/>
          <w:sz w:val="17"/>
          <w:szCs w:val="17"/>
          <w:u w:val="single" w:color="auto"/>
          <w:color w:val="0000FF"/>
        </w:rPr>
        <w:t>Approximately 7,035 square feet of warehouse space adjacent to the Premises</w:t>
      </w:r>
      <w:r>
        <w:rPr>
          <w:rFonts w:ascii="Arial" w:cs="Arial" w:eastAsia="Arial" w:hAnsi="Arial"/>
          <w:sz w:val="14"/>
          <w:szCs w:val="14"/>
          <w:color w:val="auto"/>
        </w:rPr>
        <w:t xml:space="preserve"> (the "</w:t>
      </w:r>
      <w:r>
        <w:rPr>
          <w:rFonts w:ascii="Arial" w:cs="Arial" w:eastAsia="Arial" w:hAnsi="Arial"/>
          <w:sz w:val="14"/>
          <w:szCs w:val="14"/>
          <w:b w:val="1"/>
          <w:bCs w:val="1"/>
          <w:color w:val="auto"/>
        </w:rPr>
        <w:t>Additional Space</w:t>
      </w:r>
      <w:r>
        <w:rPr>
          <w:rFonts w:ascii="Arial" w:cs="Arial" w:eastAsia="Arial" w:hAnsi="Arial"/>
          <w:sz w:val="14"/>
          <w:szCs w:val="14"/>
          <w:color w:val="auto"/>
        </w:rPr>
        <w:t>").</w:t>
      </w:r>
    </w:p>
    <w:p>
      <w:pPr>
        <w:spacing w:after="0" w:line="72" w:lineRule="exact"/>
        <w:rPr>
          <w:sz w:val="20"/>
          <w:szCs w:val="20"/>
          <w:color w:val="auto"/>
        </w:rPr>
      </w:pPr>
    </w:p>
    <w:p>
      <w:pPr>
        <w:ind w:left="140" w:right="240" w:hanging="29"/>
        <w:spacing w:after="0" w:line="280" w:lineRule="auto"/>
        <w:rPr>
          <w:sz w:val="20"/>
          <w:szCs w:val="20"/>
          <w:color w:val="auto"/>
        </w:rPr>
      </w:pPr>
      <w:r>
        <w:rPr>
          <w:rFonts w:ascii="Arial" w:cs="Arial" w:eastAsia="Arial" w:hAnsi="Arial"/>
          <w:sz w:val="14"/>
          <w:szCs w:val="14"/>
          <w:color w:val="auto"/>
        </w:rPr>
        <w:t>(c)Prior to oﬀering the Additional Space to anyone else Lessor shall give Lessee written notice of the availability of the Additional Space and the date the existing tenant or occupant, if any, is expected to vacate such space. For a period of three business days following delivery of such notice, time being of the essence, Lessee shall have the right to request from Lessor a written statement setting forth the basic economic terms, including, but not limited to, Lessor's determination of the monthly Base Rent, an improvement allowance, if any, and all other economic terms and conditions (collectively, the "Economic Terms"), upon which Lessor is willing to lease the Additional Space. Lessee must make such request in writing. If Lessor has not received such a request from Lessee within such time period Lessee shall be conclusively presumed to have elected not to lease the Additional Space and Lessee's Right to Lease the Additional Space will thereafter be null and void and of no further force or eﬀect.</w:t>
      </w:r>
    </w:p>
    <w:p>
      <w:pPr>
        <w:spacing w:after="0" w:line="61" w:lineRule="exact"/>
        <w:rPr>
          <w:sz w:val="20"/>
          <w:szCs w:val="20"/>
          <w:color w:val="auto"/>
        </w:rPr>
      </w:pPr>
    </w:p>
    <w:p>
      <w:pPr>
        <w:ind w:left="120" w:right="220"/>
        <w:spacing w:after="0" w:line="280" w:lineRule="auto"/>
        <w:rPr>
          <w:sz w:val="20"/>
          <w:szCs w:val="20"/>
          <w:color w:val="auto"/>
        </w:rPr>
      </w:pPr>
      <w:r>
        <w:rPr>
          <w:rFonts w:ascii="Arial" w:cs="Arial" w:eastAsia="Arial" w:hAnsi="Arial"/>
          <w:sz w:val="13"/>
          <w:szCs w:val="13"/>
          <w:color w:val="auto"/>
        </w:rPr>
        <w:t>(d)In establishing the Economic Terms the Lessor will make a good faith determination of the fair market rental rate for the Additional Space. The term "fair market rental rate" as used in this subparagraph shall mean the rental rate that a willing, comparable, renewal tenant (excluding sublease and assignment transactions) would pay, and a willing owner of a comparable quality building located in the same vicinity would accept, for comparable space taking into account (i) the age, quality and layout of the existing improvements in the Additional Space, and</w:t>
      </w:r>
    </w:p>
    <w:p>
      <w:pPr>
        <w:spacing w:after="0" w:line="2" w:lineRule="exact"/>
        <w:rPr>
          <w:sz w:val="20"/>
          <w:szCs w:val="20"/>
          <w:color w:val="auto"/>
        </w:rPr>
      </w:pPr>
    </w:p>
    <w:p>
      <w:pPr>
        <w:ind w:left="120" w:right="280" w:hanging="8"/>
        <w:spacing w:after="0" w:line="268" w:lineRule="auto"/>
        <w:tabs>
          <w:tab w:leader="none" w:pos="332"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items that real estate brokers customarily consider, including, but not limited to, rental rates, space availability, length of lease term, Lessee size, Lessee improvement allowances, operating expenses and allowance, and any other economic matters then being charged by Lessor or owners of similar buildings. In no event, however, shall the monthly Base Rent payable for the Additional Space be less, on a square foot basis, then the Base Rent payable with respect to the original Premises.</w:t>
      </w:r>
    </w:p>
    <w:p>
      <w:pPr>
        <w:spacing w:after="0" w:line="83" w:lineRule="exact"/>
        <w:rPr>
          <w:sz w:val="20"/>
          <w:szCs w:val="20"/>
          <w:color w:val="auto"/>
        </w:rPr>
      </w:pPr>
    </w:p>
    <w:p>
      <w:pPr>
        <w:ind w:left="120" w:right="280"/>
        <w:spacing w:after="0" w:line="275" w:lineRule="auto"/>
        <w:rPr>
          <w:sz w:val="20"/>
          <w:szCs w:val="20"/>
          <w:color w:val="auto"/>
        </w:rPr>
      </w:pPr>
      <w:r>
        <w:rPr>
          <w:rFonts w:ascii="Arial" w:cs="Arial" w:eastAsia="Arial" w:hAnsi="Arial"/>
          <w:sz w:val="14"/>
          <w:szCs w:val="14"/>
          <w:color w:val="auto"/>
        </w:rPr>
        <w:t>(e)For a period of three business days after receipt of the Economic Terms from Lessor, time being of the essence, Lessee shall have the right to give written notice to Lessor of Lessee's exercise of its Right to Lease the Additional Space upon the Economic Terms and the same nonEconomic Terms as set forth in this Lease with respect to the Premises. If Lessee timely exercises its Right to Lease as provided herein, the parties will promptly thereafter execute an amendment to this Lease to include the Additional Space in the Premises and to document the lease terms thereof. If Lessor has not received such notice from Lessee within such time period Lessee shall be conclusively presumed to have elected not to lease the Additional Space and Lessee's Right to Lease the Additional Space will thereafter be null and void and of no further force or eﬀect.</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285115</wp:posOffset>
            </wp:positionH>
            <wp:positionV relativeFrom="page">
              <wp:posOffset>217805</wp:posOffset>
            </wp:positionV>
            <wp:extent cx="1303020" cy="4114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ADDENDUM TO LEASE</w:t>
      </w:r>
    </w:p>
    <w:p>
      <w:pPr>
        <w:spacing w:after="0" w:line="325"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u w:val="single" w:color="auto"/>
          <w:color w:val="0000FF"/>
        </w:rPr>
        <w:t>March 4, 2022</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 and Between</w:t>
      </w:r>
    </w:p>
    <w:p>
      <w:pPr>
        <w:spacing w:after="0" w:line="7"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7"/>
          <w:szCs w:val="17"/>
          <w:u w:val="single" w:color="auto"/>
          <w:color w:val="0000FF"/>
        </w:rPr>
        <w:t>BML Management, LLC</w:t>
      </w:r>
    </w:p>
    <w:p>
      <w:pPr>
        <w:spacing w:after="0" w:line="9"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8"/>
          <w:szCs w:val="18"/>
          <w:b w:val="1"/>
          <w:bCs w:val="1"/>
          <w:color w:val="auto"/>
        </w:rPr>
        <w:t>Lessee:</w:t>
      </w:r>
      <w:r>
        <w:rPr>
          <w:sz w:val="20"/>
          <w:szCs w:val="20"/>
          <w:color w:val="auto"/>
        </w:rPr>
        <w:tab/>
      </w:r>
      <w:r>
        <w:rPr>
          <w:rFonts w:ascii="Arial" w:cs="Arial" w:eastAsia="Arial" w:hAnsi="Arial"/>
          <w:sz w:val="16"/>
          <w:szCs w:val="16"/>
          <w:u w:val="single" w:color="auto"/>
          <w:color w:val="0000FF"/>
        </w:rPr>
        <w:t>RxSight, Inc.</w:t>
      </w:r>
    </w:p>
    <w:p>
      <w:pPr>
        <w:spacing w:after="0" w:line="45" w:lineRule="exact"/>
        <w:rPr>
          <w:sz w:val="20"/>
          <w:szCs w:val="20"/>
          <w:color w:val="auto"/>
        </w:rPr>
      </w:pPr>
    </w:p>
    <w:p>
      <w:pPr>
        <w:ind w:left="1040"/>
        <w:spacing w:after="0"/>
        <w:tabs>
          <w:tab w:leader="none" w:pos="2820" w:val="left"/>
        </w:tabs>
        <w:rPr>
          <w:sz w:val="20"/>
          <w:szCs w:val="20"/>
          <w:color w:val="auto"/>
        </w:rPr>
      </w:pPr>
      <w:r>
        <w:rPr>
          <w:rFonts w:ascii="Arial" w:cs="Arial" w:eastAsia="Arial" w:hAnsi="Arial"/>
          <w:sz w:val="18"/>
          <w:szCs w:val="18"/>
          <w:b w:val="1"/>
          <w:bCs w:val="1"/>
          <w:color w:val="auto"/>
        </w:rPr>
        <w:t>Property Address:</w:t>
      </w:r>
      <w:r>
        <w:rPr>
          <w:sz w:val="20"/>
          <w:szCs w:val="20"/>
          <w:color w:val="auto"/>
        </w:rPr>
        <w:tab/>
      </w:r>
      <w:r>
        <w:rPr>
          <w:rFonts w:ascii="Arial" w:cs="Arial" w:eastAsia="Arial" w:hAnsi="Arial"/>
          <w:sz w:val="16"/>
          <w:szCs w:val="16"/>
          <w:u w:val="single" w:color="auto"/>
          <w:color w:val="0000FF"/>
        </w:rPr>
        <w:t>125 Columbia, Suite B, Aliso Viejo, CA 92656</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(street address, city, state, zip)</w:t>
      </w:r>
    </w:p>
    <w:p>
      <w:pPr>
        <w:spacing w:after="0" w:line="155"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color w:val="auto"/>
        </w:rPr>
        <w:t>Paragraph:</w:t>
      </w:r>
      <w:r>
        <w:rPr>
          <w:sz w:val="20"/>
          <w:szCs w:val="20"/>
          <w:color w:val="auto"/>
        </w:rPr>
        <w:tab/>
      </w:r>
      <w:r>
        <w:rPr>
          <w:rFonts w:ascii="Arial" w:cs="Arial" w:eastAsia="Arial" w:hAnsi="Arial"/>
          <w:sz w:val="16"/>
          <w:szCs w:val="16"/>
          <w:u w:val="single" w:color="auto"/>
          <w:color w:val="0000FF"/>
        </w:rPr>
        <w:t>54-58</w:t>
      </w:r>
    </w:p>
    <w:p>
      <w:pPr>
        <w:spacing w:after="0" w:line="119" w:lineRule="exact"/>
        <w:rPr>
          <w:sz w:val="20"/>
          <w:szCs w:val="20"/>
          <w:color w:val="auto"/>
        </w:rPr>
      </w:pPr>
    </w:p>
    <w:p>
      <w:pPr>
        <w:jc w:val="both"/>
        <w:ind w:left="120" w:right="260"/>
        <w:spacing w:after="0" w:line="271" w:lineRule="auto"/>
        <w:rPr>
          <w:sz w:val="20"/>
          <w:szCs w:val="20"/>
          <w:color w:val="auto"/>
        </w:rPr>
      </w:pPr>
      <w:r>
        <w:rPr>
          <w:rFonts w:ascii="Arial" w:cs="Arial" w:eastAsia="Arial" w:hAnsi="Arial"/>
          <w:sz w:val="19"/>
          <w:szCs w:val="19"/>
          <w:color w:val="FF0000"/>
        </w:rPr>
        <w:t>54.Improvement Allowance. Lessee shall lease the unit with all interior improvements "As-Is". Lessee shall utilize the funds that would be paid as Rent, from the Lessor provided free base rent, to complete the below referenced improvements. Lessee shall obtain Lessor's approval prior to any construction. Additionally, Lessee shall use a fully licensed and insured contractor. If required, all work shall be permitted by the City of Aliso Viejo at Lessee's sole cost and expense.</w:t>
      </w:r>
    </w:p>
    <w:p>
      <w:pPr>
        <w:spacing w:after="0" w:line="3" w:lineRule="exact"/>
        <w:rPr>
          <w:sz w:val="20"/>
          <w:szCs w:val="20"/>
          <w:color w:val="auto"/>
        </w:rPr>
      </w:pPr>
    </w:p>
    <w:p>
      <w:pPr>
        <w:ind w:left="480"/>
        <w:spacing w:after="0"/>
        <w:rPr>
          <w:sz w:val="20"/>
          <w:szCs w:val="20"/>
          <w:color w:val="auto"/>
        </w:rPr>
      </w:pPr>
      <w:r>
        <w:rPr>
          <w:rFonts w:ascii="Arial" w:cs="Arial" w:eastAsia="Arial" w:hAnsi="Arial"/>
          <w:sz w:val="22"/>
          <w:szCs w:val="22"/>
          <w:color w:val="FF0000"/>
        </w:rPr>
        <w:t>Lessee at Lessee’s cost shall provide the following improvements included in the attached plan:</w:t>
      </w:r>
    </w:p>
    <w:p>
      <w:pPr>
        <w:spacing w:after="0" w:line="148" w:lineRule="exact"/>
        <w:rPr>
          <w:sz w:val="20"/>
          <w:szCs w:val="20"/>
          <w:color w:val="auto"/>
        </w:rPr>
      </w:pPr>
    </w:p>
    <w:p>
      <w:pPr>
        <w:ind w:left="1240" w:hanging="381"/>
        <w:spacing w:after="0"/>
        <w:tabs>
          <w:tab w:leader="none" w:pos="1240" w:val="left"/>
        </w:tabs>
        <w:numPr>
          <w:ilvl w:val="0"/>
          <w:numId w:val="179"/>
        </w:numPr>
        <w:rPr>
          <w:rFonts w:ascii="Arial" w:cs="Arial" w:eastAsia="Arial" w:hAnsi="Arial"/>
          <w:sz w:val="22"/>
          <w:szCs w:val="22"/>
          <w:color w:val="FF0000"/>
        </w:rPr>
      </w:pPr>
      <w:r>
        <w:rPr>
          <w:rFonts w:ascii="Arial" w:cs="Arial" w:eastAsia="Arial" w:hAnsi="Arial"/>
          <w:sz w:val="22"/>
          <w:szCs w:val="22"/>
          <w:color w:val="FF0000"/>
        </w:rPr>
        <w:t>New Paint in the office areas.</w:t>
      </w:r>
    </w:p>
    <w:p>
      <w:pPr>
        <w:spacing w:after="0" w:line="8" w:lineRule="exact"/>
        <w:rPr>
          <w:rFonts w:ascii="Arial" w:cs="Arial" w:eastAsia="Arial" w:hAnsi="Arial"/>
          <w:sz w:val="22"/>
          <w:szCs w:val="22"/>
          <w:color w:val="FF0000"/>
        </w:rPr>
      </w:pPr>
    </w:p>
    <w:p>
      <w:pPr>
        <w:ind w:left="1240" w:hanging="381"/>
        <w:spacing w:after="0"/>
        <w:tabs>
          <w:tab w:leader="none" w:pos="1240" w:val="left"/>
        </w:tabs>
        <w:numPr>
          <w:ilvl w:val="0"/>
          <w:numId w:val="179"/>
        </w:numPr>
        <w:rPr>
          <w:rFonts w:ascii="Arial" w:cs="Arial" w:eastAsia="Arial" w:hAnsi="Arial"/>
          <w:sz w:val="22"/>
          <w:szCs w:val="22"/>
          <w:color w:val="FF0000"/>
        </w:rPr>
      </w:pPr>
      <w:r>
        <w:rPr>
          <w:rFonts w:ascii="Arial" w:cs="Arial" w:eastAsia="Arial" w:hAnsi="Arial"/>
          <w:sz w:val="22"/>
          <w:szCs w:val="22"/>
          <w:color w:val="FF0000"/>
        </w:rPr>
        <w:t>New Flooring if needed.</w:t>
      </w:r>
    </w:p>
    <w:p>
      <w:pPr>
        <w:spacing w:after="0" w:line="3" w:lineRule="exact"/>
        <w:rPr>
          <w:rFonts w:ascii="Arial" w:cs="Arial" w:eastAsia="Arial" w:hAnsi="Arial"/>
          <w:sz w:val="22"/>
          <w:szCs w:val="22"/>
          <w:color w:val="FF0000"/>
        </w:rPr>
      </w:pPr>
    </w:p>
    <w:p>
      <w:pPr>
        <w:ind w:left="1240" w:hanging="380"/>
        <w:spacing w:after="0" w:line="230" w:lineRule="auto"/>
        <w:tabs>
          <w:tab w:leader="none" w:pos="1240" w:val="left"/>
        </w:tabs>
        <w:numPr>
          <w:ilvl w:val="0"/>
          <w:numId w:val="179"/>
        </w:numPr>
        <w:rPr>
          <w:rFonts w:ascii="Arial" w:cs="Arial" w:eastAsia="Arial" w:hAnsi="Arial"/>
          <w:sz w:val="22"/>
          <w:szCs w:val="22"/>
          <w:color w:val="FF0000"/>
        </w:rPr>
      </w:pPr>
      <w:r>
        <w:rPr>
          <w:rFonts w:ascii="Arial" w:cs="Arial" w:eastAsia="Arial" w:hAnsi="Arial"/>
          <w:sz w:val="22"/>
          <w:szCs w:val="22"/>
          <w:color w:val="FF0000"/>
        </w:rPr>
        <w:t>Add Side Light windows to the offices along the window line.</w:t>
      </w:r>
    </w:p>
    <w:p>
      <w:pPr>
        <w:ind w:left="1240" w:hanging="380"/>
        <w:spacing w:after="0" w:line="230" w:lineRule="auto"/>
        <w:tabs>
          <w:tab w:leader="none" w:pos="1240" w:val="left"/>
        </w:tabs>
        <w:numPr>
          <w:ilvl w:val="0"/>
          <w:numId w:val="179"/>
        </w:numPr>
        <w:rPr>
          <w:rFonts w:ascii="Arial" w:cs="Arial" w:eastAsia="Arial" w:hAnsi="Arial"/>
          <w:sz w:val="22"/>
          <w:szCs w:val="22"/>
          <w:color w:val="FF0000"/>
        </w:rPr>
      </w:pPr>
      <w:r>
        <w:rPr>
          <w:rFonts w:ascii="Arial" w:cs="Arial" w:eastAsia="Arial" w:hAnsi="Arial"/>
          <w:sz w:val="22"/>
          <w:szCs w:val="22"/>
          <w:color w:val="FF0000"/>
        </w:rPr>
        <w:t>Remove certain walls to open up areas.</w:t>
      </w:r>
    </w:p>
    <w:p>
      <w:pPr>
        <w:ind w:left="1240" w:hanging="381"/>
        <w:spacing w:after="0"/>
        <w:tabs>
          <w:tab w:leader="none" w:pos="1240" w:val="left"/>
        </w:tabs>
        <w:numPr>
          <w:ilvl w:val="0"/>
          <w:numId w:val="179"/>
        </w:numPr>
        <w:rPr>
          <w:rFonts w:ascii="Arial" w:cs="Arial" w:eastAsia="Arial" w:hAnsi="Arial"/>
          <w:sz w:val="22"/>
          <w:szCs w:val="22"/>
          <w:color w:val="FF0000"/>
        </w:rPr>
      </w:pPr>
      <w:r>
        <w:rPr>
          <w:rFonts w:ascii="Arial" w:cs="Arial" w:eastAsia="Arial" w:hAnsi="Arial"/>
          <w:sz w:val="22"/>
          <w:szCs w:val="22"/>
          <w:color w:val="FF0000"/>
        </w:rPr>
        <w:t>Refresh kitchen and bathroom areas.</w:t>
      </w:r>
    </w:p>
    <w:p>
      <w:pPr>
        <w:spacing w:after="0" w:line="283" w:lineRule="exact"/>
        <w:rPr>
          <w:sz w:val="20"/>
          <w:szCs w:val="20"/>
          <w:color w:val="auto"/>
        </w:rPr>
      </w:pPr>
    </w:p>
    <w:p>
      <w:pPr>
        <w:ind w:left="120" w:right="180"/>
        <w:spacing w:after="0" w:line="238" w:lineRule="auto"/>
        <w:rPr>
          <w:sz w:val="20"/>
          <w:szCs w:val="20"/>
          <w:color w:val="auto"/>
        </w:rPr>
      </w:pPr>
      <w:r>
        <w:rPr>
          <w:rFonts w:ascii="Arial" w:cs="Arial" w:eastAsia="Arial" w:hAnsi="Arial"/>
          <w:sz w:val="22"/>
          <w:szCs w:val="22"/>
          <w:color w:val="FF0000"/>
        </w:rPr>
        <w:t>55.Condition of Premises. Prior to occupancy, Landlord shall warrant that all HVAC, Plumbing and electrical systems shall be in proper working condition upon occupancy. Landlord shall fully warranty the roof and HVAC systems for the first 2 years of the lease. Additionally, the property shall be presented in a clean “move in” condition. Lessee shall have exclusive access to the server room and shared to the electrical room.</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1"/>
          <w:szCs w:val="21"/>
          <w:color w:val="FF0000"/>
        </w:rPr>
        <w:t>56.Electricity. Lessee understands there is only one electricity meter for Unit B and the adjacent warehouse. Prior to</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9"/>
          <w:szCs w:val="19"/>
          <w:color w:val="FF0000"/>
        </w:rPr>
        <w:t>installation of the E-Mon D-Mon, Lessor shall invoice Lessee $.22 per square foot each month for their proportionate share of</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FF0000"/>
        </w:rPr>
        <w:t>the cost of electricity. Lessee shall have the right to install an E-Mon-D-Mon sub-meter provided all work is permitted and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FF0000"/>
        </w:rPr>
        <w:t>done by a licensed and bonded electrician. Lessor shall reimburse Lessee for the cost of the E-Mon D-Mon, not to exceed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FF0000"/>
        </w:rPr>
        <w:t>$1,500, after the work has been completed. Upon Lessee installing the E-Mon D-Mon and separating the circuits to the office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FF0000"/>
        </w:rPr>
        <w:t>and warehouse areas, Lessor shall invoice Lessee its specific share of the cost of electricity for the office space only.</w:t>
      </w:r>
    </w:p>
    <w:p>
      <w:pPr>
        <w:spacing w:after="0" w:line="227" w:lineRule="exact"/>
        <w:rPr>
          <w:sz w:val="20"/>
          <w:szCs w:val="20"/>
          <w:color w:val="auto"/>
        </w:rPr>
      </w:pPr>
    </w:p>
    <w:p>
      <w:pPr>
        <w:ind w:left="120" w:right="200"/>
        <w:spacing w:after="0" w:line="238" w:lineRule="auto"/>
        <w:rPr>
          <w:sz w:val="20"/>
          <w:szCs w:val="20"/>
          <w:color w:val="auto"/>
        </w:rPr>
      </w:pPr>
      <w:r>
        <w:rPr>
          <w:rFonts w:ascii="Arial" w:cs="Arial" w:eastAsia="Arial" w:hAnsi="Arial"/>
          <w:sz w:val="22"/>
          <w:szCs w:val="22"/>
          <w:color w:val="FF0000"/>
        </w:rPr>
        <w:t>57.Signage. Lessee shall have the right at their sole cost and expense to install Primary building top signage, eyebrow signage signage with Lessor’s prior approval. All signage shall be in compliance with the development signage program, Lessor and City of Aliso Viejo ordinances. Building top signage above Suite A is already committed but not being used. Lessor must reserve this location for Suite A.</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color w:val="FF0000"/>
        </w:rPr>
        <w:t>58. Trash. Lessee shall contract directly with a waste management company to haul Lessee's trash.</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22"/>
          <w:szCs w:val="22"/>
          <w:color w:val="FF0000"/>
        </w:rPr>
        <w:t>Exhibit A - Floor/Site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4131945" cy="39262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5">
                      <a:extLst>
                        <a:ext uri="{28A0092B-C50C-407E-A947-70E740481C1C}"/>
                      </a:extLst>
                    </a:blip>
                    <a:srcRect/>
                    <a:stretch>
                      <a:fillRect/>
                    </a:stretch>
                  </pic:blipFill>
                  <pic:spPr bwMode="auto">
                    <a:xfrm>
                      <a:off x="0" y="0"/>
                      <a:ext cx="413194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the event of any conflict between the provisions of this Addendum and the printed provisions of the Lease, this Addendum shall control.</w:t>
      </w:r>
    </w:p>
    <w:p>
      <w:pPr>
        <w:spacing w:after="0" w:line="12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2019 AIR CRE. All Rights Reserved.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MTN26.30, Revised 10222020</w:t>
      </w:r>
    </w:p>
    <w:p>
      <w:pPr>
        <w:spacing w:after="0" w:line="236" w:lineRule="auto"/>
        <w:rPr>
          <w:sz w:val="20"/>
          <w:szCs w:val="20"/>
          <w:color w:val="auto"/>
        </w:rPr>
      </w:pPr>
      <w:r>
        <w:rPr>
          <w:rFonts w:ascii="Arial" w:cs="Arial" w:eastAsia="Arial" w:hAnsi="Arial"/>
          <w:sz w:val="16"/>
          <w:szCs w:val="16"/>
          <w:color w:val="auto"/>
        </w:rPr>
        <w:t>INITIALS</w:t>
      </w:r>
    </w:p>
    <w:p>
      <w:pPr>
        <w:jc w:val="right"/>
        <w:spacing w:after="0"/>
        <w:rPr>
          <w:sz w:val="20"/>
          <w:szCs w:val="20"/>
          <w:color w:val="auto"/>
        </w:rPr>
      </w:pPr>
      <w:r>
        <w:rPr>
          <w:rFonts w:ascii="Arial" w:cs="Arial" w:eastAsia="Arial" w:hAnsi="Arial"/>
          <w:sz w:val="16"/>
          <w:szCs w:val="16"/>
          <w:color w:val="auto"/>
        </w:rPr>
        <w:t>Last Edited: 3/7/2022 11:23 AM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28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88" w:right="35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tcPr>
          <w:p>
            <w:pPr>
              <w:ind w:left="1060"/>
              <w:spacing w:after="0"/>
              <w:rPr>
                <w:sz w:val="20"/>
                <w:szCs w:val="20"/>
                <w:color w:val="auto"/>
              </w:rPr>
            </w:pPr>
            <w:r>
              <w:rPr>
                <w:rFonts w:ascii="Arial" w:cs="Arial" w:eastAsia="Arial" w:hAnsi="Arial"/>
                <w:sz w:val="18"/>
                <w:szCs w:val="18"/>
                <w:color w:val="auto"/>
              </w:rPr>
              <w:t>Subsidiaries of the Registrant</w:t>
            </w:r>
          </w:p>
        </w:tc>
      </w:tr>
      <w:tr>
        <w:trPr>
          <w:trHeight w:val="40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 of Subsidiary</w:t>
            </w:r>
          </w:p>
        </w:tc>
        <w:tc>
          <w:tcPr>
            <w:tcW w:w="7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State/Country of Incorporation/Organization</w:t>
            </w:r>
          </w:p>
        </w:tc>
      </w:tr>
      <w:tr>
        <w:trPr>
          <w:trHeight w:val="384"/>
        </w:trPr>
        <w:tc>
          <w:tcPr>
            <w:tcW w:w="3500" w:type="dxa"/>
            <w:vAlign w:val="bottom"/>
          </w:tcPr>
          <w:p>
            <w:pPr>
              <w:jc w:val="center"/>
              <w:spacing w:after="0"/>
              <w:rPr>
                <w:sz w:val="20"/>
                <w:szCs w:val="20"/>
                <w:color w:val="auto"/>
              </w:rPr>
            </w:pPr>
            <w:r>
              <w:rPr>
                <w:rFonts w:ascii="Arial" w:cs="Arial" w:eastAsia="Arial" w:hAnsi="Arial"/>
                <w:sz w:val="18"/>
                <w:szCs w:val="18"/>
                <w:color w:val="auto"/>
                <w:w w:val="94"/>
              </w:rPr>
              <w:t>RxSight B.V.</w:t>
            </w:r>
          </w:p>
        </w:tc>
        <w:tc>
          <w:tcPr>
            <w:tcW w:w="774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3"/>
              </w:rPr>
              <w:t>RxSight GmbH</w:t>
            </w:r>
          </w:p>
        </w:tc>
        <w:tc>
          <w:tcPr>
            <w:tcW w:w="774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493"/>
        </w:trPr>
        <w:tc>
          <w:tcPr>
            <w:tcW w:w="35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(Form S-8 No. 333-258292), pertaining to the RxSight, Inc. 2021 Equity Incentive Plan, 2021 Employee Stock Purchase Plan, 2015 Equity Incentive Plan and 2006 Stock Plan of RxSight, Inc. of our report dated March 8, 2022, with respect to the consolidated financial statements of RxSight, Inc. included in this Annual Report (Form 10-K) for the year ended December 31, 2021.</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Irvine, California</w:t>
      </w:r>
    </w:p>
    <w:p>
      <w:pPr>
        <w:ind w:left="20"/>
        <w:spacing w:after="0"/>
        <w:rPr>
          <w:sz w:val="20"/>
          <w:szCs w:val="20"/>
          <w:color w:val="auto"/>
        </w:rPr>
      </w:pPr>
      <w:r>
        <w:rPr>
          <w:rFonts w:ascii="Arial" w:cs="Arial" w:eastAsia="Arial" w:hAnsi="Arial"/>
          <w:sz w:val="18"/>
          <w:szCs w:val="18"/>
          <w:color w:val="auto"/>
        </w:rPr>
        <w:t>Date: March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Ron Kurtz, M.D., certify that:</w:t>
      </w:r>
    </w:p>
    <w:p>
      <w:pPr>
        <w:spacing w:after="0" w:line="212" w:lineRule="exact"/>
        <w:rPr>
          <w:sz w:val="20"/>
          <w:szCs w:val="20"/>
          <w:color w:val="auto"/>
        </w:rPr>
      </w:pPr>
    </w:p>
    <w:p>
      <w:pPr>
        <w:ind w:left="520" w:hanging="512"/>
        <w:spacing w:after="0"/>
        <w:tabs>
          <w:tab w:leader="none" w:pos="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RxSight,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8, 2022</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Ron Kurtz, M.D.</w:t>
            </w:r>
          </w:p>
        </w:tc>
      </w:tr>
      <w:tr>
        <w:trPr>
          <w:trHeight w:val="155"/>
        </w:trPr>
        <w:tc>
          <w:tcPr>
            <w:tcW w:w="36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100" w:type="dxa"/>
            <w:vAlign w:val="bottom"/>
          </w:tcPr>
          <w:p>
            <w:pPr>
              <w:jc w:val="center"/>
              <w:spacing w:after="0" w:line="154" w:lineRule="exact"/>
              <w:rPr>
                <w:sz w:val="20"/>
                <w:szCs w:val="20"/>
                <w:color w:val="auto"/>
              </w:rPr>
            </w:pPr>
            <w:r>
              <w:rPr>
                <w:rFonts w:ascii="Arial" w:cs="Arial" w:eastAsia="Arial" w:hAnsi="Arial"/>
                <w:sz w:val="17"/>
                <w:szCs w:val="17"/>
                <w:color w:val="auto"/>
              </w:rPr>
              <w:t>Ron Kurtz, M.D.</w:t>
            </w:r>
          </w:p>
        </w:tc>
      </w:tr>
      <w:tr>
        <w:trPr>
          <w:trHeight w:val="189"/>
        </w:trPr>
        <w:tc>
          <w:tcPr>
            <w:tcW w:w="3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00" w:type="dxa"/>
            <w:vAlign w:val="bottom"/>
          </w:tcPr>
          <w:p>
            <w:pPr>
              <w:jc w:val="center"/>
              <w:spacing w:after="0" w:line="189" w:lineRule="exact"/>
              <w:rPr>
                <w:sz w:val="20"/>
                <w:szCs w:val="20"/>
                <w:color w:val="auto"/>
              </w:rPr>
            </w:pPr>
            <w:r>
              <w:rPr>
                <w:rFonts w:ascii="Arial" w:cs="Arial" w:eastAsia="Arial" w:hAnsi="Arial"/>
                <w:sz w:val="18"/>
                <w:szCs w:val="18"/>
                <w:color w:val="auto"/>
                <w:w w:val="95"/>
              </w:rPr>
              <w:t>Chief Executive Officer</w:t>
            </w:r>
          </w:p>
        </w:tc>
      </w:tr>
      <w:tr>
        <w:trPr>
          <w:trHeight w:val="230"/>
        </w:trPr>
        <w:tc>
          <w:tcPr>
            <w:tcW w:w="3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911"/>
        </w:trPr>
        <w:tc>
          <w:tcPr>
            <w:tcW w:w="36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Shelley Thunen certify that:</w:t>
      </w:r>
    </w:p>
    <w:p>
      <w:pPr>
        <w:spacing w:after="0" w:line="212" w:lineRule="exact"/>
        <w:rPr>
          <w:sz w:val="20"/>
          <w:szCs w:val="20"/>
          <w:color w:val="auto"/>
        </w:rPr>
      </w:pPr>
    </w:p>
    <w:p>
      <w:pPr>
        <w:ind w:left="520" w:hanging="512"/>
        <w:spacing w:after="0"/>
        <w:tabs>
          <w:tab w:leader="none" w:pos="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RxSight,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8, 2022</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Shelley Thunen</w:t>
            </w:r>
          </w:p>
        </w:tc>
      </w:tr>
      <w:tr>
        <w:trPr>
          <w:trHeight w:val="155"/>
        </w:trPr>
        <w:tc>
          <w:tcPr>
            <w:tcW w:w="36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100" w:type="dxa"/>
            <w:vAlign w:val="bottom"/>
          </w:tcPr>
          <w:p>
            <w:pPr>
              <w:jc w:val="center"/>
              <w:spacing w:after="0" w:line="154" w:lineRule="exact"/>
              <w:rPr>
                <w:sz w:val="20"/>
                <w:szCs w:val="20"/>
                <w:color w:val="auto"/>
              </w:rPr>
            </w:pPr>
            <w:r>
              <w:rPr>
                <w:rFonts w:ascii="Arial" w:cs="Arial" w:eastAsia="Arial" w:hAnsi="Arial"/>
                <w:sz w:val="17"/>
                <w:szCs w:val="17"/>
                <w:color w:val="auto"/>
                <w:w w:val="96"/>
              </w:rPr>
              <w:t>Shelley Thunen</w:t>
            </w:r>
          </w:p>
        </w:tc>
      </w:tr>
      <w:tr>
        <w:trPr>
          <w:trHeight w:val="189"/>
        </w:trPr>
        <w:tc>
          <w:tcPr>
            <w:tcW w:w="3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00" w:type="dxa"/>
            <w:vAlign w:val="bottom"/>
          </w:tcPr>
          <w:p>
            <w:pPr>
              <w:jc w:val="center"/>
              <w:spacing w:after="0" w:line="189" w:lineRule="exact"/>
              <w:rPr>
                <w:sz w:val="20"/>
                <w:szCs w:val="20"/>
                <w:color w:val="auto"/>
              </w:rPr>
            </w:pPr>
            <w:r>
              <w:rPr>
                <w:rFonts w:ascii="Arial" w:cs="Arial" w:eastAsia="Arial" w:hAnsi="Arial"/>
                <w:sz w:val="18"/>
                <w:szCs w:val="18"/>
                <w:color w:val="auto"/>
                <w:w w:val="93"/>
              </w:rPr>
              <w:t>Chief Financial Officer</w:t>
            </w:r>
          </w:p>
        </w:tc>
      </w:tr>
      <w:tr>
        <w:trPr>
          <w:trHeight w:val="230"/>
        </w:trPr>
        <w:tc>
          <w:tcPr>
            <w:tcW w:w="3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3"/>
              </w:rPr>
              <w:t>(Principal Accounting and Financial Officer)</w:t>
            </w:r>
          </w:p>
        </w:tc>
      </w:tr>
      <w:tr>
        <w:trPr>
          <w:trHeight w:val="506"/>
        </w:trPr>
        <w:tc>
          <w:tcPr>
            <w:tcW w:w="36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In connection with the annual report of RxSight,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8, 2022</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Ron Kurtz, M.D.</w:t>
            </w:r>
          </w:p>
        </w:tc>
      </w:tr>
      <w:tr>
        <w:trPr>
          <w:trHeight w:val="155"/>
        </w:trPr>
        <w:tc>
          <w:tcPr>
            <w:tcW w:w="36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100" w:type="dxa"/>
            <w:vAlign w:val="bottom"/>
          </w:tcPr>
          <w:p>
            <w:pPr>
              <w:jc w:val="center"/>
              <w:spacing w:after="0" w:line="154" w:lineRule="exact"/>
              <w:rPr>
                <w:sz w:val="20"/>
                <w:szCs w:val="20"/>
                <w:color w:val="auto"/>
              </w:rPr>
            </w:pPr>
            <w:r>
              <w:rPr>
                <w:rFonts w:ascii="Arial" w:cs="Arial" w:eastAsia="Arial" w:hAnsi="Arial"/>
                <w:sz w:val="17"/>
                <w:szCs w:val="17"/>
                <w:color w:val="auto"/>
              </w:rPr>
              <w:t>Ron Kurtz, M.D.</w:t>
            </w:r>
          </w:p>
        </w:tc>
      </w:tr>
      <w:tr>
        <w:trPr>
          <w:trHeight w:val="189"/>
        </w:trPr>
        <w:tc>
          <w:tcPr>
            <w:tcW w:w="3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00" w:type="dxa"/>
            <w:vAlign w:val="bottom"/>
          </w:tcPr>
          <w:p>
            <w:pPr>
              <w:jc w:val="center"/>
              <w:spacing w:after="0" w:line="189" w:lineRule="exact"/>
              <w:rPr>
                <w:sz w:val="20"/>
                <w:szCs w:val="20"/>
                <w:color w:val="auto"/>
              </w:rPr>
            </w:pPr>
            <w:r>
              <w:rPr>
                <w:rFonts w:ascii="Arial" w:cs="Arial" w:eastAsia="Arial" w:hAnsi="Arial"/>
                <w:sz w:val="18"/>
                <w:szCs w:val="18"/>
                <w:color w:val="auto"/>
                <w:w w:val="95"/>
              </w:rPr>
              <w:t>Chief Executive Officer</w:t>
            </w:r>
          </w:p>
        </w:tc>
      </w:tr>
      <w:tr>
        <w:trPr>
          <w:trHeight w:val="230"/>
        </w:trPr>
        <w:tc>
          <w:tcPr>
            <w:tcW w:w="3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114"/>
        </w:trPr>
        <w:tc>
          <w:tcPr>
            <w:tcW w:w="36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In connection with the annual report of RxSight,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8, 2022</w:t>
            </w:r>
          </w:p>
        </w:tc>
        <w:tc>
          <w:tcPr>
            <w:tcW w:w="2640" w:type="dxa"/>
            <w:vAlign w:val="bottom"/>
          </w:tcPr>
          <w:p>
            <w:pPr>
              <w:ind w:left="210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Shelley Thunen</w:t>
            </w:r>
          </w:p>
        </w:tc>
      </w:tr>
      <w:tr>
        <w:trPr>
          <w:trHeight w:val="155"/>
        </w:trPr>
        <w:tc>
          <w:tcPr>
            <w:tcW w:w="3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000" w:type="dxa"/>
            <w:vAlign w:val="bottom"/>
          </w:tcPr>
          <w:p>
            <w:pPr>
              <w:jc w:val="center"/>
              <w:spacing w:after="0" w:line="154" w:lineRule="exact"/>
              <w:rPr>
                <w:sz w:val="20"/>
                <w:szCs w:val="20"/>
                <w:color w:val="auto"/>
              </w:rPr>
            </w:pPr>
            <w:r>
              <w:rPr>
                <w:rFonts w:ascii="Arial" w:cs="Arial" w:eastAsia="Arial" w:hAnsi="Arial"/>
                <w:sz w:val="17"/>
                <w:szCs w:val="17"/>
                <w:color w:val="auto"/>
                <w:w w:val="96"/>
              </w:rPr>
              <w:t>Shelley Thunen</w:t>
            </w:r>
          </w:p>
        </w:tc>
      </w:tr>
      <w:tr>
        <w:trPr>
          <w:trHeight w:val="189"/>
        </w:trPr>
        <w:tc>
          <w:tcPr>
            <w:tcW w:w="36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00" w:type="dxa"/>
            <w:vAlign w:val="bottom"/>
          </w:tcPr>
          <w:p>
            <w:pPr>
              <w:jc w:val="center"/>
              <w:spacing w:after="0" w:line="189"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722"/>
        </w:trPr>
        <w:tc>
          <w:tcPr>
            <w:tcW w:w="36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7" w:name="page198"/>
    <w:bookmarkEnd w:id="1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lvl w:ilvl="1">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
      <w:numFmt w:val="bullet"/>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
      <w:numFmt w:val="bullet"/>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
      <w:numFmt w:val="bullet"/>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
      <w:numFmt w:val="bullet"/>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
      <w:numFmt w:val="bullet"/>
      <w:start w:val="1"/>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
      <w:numFmt w:val="bullet"/>
      <w:start w:val="1"/>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
      <w:numFmt w:val="bullet"/>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1)"/>
      <w:numFmt w:val="decimal"/>
      <w:start w:val="2"/>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
      <w:numFmt w:val="bullet"/>
      <w:start w:val="1"/>
    </w:lvl>
  </w:abstractNum>
  <w:abstractNum w:abstractNumId="62">
    <w:nsid w:val="175DFCF0"/>
    <w:multiLevelType w:val="hybridMultilevel"/>
    <w:lvl w:ilvl="0">
      <w:lvlJc w:val="left"/>
      <w:lvlText w:val="•"/>
      <w:numFmt w:val="bullet"/>
      <w:start w:val="1"/>
    </w:lvl>
  </w:abstractNum>
  <w:abstractNum w:abstractNumId="63">
    <w:nsid w:val="4F97E3E4"/>
    <w:multiLevelType w:val="hybridMultilevel"/>
    <w:lvl w:ilvl="0">
      <w:lvlJc w:val="left"/>
      <w:lvlText w:val="•"/>
      <w:numFmt w:val="bullet"/>
      <w:start w:val="1"/>
    </w:lvl>
  </w:abstractNum>
  <w:abstractNum w:abstractNumId="64">
    <w:nsid w:val="53B0A9E"/>
    <w:multiLevelType w:val="hybridMultilevel"/>
    <w:lvl w:ilvl="0">
      <w:lvlJc w:val="left"/>
      <w:lvlText w:val="•"/>
      <w:numFmt w:val="bullet"/>
      <w:start w:val="1"/>
    </w:lvl>
  </w:abstractNum>
  <w:abstractNum w:abstractNumId="65">
    <w:nsid w:val="34FD6B4F"/>
    <w:multiLevelType w:val="hybridMultilevel"/>
    <w:lvl w:ilvl="0">
      <w:lvlJc w:val="left"/>
      <w:lvlText w:val="•"/>
      <w:numFmt w:val="bullet"/>
      <w:start w:val="1"/>
    </w:lvl>
  </w:abstractNum>
  <w:abstractNum w:abstractNumId="66">
    <w:nsid w:val="5915FF32"/>
    <w:multiLevelType w:val="hybridMultilevel"/>
    <w:lvl w:ilvl="0">
      <w:lvlJc w:val="left"/>
      <w:lvlText w:val="•"/>
      <w:numFmt w:val="bullet"/>
      <w:start w:val="1"/>
    </w:lvl>
  </w:abstractNum>
  <w:abstractNum w:abstractNumId="67">
    <w:nsid w:val="56438D15"/>
    <w:multiLevelType w:val="hybridMultilevel"/>
    <w:lvl w:ilvl="0">
      <w:lvlJc w:val="left"/>
      <w:lvlText w:val="•"/>
      <w:numFmt w:val="bullet"/>
      <w:start w:val="1"/>
    </w:lvl>
  </w:abstractNum>
  <w:abstractNum w:abstractNumId="68">
    <w:nsid w:val="519E3149"/>
    <w:multiLevelType w:val="hybridMultilevel"/>
    <w:lvl w:ilvl="0">
      <w:lvlJc w:val="left"/>
      <w:lvlText w:val="•"/>
      <w:numFmt w:val="bullet"/>
      <w:start w:val="1"/>
    </w:lvl>
  </w:abstractNum>
  <w:abstractNum w:abstractNumId="69">
    <w:nsid w:val="2C6E4AFD"/>
    <w:multiLevelType w:val="hybridMultilevel"/>
    <w:lvl w:ilvl="0">
      <w:lvlJc w:val="left"/>
      <w:lvlText w:val="•"/>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
      <w:numFmt w:val="bullet"/>
      <w:start w:val="1"/>
    </w:lvl>
  </w:abstractNum>
  <w:abstractNum w:abstractNumId="72">
    <w:nsid w:val="5046B5A9"/>
    <w:multiLevelType w:val="hybridMultilevel"/>
    <w:lvl w:ilvl="0">
      <w:lvlJc w:val="left"/>
      <w:lvlText w:val="•"/>
      <w:numFmt w:val="bullet"/>
      <w:start w:val="1"/>
    </w:lvl>
  </w:abstractNum>
  <w:abstractNum w:abstractNumId="73">
    <w:nsid w:val="5D888A08"/>
    <w:multiLevelType w:val="hybridMultilevel"/>
    <w:lvl w:ilvl="0">
      <w:lvlJc w:val="left"/>
      <w:lvlText w:val="(%1)"/>
      <w:numFmt w:val="lowerRoman"/>
      <w:start w:val="4"/>
    </w:lvl>
  </w:abstractNum>
  <w:abstractNum w:abstractNumId="74">
    <w:nsid w:val="2A082C70"/>
    <w:multiLevelType w:val="hybridMultilevel"/>
    <w:lvl w:ilvl="0">
      <w:lvlJc w:val="left"/>
      <w:lvlText w:val="•"/>
      <w:numFmt w:val="bullet"/>
      <w:start w:val="1"/>
    </w:lvl>
  </w:abstractNum>
  <w:abstractNum w:abstractNumId="75">
    <w:nsid w:val="5EC6AFD4"/>
    <w:multiLevelType w:val="hybridMultilevel"/>
    <w:lvl w:ilvl="0">
      <w:lvlJc w:val="left"/>
      <w:lvlText w:val="(%1)"/>
      <w:numFmt w:val="decimal"/>
      <w:start w:val="2"/>
    </w:lvl>
  </w:abstractNum>
  <w:abstractNum w:abstractNumId="76">
    <w:nsid w:val="19E21BB2"/>
    <w:multiLevelType w:val="hybridMultilevel"/>
    <w:lvl w:ilvl="0">
      <w:lvlJc w:val="left"/>
      <w:lvlText w:val="(%1)"/>
      <w:numFmt w:val="decimal"/>
      <w:start w:val="1"/>
    </w:lvl>
  </w:abstractNum>
  <w:abstractNum w:abstractNumId="77">
    <w:nsid w:val="75E0858A"/>
    <w:multiLevelType w:val="hybridMultilevel"/>
    <w:lvl w:ilvl="0">
      <w:lvlJc w:val="left"/>
      <w:lvlText w:val="(%1)"/>
      <w:numFmt w:val="decimal"/>
      <w:start w:val="1"/>
    </w:lvl>
  </w:abstractNum>
  <w:abstractNum w:abstractNumId="78">
    <w:nsid w:val="57A61A29"/>
    <w:multiLevelType w:val="hybridMultilevel"/>
    <w:lvl w:ilvl="0">
      <w:lvlJc w:val="left"/>
      <w:lvlText w:val="\emdash "/>
      <w:numFmt w:val="bullet"/>
      <w:start w:val="1"/>
    </w:lvl>
  </w:abstractNum>
  <w:abstractNum w:abstractNumId="79">
    <w:nsid w:val="5399C654"/>
    <w:multiLevelType w:val="hybridMultilevel"/>
    <w:lvl w:ilvl="0">
      <w:lvlJc w:val="left"/>
      <w:lvlText w:val="(%1)"/>
      <w:numFmt w:val="lowerLetter"/>
      <w:start w:val="1"/>
    </w:lvl>
    <w:lvl w:ilvl="1">
      <w:lvlJc w:val="left"/>
      <w:lvlText w:val="(%2)"/>
      <w:numFmt w:val="decimal"/>
      <w:start w:val="1"/>
    </w:lvl>
  </w:abstractNum>
  <w:abstractNum w:abstractNumId="80">
    <w:nsid w:val="20EE1348"/>
    <w:multiLevelType w:val="hybridMultilevel"/>
    <w:lvl w:ilvl="0">
      <w:lvlJc w:val="left"/>
      <w:lvlText w:val="*"/>
      <w:numFmt w:val="bullet"/>
      <w:start w:val="1"/>
    </w:lvl>
  </w:abstractNum>
  <w:abstractNum w:abstractNumId="81">
    <w:nsid w:val="4427069A"/>
    <w:multiLevelType w:val="hybridMultilevel"/>
    <w:lvl w:ilvl="0">
      <w:lvlJc w:val="left"/>
      <w:lvlText w:val="†"/>
      <w:numFmt w:val="bullet"/>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1."/>
      <w:numFmt w:val="decimal"/>
      <w:start w:val="1"/>
    </w:lvl>
  </w:abstractNum>
  <w:abstractNum w:abstractNumId="85">
    <w:nsid w:val="57D2F10E"/>
    <w:multiLevelType w:val="hybridMultilevel"/>
    <w:lvl w:ilvl="0">
      <w:lvlJc w:val="left"/>
      <w:lvlText w:val="(%1)"/>
      <w:numFmt w:val="lowerLetter"/>
      <w:start w:val="1"/>
    </w:lvl>
  </w:abstractNum>
  <w:abstractNum w:abstractNumId="86">
    <w:nsid w:val="BFFAE18"/>
    <w:multiLevelType w:val="hybridMultilevel"/>
    <w:lvl w:ilvl="0">
      <w:lvlJc w:val="left"/>
      <w:lvlText w:val="(%1)"/>
      <w:numFmt w:val="lowerLetter"/>
      <w:start w:val="2"/>
    </w:lvl>
  </w:abstractNum>
  <w:abstractNum w:abstractNumId="87">
    <w:nsid w:val="E3E47A8"/>
    <w:multiLevelType w:val="hybridMultilevel"/>
    <w:lvl w:ilvl="0">
      <w:lvlJc w:val="left"/>
      <w:lvlText w:val="%1."/>
      <w:numFmt w:val="decimal"/>
      <w:start w:val="2"/>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2"/>
    </w:lvl>
  </w:abstractNum>
  <w:abstractNum w:abstractNumId="90">
    <w:nsid w:val="4BEE5A5B"/>
    <w:multiLevelType w:val="hybridMultilevel"/>
    <w:lvl w:ilvl="0">
      <w:lvlJc w:val="left"/>
      <w:lvlText w:val="(%1)"/>
      <w:numFmt w:val="lowerLetter"/>
      <w:start w:val="1"/>
    </w:lvl>
    <w:lvl w:ilvl="1">
      <w:lvlJc w:val="left"/>
      <w:lvlText w:val="%2"/>
      <w:numFmt w:val="lowerLetter"/>
      <w:start w:val="1"/>
    </w:lvl>
  </w:abstractNum>
  <w:abstractNum w:abstractNumId="91">
    <w:nsid w:val="5551B9F3"/>
    <w:multiLevelType w:val="hybridMultilevel"/>
    <w:lvl w:ilvl="0">
      <w:lvlJc w:val="left"/>
      <w:lvlText w:val="(%1)"/>
      <w:numFmt w:val="lowerLetter"/>
      <w:start w:val="1"/>
    </w:lvl>
    <w:lvl w:ilvl="1">
      <w:lvlJc w:val="left"/>
      <w:lvlText w:val="%2"/>
      <w:numFmt w:val="lowerLetter"/>
      <w:start w:val="1"/>
    </w:lvl>
  </w:abstractNum>
  <w:abstractNum w:abstractNumId="92">
    <w:nsid w:val="24F6AB8E"/>
    <w:multiLevelType w:val="hybridMultilevel"/>
    <w:lvl w:ilvl="0">
      <w:lvlJc w:val="left"/>
      <w:lvlText w:val="(%1)"/>
      <w:numFmt w:val="lowerLetter"/>
      <w:start w:val="2"/>
    </w:lvl>
  </w:abstractNum>
  <w:abstractNum w:abstractNumId="93">
    <w:nsid w:val="634C574C"/>
    <w:multiLevelType w:val="hybridMultilevel"/>
    <w:lvl w:ilvl="0">
      <w:lvlJc w:val="left"/>
      <w:lvlText w:val="%1."/>
      <w:numFmt w:val="decimal"/>
      <w:start w:val="5"/>
    </w:lvl>
  </w:abstractNum>
  <w:abstractNum w:abstractNumId="94">
    <w:nsid w:val="24E99DD7"/>
    <w:multiLevelType w:val="hybridMultilevel"/>
    <w:lvl w:ilvl="0">
      <w:lvlJc w:val="left"/>
      <w:lvlText w:val="%1."/>
      <w:numFmt w:val="decimal"/>
      <w:start w:val="6"/>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Roman"/>
      <w:start w:val="1"/>
    </w:lvl>
  </w:abstractNum>
  <w:abstractNum w:abstractNumId="97">
    <w:nsid w:val="7DFF9D09"/>
    <w:multiLevelType w:val="hybridMultilevel"/>
    <w:lvl w:ilvl="0">
      <w:lvlJc w:val="left"/>
      <w:lvlText w:val="(%1)"/>
      <w:numFmt w:val="lowerLetter"/>
      <w:start w:val="28"/>
    </w:lvl>
    <w:lvl w:ilvl="1">
      <w:lvlJc w:val="left"/>
      <w:lvlText w:val="%2"/>
      <w:numFmt w:val="lowerLetter"/>
      <w:start w:val="1"/>
    </w:lvl>
  </w:abstractNum>
  <w:abstractNum w:abstractNumId="98">
    <w:nsid w:val="754342"/>
    <w:multiLevelType w:val="hybridMultilevel"/>
    <w:lvl w:ilvl="0">
      <w:lvlJc w:val="left"/>
      <w:lvlText w:val="(%1)"/>
      <w:numFmt w:val="lowerLetter"/>
      <w:start w:val="30"/>
    </w:lvl>
    <w:lvl w:ilvl="1">
      <w:lvlJc w:val="left"/>
      <w:lvlText w:val="%2"/>
      <w:numFmt w:val="lowerLetter"/>
      <w:start w:val="1"/>
    </w:lvl>
  </w:abstractNum>
  <w:abstractNum w:abstractNumId="99">
    <w:nsid w:val="69E7F3E5"/>
    <w:multiLevelType w:val="hybridMultilevel"/>
    <w:lvl w:ilvl="0">
      <w:lvlJc w:val="left"/>
      <w:lvlText w:val="%1"/>
      <w:numFmt w:val="lowerLetter"/>
      <w:start w:val="1"/>
    </w:lvl>
    <w:lvl w:ilvl="1">
      <w:lvlJc w:val="left"/>
      <w:lvlText w:val="(%2)"/>
      <w:numFmt w:val="lowerRoman"/>
      <w:start w:val="2"/>
    </w:lvl>
  </w:abstractNum>
  <w:abstractNum w:abstractNumId="100">
    <w:nsid w:val="2A6DE806"/>
    <w:multiLevelType w:val="hybridMultilevel"/>
    <w:lvl w:ilvl="0">
      <w:lvlJc w:val="left"/>
      <w:lvlText w:val="(%1)"/>
      <w:numFmt w:val="lowerLetter"/>
      <w:start w:val="2"/>
    </w:lvl>
    <w:lvl w:ilvl="1">
      <w:lvlJc w:val="left"/>
      <w:lvlText w:val="%2"/>
      <w:numFmt w:val="lowerRoman"/>
      <w:start w:val="1"/>
    </w:lvl>
  </w:abstractNum>
  <w:abstractNum w:abstractNumId="101">
    <w:nsid w:val="1816F8C4"/>
    <w:multiLevelType w:val="hybridMultilevel"/>
    <w:lvl w:ilvl="0">
      <w:lvlJc w:val="left"/>
      <w:lvlText w:val="%1."/>
      <w:numFmt w:val="decimal"/>
      <w:start w:val="6"/>
    </w:lvl>
  </w:abstractNum>
  <w:abstractNum w:abstractNumId="102">
    <w:nsid w:val="37DF2233"/>
    <w:multiLevelType w:val="hybridMultilevel"/>
    <w:lvl w:ilvl="0">
      <w:lvlJc w:val="left"/>
      <w:lvlText w:val="(%1)"/>
      <w:numFmt w:val="lowerLetter"/>
      <w:start w:val="1"/>
    </w:lvl>
  </w:abstractNum>
  <w:abstractNum w:abstractNumId="103">
    <w:nsid w:val="7AB49DAF"/>
    <w:multiLevelType w:val="hybridMultilevel"/>
    <w:lvl w:ilvl="0">
      <w:lvlJc w:val="left"/>
      <w:lvlText w:val="(%1)"/>
      <w:numFmt w:val="lowerLetter"/>
      <w:start w:val="4"/>
    </w:lvl>
  </w:abstractNum>
  <w:abstractNum w:abstractNumId="104">
    <w:nsid w:val="759F82CD"/>
    <w:multiLevelType w:val="hybridMultilevel"/>
    <w:lvl w:ilvl="0">
      <w:lvlJc w:val="left"/>
      <w:lvlText w:val="%1."/>
      <w:numFmt w:val="decimal"/>
      <w:start w:val="9"/>
    </w:lvl>
    <w:lvl w:ilvl="1">
      <w:lvlJc w:val="left"/>
      <w:lvlText w:val="(%2)"/>
      <w:numFmt w:val="lowerLetter"/>
      <w:start w:val="1"/>
    </w:lvl>
  </w:abstractNum>
  <w:abstractNum w:abstractNumId="105">
    <w:nsid w:val="61E74EA3"/>
    <w:multiLevelType w:val="hybridMultilevel"/>
    <w:lvl w:ilvl="0">
      <w:lvlJc w:val="left"/>
      <w:lvlText w:val="(%1)"/>
      <w:numFmt w:val="lowerLetter"/>
      <w:start w:val="4"/>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8">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9">
    <w:nsid w:val="312167AD"/>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10">
    <w:nsid w:val="631B64D4"/>
    <w:multiLevelType w:val="hybridMultilevel"/>
    <w:lvl w:ilvl="0">
      <w:lvlJc w:val="left"/>
      <w:lvlText w:val="(%1)"/>
      <w:numFmt w:val="lowerLetter"/>
      <w:start w:val="1"/>
    </w:lvl>
  </w:abstractNum>
  <w:abstractNum w:abstractNumId="111">
    <w:nsid w:val="78B5E776"/>
    <w:multiLevelType w:val="hybridMultilevel"/>
    <w:lvl w:ilvl="0">
      <w:lvlJc w:val="left"/>
      <w:lvlText w:val="(%1)"/>
      <w:numFmt w:val="lowerLetter"/>
      <w:start w:val="1"/>
    </w:lvl>
    <w:lvl w:ilvl="1">
      <w:lvlJc w:val="left"/>
      <w:lvlText w:val="%2"/>
      <w:numFmt w:val="lowerLetter"/>
      <w:start w:val="1"/>
    </w:lvl>
  </w:abstractNum>
  <w:abstractNum w:abstractNumId="112">
    <w:nsid w:val="75486E47"/>
    <w:multiLevelType w:val="hybridMultilevel"/>
    <w:lvl w:ilvl="0">
      <w:lvlJc w:val="left"/>
      <w:lvlText w:val="(%1)"/>
      <w:numFmt w:val="lowerLetter"/>
      <w:start w:val="1"/>
    </w:lvl>
    <w:lvl w:ilvl="1">
      <w:lvlJc w:val="left"/>
      <w:lvlText w:val="%2"/>
      <w:numFmt w:val="lowerLetter"/>
      <w:start w:val="1"/>
    </w:lvl>
  </w:abstractNum>
  <w:abstractNum w:abstractNumId="113">
    <w:nsid w:val="6E534CDE"/>
    <w:multiLevelType w:val="hybridMultilevel"/>
    <w:lvl w:ilvl="0">
      <w:lvlJc w:val="left"/>
      <w:lvlText w:val="(%1)"/>
      <w:numFmt w:val="lowerLetter"/>
      <w:start w:val="2"/>
    </w:lvl>
  </w:abstractNum>
  <w:abstractNum w:abstractNumId="114">
    <w:nsid w:val="1A0DDE32"/>
    <w:multiLevelType w:val="hybridMultilevel"/>
    <w:lvl w:ilvl="0">
      <w:lvlJc w:val="left"/>
      <w:lvlText w:val="%1."/>
      <w:numFmt w:val="decimal"/>
      <w:start w:val="11"/>
    </w:lvl>
    <w:lvl w:ilvl="1">
      <w:lvlJc w:val="left"/>
      <w:lvlText w:val="(%2)"/>
      <w:numFmt w:val="lowerLetter"/>
      <w:start w:val="1"/>
    </w:lvl>
  </w:abstractNum>
  <w:abstractNum w:abstractNumId="115">
    <w:nsid w:val="65968C1C"/>
    <w:multiLevelType w:val="hybridMultilevel"/>
    <w:lvl w:ilvl="0">
      <w:lvlJc w:val="left"/>
      <w:lvlText w:val="(%1)"/>
      <w:numFmt w:val="lowerLetter"/>
      <w:start w:val="3"/>
    </w:lvl>
  </w:abstractNum>
  <w:abstractNum w:abstractNumId="116">
    <w:nsid w:val="46263DEC"/>
    <w:multiLevelType w:val="hybridMultilevel"/>
    <w:lvl w:ilvl="0">
      <w:lvlJc w:val="left"/>
      <w:lvlText w:val="(%1)"/>
      <w:numFmt w:val="lowerLetter"/>
      <w:start w:val="1"/>
    </w:lvl>
  </w:abstractNum>
  <w:abstractNum w:abstractNumId="117">
    <w:nsid w:val="260D8C4A"/>
    <w:multiLevelType w:val="hybridMultilevel"/>
    <w:lvl w:ilvl="0">
      <w:lvlJc w:val="left"/>
      <w:lvlText w:val="%1"/>
      <w:numFmt w:val="decimal"/>
      <w:start w:val="1"/>
    </w:lvl>
    <w:lvl w:ilvl="1">
      <w:lvlJc w:val="left"/>
      <w:lvlText w:val="(%2)"/>
      <w:numFmt w:val="lowerLetter"/>
      <w:start w:val="2"/>
    </w:lvl>
  </w:abstractNum>
  <w:abstractNum w:abstractNumId="118">
    <w:nsid w:val="73D4D3C4"/>
    <w:multiLevelType w:val="hybridMultilevel"/>
    <w:lvl w:ilvl="0">
      <w:lvlJc w:val="left"/>
      <w:lvlText w:val="%1."/>
      <w:numFmt w:val="decimal"/>
      <w:start w:val="12"/>
    </w:lvl>
    <w:lvl w:ilvl="1">
      <w:lvlJc w:val="left"/>
      <w:lvlText w:val="%2"/>
      <w:numFmt w:val="lowerLetter"/>
      <w:start w:val="1"/>
    </w:lvl>
  </w:abstractNum>
  <w:abstractNum w:abstractNumId="119">
    <w:nsid w:val="746F2E30"/>
    <w:multiLevelType w:val="hybridMultilevel"/>
    <w:lvl w:ilvl="0">
      <w:lvlJc w:val="left"/>
      <w:lvlText w:val="%1."/>
      <w:numFmt w:val="decimal"/>
      <w:start w:val="13"/>
    </w:lvl>
  </w:abstractNum>
  <w:abstractNum w:abstractNumId="120">
    <w:nsid w:val="6FDE8AF6"/>
    <w:multiLevelType w:val="hybridMultilevel"/>
    <w:lvl w:ilvl="0">
      <w:lvlJc w:val="left"/>
      <w:lvlText w:val="%1."/>
      <w:numFmt w:val="decimal"/>
      <w:start w:val="14"/>
    </w:lvl>
    <w:lvl w:ilvl="1">
      <w:lvlJc w:val="left"/>
      <w:lvlText w:val="(%2)"/>
      <w:numFmt w:val="lowerLetter"/>
      <w:start w:val="1"/>
    </w:lvl>
  </w:abstractNum>
  <w:abstractNum w:abstractNumId="121">
    <w:nsid w:val="3FC32E20"/>
    <w:multiLevelType w:val="hybridMultilevel"/>
    <w:lvl w:ilvl="0">
      <w:lvlJc w:val="left"/>
      <w:lvlText w:val="(%1)"/>
      <w:numFmt w:val="lowerLetter"/>
      <w:start w:val="5"/>
    </w:lvl>
    <w:lvl w:ilvl="1">
      <w:lvlJc w:val="left"/>
      <w:lvlText w:val="%2"/>
      <w:numFmt w:val="lowerLetter"/>
      <w:start w:val="1"/>
    </w:lvl>
  </w:abstractNum>
  <w:abstractNum w:abstractNumId="122">
    <w:nsid w:val="49C0E823"/>
    <w:multiLevelType w:val="hybridMultilevel"/>
    <w:lvl w:ilvl="0">
      <w:lvlJc w:val="left"/>
      <w:lvlText w:val="(%1)"/>
      <w:numFmt w:val="lowerLetter"/>
      <w:start w:val="1"/>
    </w:lvl>
    <w:lvl w:ilvl="1">
      <w:lvlJc w:val="left"/>
      <w:lvlText w:val="%2"/>
      <w:numFmt w:val="lowerLetter"/>
      <w:start w:val="1"/>
    </w:lvl>
  </w:abstractNum>
  <w:abstractNum w:abstractNumId="123">
    <w:nsid w:val="14D53685"/>
    <w:multiLevelType w:val="hybridMultilevel"/>
    <w:lvl w:ilvl="0">
      <w:lvlJc w:val="left"/>
      <w:lvlText w:val="(%1)"/>
      <w:numFmt w:val="lowerLetter"/>
      <w:start w:val="5"/>
    </w:lvl>
  </w:abstractNum>
  <w:abstractNum w:abstractNumId="124">
    <w:nsid w:val="230F856C"/>
    <w:multiLevelType w:val="hybridMultilevel"/>
    <w:lvl w:ilvl="0">
      <w:lvlJc w:val="left"/>
      <w:lvlText w:val="(%1)"/>
      <w:numFmt w:val="lowerLetter"/>
      <w:start w:val="1"/>
    </w:lvl>
  </w:abstractNum>
  <w:abstractNum w:abstractNumId="125">
    <w:nsid w:val="6EAA85FB"/>
    <w:multiLevelType w:val="hybridMultilevel"/>
    <w:lvl w:ilvl="0">
      <w:lvlJc w:val="left"/>
      <w:lvlText w:val="%1"/>
      <w:numFmt w:val="decimal"/>
      <w:start w:val="1"/>
    </w:lvl>
    <w:lvl w:ilvl="1">
      <w:lvlJc w:val="left"/>
      <w:lvlText w:val="(%2)"/>
      <w:numFmt w:val="lowerLetter"/>
      <w:start w:val="2"/>
    </w:lvl>
  </w:abstractNum>
  <w:abstractNum w:abstractNumId="126">
    <w:nsid w:val="3F06ECB2"/>
    <w:multiLevelType w:val="hybridMultilevel"/>
    <w:lvl w:ilvl="0">
      <w:lvlJc w:val="left"/>
      <w:lvlText w:val="%1."/>
      <w:numFmt w:val="decimal"/>
      <w:start w:val="15"/>
    </w:lvl>
    <w:lvl w:ilvl="1">
      <w:lvlJc w:val="left"/>
      <w:lvlText w:val="%2"/>
      <w:numFmt w:val="lowerLetter"/>
      <w:start w:val="1"/>
    </w:lvl>
  </w:abstractNum>
  <w:abstractNum w:abstractNumId="127">
    <w:nsid w:val="3B594807"/>
    <w:multiLevelType w:val="hybridMultilevel"/>
    <w:lvl w:ilvl="0">
      <w:lvlJc w:val="left"/>
      <w:lvlText w:val="(%1)"/>
      <w:numFmt w:val="lowerLetter"/>
      <w:start w:val="1"/>
    </w:lvl>
  </w:abstractNum>
  <w:abstractNum w:abstractNumId="128">
    <w:nsid w:val="6CAA2304"/>
    <w:multiLevelType w:val="hybridMultilevel"/>
    <w:lvl w:ilvl="0">
      <w:lvlJc w:val="left"/>
      <w:lvlText w:val="(%1)"/>
      <w:numFmt w:val="lowerLetter"/>
      <w:start w:val="5"/>
    </w:lvl>
    <w:lvl w:ilvl="1">
      <w:lvlJc w:val="left"/>
      <w:lvlText w:val="%2"/>
      <w:numFmt w:val="lowerLetter"/>
      <w:start w:val="1"/>
    </w:lvl>
  </w:abstractNum>
  <w:abstractNum w:abstractNumId="129">
    <w:nsid w:val="3F7C2FF4"/>
    <w:multiLevelType w:val="hybridMultilevel"/>
    <w:lvl w:ilvl="0">
      <w:lvlJc w:val="left"/>
      <w:lvlText w:val="(%1)"/>
      <w:numFmt w:val="lowerLetter"/>
      <w:start w:val="1"/>
    </w:lvl>
    <w:lvl w:ilvl="1">
      <w:lvlJc w:val="left"/>
      <w:lvlText w:val="%2"/>
      <w:numFmt w:val="lowerLetter"/>
      <w:start w:val="1"/>
    </w:lvl>
  </w:abstractNum>
  <w:abstractNum w:abstractNumId="130">
    <w:nsid w:val="25413BEC"/>
    <w:multiLevelType w:val="hybridMultilevel"/>
    <w:lvl w:ilvl="0">
      <w:lvlJc w:val="left"/>
      <w:lvlText w:val="(%1)"/>
      <w:numFmt w:val="lowerLetter"/>
      <w:start w:val="2"/>
    </w:lvl>
  </w:abstractNum>
  <w:abstractNum w:abstractNumId="131">
    <w:nsid w:val="17180B0B"/>
    <w:multiLevelType w:val="hybridMultilevel"/>
    <w:lvl w:ilvl="0">
      <w:lvlJc w:val="left"/>
      <w:lvlText w:val="(%1)"/>
      <w:numFmt w:val="lowerLetter"/>
      <w:start w:val="1"/>
    </w:lvl>
  </w:abstractNum>
  <w:abstractNum w:abstractNumId="132">
    <w:nsid w:val="579328B9"/>
    <w:multiLevelType w:val="hybridMultilevel"/>
    <w:lvl w:ilvl="0">
      <w:lvlJc w:val="left"/>
      <w:lvlText w:val="%1."/>
      <w:numFmt w:val="decimal"/>
      <w:start w:val="17"/>
    </w:lvl>
  </w:abstractNum>
  <w:abstractNum w:abstractNumId="133">
    <w:nsid w:val="5D205E20"/>
    <w:multiLevelType w:val="hybridMultilevel"/>
    <w:lvl w:ilvl="0">
      <w:lvlJc w:val="left"/>
      <w:lvlText w:val="%1."/>
      <w:numFmt w:val="decimal"/>
      <w:start w:val="18"/>
    </w:lvl>
    <w:lvl w:ilvl="1">
      <w:lvlJc w:val="left"/>
      <w:lvlText w:val="(%2)"/>
      <w:numFmt w:val="lowerLetter"/>
      <w:start w:val="1"/>
    </w:lvl>
  </w:abstractNum>
  <w:abstractNum w:abstractNumId="134">
    <w:nsid w:val="11CCA8BA"/>
    <w:multiLevelType w:val="hybridMultilevel"/>
    <w:lvl w:ilvl="0">
      <w:lvlJc w:val="left"/>
      <w:lvlText w:val="(%1)"/>
      <w:numFmt w:val="lowerLetter"/>
      <w:start w:val="3"/>
    </w:lvl>
  </w:abstractNum>
  <w:abstractNum w:abstractNumId="135">
    <w:nsid w:val="4D32AB86"/>
    <w:multiLevelType w:val="hybridMultilevel"/>
    <w:lvl w:ilvl="0">
      <w:lvlJc w:val="left"/>
      <w:lvlText w:val="%1."/>
      <w:numFmt w:val="decimal"/>
      <w:start w:val="21"/>
    </w:lvl>
  </w:abstractNum>
  <w:abstractNum w:abstractNumId="136">
    <w:nsid w:val="3F07ACC3"/>
    <w:multiLevelType w:val="hybridMultilevel"/>
    <w:lvl w:ilvl="0">
      <w:lvlJc w:val="left"/>
      <w:lvlText w:val="%1."/>
      <w:numFmt w:val="decimal"/>
      <w:start w:val="23"/>
    </w:lvl>
  </w:abstractNum>
  <w:abstractNum w:abstractNumId="137">
    <w:nsid w:val="6B47F63E"/>
    <w:multiLevelType w:val="hybridMultilevel"/>
    <w:lvl w:ilvl="0">
      <w:lvlJc w:val="left"/>
      <w:lvlText w:val="%1."/>
      <w:numFmt w:val="decimal"/>
      <w:start w:val="25"/>
    </w:lvl>
  </w:abstractNum>
  <w:abstractNum w:abstractNumId="138">
    <w:nsid w:val="5CB44A05"/>
    <w:multiLevelType w:val="hybridMultilevel"/>
    <w:lvl w:ilvl="0">
      <w:lvlJc w:val="left"/>
      <w:lvlText w:val="%1."/>
      <w:numFmt w:val="decimal"/>
      <w:start w:val="26"/>
    </w:lvl>
    <w:lvl w:ilvl="1">
      <w:lvlJc w:val="left"/>
      <w:lvlText w:val="(%2)"/>
      <w:numFmt w:val="lowerLetter"/>
      <w:start w:val="1"/>
    </w:lvl>
  </w:abstractNum>
  <w:abstractNum w:abstractNumId="139">
    <w:nsid w:val="16CF80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0">
    <w:nsid w:val="1C695DEC"/>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141">
    <w:nsid w:val="3FCFAED9"/>
    <w:multiLevelType w:val="hybridMultilevel"/>
    <w:lvl w:ilvl="0">
      <w:lvlJc w:val="left"/>
      <w:lvlText w:val="%1"/>
      <w:numFmt w:val="lowerLetter"/>
      <w:start w:val="1"/>
    </w:lvl>
    <w:lvl w:ilvl="1">
      <w:lvlJc w:val="left"/>
      <w:lvlText w:val="(%2)"/>
      <w:numFmt w:val="lowerLetter"/>
      <w:start w:val="61"/>
    </w:lvl>
  </w:abstractNum>
  <w:abstractNum w:abstractNumId="142">
    <w:nsid w:val="F856867"/>
    <w:multiLevelType w:val="hybridMultilevel"/>
    <w:lvl w:ilvl="0">
      <w:lvlJc w:val="left"/>
      <w:lvlText w:val="(%1)"/>
      <w:numFmt w:val="lowerLetter"/>
      <w:start w:val="2"/>
    </w:lvl>
    <w:lvl w:ilvl="1">
      <w:lvlJc w:val="left"/>
      <w:lvlText w:val="%2"/>
      <w:numFmt w:val="lowerLetter"/>
      <w:start w:val="1"/>
    </w:lvl>
  </w:abstractNum>
  <w:abstractNum w:abstractNumId="143">
    <w:nsid w:val="11B1CC33"/>
    <w:multiLevelType w:val="hybridMultilevel"/>
    <w:lvl w:ilvl="0">
      <w:lvlJc w:val="left"/>
      <w:lvlText w:val="(%1)"/>
      <w:numFmt w:val="lowerLetter"/>
      <w:start w:val="3"/>
    </w:lvl>
  </w:abstractNum>
  <w:abstractNum w:abstractNumId="144">
    <w:nsid w:val="2E22FBB7"/>
    <w:multiLevelType w:val="hybridMultilevel"/>
    <w:lvl w:ilvl="0">
      <w:lvlJc w:val="left"/>
      <w:lvlText w:val="%1."/>
      <w:numFmt w:val="decimal"/>
      <w:start w:val="32"/>
    </w:lvl>
  </w:abstractNum>
  <w:abstractNum w:abstractNumId="145">
    <w:nsid w:val="29934699"/>
    <w:multiLevelType w:val="hybridMultilevel"/>
    <w:lvl w:ilvl="0">
      <w:lvlJc w:val="left"/>
      <w:lvlText w:val="(%1)"/>
      <w:numFmt w:val="lowerLetter"/>
      <w:start w:val="2"/>
    </w:lvl>
  </w:abstractNum>
  <w:abstractNum w:abstractNumId="146">
    <w:nsid w:val="77485850"/>
    <w:multiLevelType w:val="hybridMultilevel"/>
    <w:lvl w:ilvl="0">
      <w:lvlJc w:val="left"/>
      <w:lvlText w:val="%1."/>
      <w:numFmt w:val="decimal"/>
      <w:start w:val="39"/>
    </w:lvl>
  </w:abstractNum>
  <w:abstractNum w:abstractNumId="147">
    <w:nsid w:val="744939A3"/>
    <w:multiLevelType w:val="hybridMultilevel"/>
    <w:lvl w:ilvl="0">
      <w:lvlJc w:val="left"/>
      <w:lvlText w:val="%1."/>
      <w:numFmt w:val="decimal"/>
      <w:start w:val="41"/>
    </w:lvl>
  </w:abstractNum>
  <w:abstractNum w:abstractNumId="148">
    <w:nsid w:val="4FA0D2E3"/>
    <w:multiLevelType w:val="hybridMultilevel"/>
    <w:lvl w:ilvl="0">
      <w:lvlJc w:val="left"/>
      <w:lvlText w:val="(%1)"/>
      <w:numFmt w:val="lowerLetter"/>
      <w:start w:val="1"/>
    </w:lvl>
  </w:abstractNum>
  <w:abstractNum w:abstractNumId="149">
    <w:nsid w:val="6B1D2C14"/>
    <w:multiLevelType w:val="hybridMultilevel"/>
    <w:lvl w:ilvl="0">
      <w:lvlJc w:val="left"/>
      <w:lvlText w:val="(%1)"/>
      <w:numFmt w:val="lowerLetter"/>
      <w:start w:val="2"/>
    </w:lvl>
  </w:abstractNum>
  <w:abstractNum w:abstractNumId="150">
    <w:nsid w:val="68B867D3"/>
    <w:multiLevelType w:val="hybridMultilevel"/>
    <w:lvl w:ilvl="0">
      <w:lvlJc w:val="left"/>
      <w:lvlText w:val="%1."/>
      <w:numFmt w:val="decimal"/>
      <w:start w:val="45"/>
    </w:lvl>
    <w:lvl w:ilvl="1">
      <w:lvlJc w:val="left"/>
      <w:lvlText w:val="(%2)"/>
      <w:numFmt w:val="lowerLetter"/>
      <w:start w:val="1"/>
    </w:lvl>
  </w:abstractNum>
  <w:abstractNum w:abstractNumId="151">
    <w:nsid w:val="3F7F5DD9"/>
    <w:multiLevelType w:val="hybridMultilevel"/>
    <w:lvl w:ilvl="0">
      <w:lvlJc w:val="left"/>
      <w:lvlText w:val="%1."/>
      <w:numFmt w:val="decimal"/>
      <w:start w:val="51"/>
    </w:lvl>
    <w:lvl w:ilvl="1">
      <w:lvlJc w:val="left"/>
      <w:lvlText w:val="(%2)"/>
      <w:numFmt w:val="lowerLetter"/>
      <w:start w:val="1"/>
    </w:lvl>
  </w:abstractNum>
  <w:abstractNum w:abstractNumId="152">
    <w:nsid w:val="2AE05A34"/>
    <w:multiLevelType w:val="hybridMultilevel"/>
    <w:lvl w:ilvl="0">
      <w:lvlJc w:val="left"/>
      <w:lvlText w:val="(%1)"/>
      <w:numFmt w:val="lowerLetter"/>
      <w:start w:val="2"/>
    </w:lvl>
  </w:abstractNum>
  <w:abstractNum w:abstractNumId="153">
    <w:nsid w:val="32794FF7"/>
    <w:multiLevelType w:val="hybridMultilevel"/>
    <w:lvl w:ilvl="0">
      <w:lvlJc w:val="left"/>
      <w:lvlText w:val="%1."/>
      <w:numFmt w:val="decimal"/>
      <w:start w:val="1"/>
    </w:lvl>
  </w:abstractNum>
  <w:abstractNum w:abstractNumId="154">
    <w:nsid w:val="5454945E"/>
    <w:multiLevelType w:val="hybridMultilevel"/>
    <w:lvl w:ilvl="0">
      <w:lvlJc w:val="left"/>
      <w:lvlText w:val="%1."/>
      <w:numFmt w:val="upperLetter"/>
      <w:start w:val="1"/>
    </w:lvl>
  </w:abstractNum>
  <w:abstractNum w:abstractNumId="155">
    <w:nsid w:val="4DEFDFA0"/>
    <w:multiLevelType w:val="hybridMultilevel"/>
    <w:lvl w:ilvl="0">
      <w:lvlJc w:val="left"/>
      <w:lvlText w:val="%1."/>
      <w:numFmt w:val="upperLetter"/>
      <w:start w:val="9"/>
    </w:lvl>
  </w:abstractNum>
  <w:abstractNum w:abstractNumId="156">
    <w:nsid w:val="2123D5F2"/>
    <w:multiLevelType w:val="hybridMultilevel"/>
    <w:lvl w:ilvl="0">
      <w:lvlJc w:val="left"/>
      <w:lvlText w:val="%1."/>
      <w:numFmt w:val="lowerLetter"/>
      <w:start w:val="2"/>
    </w:lvl>
  </w:abstractNum>
  <w:abstractNum w:abstractNumId="157">
    <w:nsid w:val="135B8110"/>
    <w:multiLevelType w:val="hybridMultilevel"/>
    <w:lvl w:ilvl="0">
      <w:lvlJc w:val="left"/>
      <w:lvlText w:val="."/>
      <w:numFmt w:val="bullet"/>
      <w:start w:val="1"/>
    </w:lvl>
    <w:lvl w:ilvl="1">
      <w:lvlJc w:val="left"/>
      <w:lvlText w:val="%2"/>
      <w:numFmt w:val="upperLetter"/>
      <w:start w:val="1"/>
    </w:lvl>
    <w:lvl w:ilvl="2">
      <w:lvlJc w:val="left"/>
      <w:lvlText w:val="%3."/>
      <w:numFmt w:val="lowerLetter"/>
      <w:start w:val="3"/>
    </w:lvl>
    <w:lvl w:ilvl="3">
      <w:lvlJc w:val="left"/>
      <w:lvlText w:val="%4"/>
      <w:numFmt w:val="decimal"/>
      <w:start w:val="1"/>
    </w:lvl>
  </w:abstractNum>
  <w:abstractNum w:abstractNumId="158">
    <w:nsid w:val="94927A8"/>
    <w:multiLevelType w:val="hybridMultilevel"/>
    <w:lvl w:ilvl="0">
      <w:lvlJc w:val="left"/>
      <w:lvlText w:val="."/>
      <w:numFmt w:val="bullet"/>
      <w:start w:val="1"/>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159">
    <w:nsid w:val="DCDF8F6"/>
    <w:multiLevelType w:val="hybridMultilevel"/>
    <w:lvl w:ilvl="0">
      <w:lvlJc w:val="left"/>
      <w:lvlText w:val="(%1)"/>
      <w:numFmt w:val="lowerLetter"/>
      <w:start w:val="1"/>
    </w:lvl>
  </w:abstractNum>
  <w:abstractNum w:abstractNumId="160">
    <w:nsid w:val="52D7B105"/>
    <w:multiLevelType w:val="hybridMultilevel"/>
    <w:lvl w:ilvl="0">
      <w:lvlJc w:val="left"/>
      <w:lvlText w:val="(%1)"/>
      <w:numFmt w:val="lowerRoman"/>
      <w:start w:val="4"/>
    </w:lvl>
  </w:abstractNum>
  <w:abstractNum w:abstractNumId="161">
    <w:nsid w:val="2E8A6394"/>
    <w:multiLevelType w:val="hybridMultilevel"/>
    <w:lvl w:ilvl="0">
      <w:lvlJc w:val="left"/>
      <w:lvlText w:val="%1)"/>
      <w:numFmt w:val="decimal"/>
      <w:start w:val="2"/>
    </w:lvl>
  </w:abstractNum>
  <w:abstractNum w:abstractNumId="162">
    <w:nsid w:val="24E60401"/>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163">
    <w:nsid w:val="2A6AD9BE"/>
    <w:multiLevelType w:val="hybridMultilevel"/>
    <w:lvl w:ilvl="0">
      <w:lvlJc w:val="left"/>
      <w:lvlText w:val="%1."/>
      <w:numFmt w:val="upperLetter"/>
      <w:start w:val="2"/>
    </w:lvl>
  </w:abstractNum>
  <w:abstractNum w:abstractNumId="164">
    <w:nsid w:val="BAAC1B4"/>
    <w:multiLevelType w:val="hybridMultilevel"/>
    <w:lvl w:ilvl="0">
      <w:lvlJc w:val="left"/>
      <w:lvlText w:val="%1."/>
      <w:numFmt w:val="upperLetter"/>
      <w:start w:val="3"/>
    </w:lvl>
  </w:abstractNum>
  <w:abstractNum w:abstractNumId="165">
    <w:nsid w:val="36B2ACBC"/>
    <w:multiLevelType w:val="hybridMultilevel"/>
    <w:lvl w:ilvl="0">
      <w:lvlJc w:val="left"/>
      <w:lvlText w:val="%1."/>
      <w:numFmt w:val="upperLetter"/>
      <w:start w:val="9"/>
    </w:lvl>
  </w:abstractNum>
  <w:abstractNum w:abstractNumId="166">
    <w:nsid w:val="779D8544"/>
    <w:multiLevelType w:val="hybridMultilevel"/>
    <w:lvl w:ilvl="0">
      <w:lvlJc w:val="left"/>
      <w:lvlText w:val="(%1)"/>
      <w:numFmt w:val="lowerLetter"/>
      <w:start w:val="2"/>
    </w:lvl>
  </w:abstractNum>
  <w:abstractNum w:abstractNumId="167">
    <w:nsid w:val="4AB26E78"/>
    <w:multiLevelType w:val="hybridMultilevel"/>
    <w:lvl w:ilvl="0">
      <w:lvlJc w:val="left"/>
      <w:lvlText w:val="(%1)"/>
      <w:numFmt w:val="lowerLetter"/>
      <w:start w:val="3"/>
    </w:lvl>
  </w:abstractNum>
  <w:abstractNum w:abstractNumId="168">
    <w:nsid w:val="21FAA2FA"/>
    <w:multiLevelType w:val="hybridMultilevel"/>
    <w:lvl w:ilvl="0">
      <w:lvlJc w:val="left"/>
      <w:lvlText w:val="%1."/>
      <w:numFmt w:val="upperLetter"/>
      <w:start w:val="61"/>
    </w:lvl>
    <w:lvl w:ilvl="1">
      <w:lvlJc w:val="left"/>
      <w:lvlText w:val="(%2)"/>
      <w:numFmt w:val="lowerLetter"/>
      <w:start w:val="1"/>
    </w:lvl>
  </w:abstractNum>
  <w:abstractNum w:abstractNumId="169">
    <w:nsid w:val="5451CF49"/>
    <w:multiLevelType w:val="hybridMultilevel"/>
    <w:lvl w:ilvl="0">
      <w:lvlJc w:val="left"/>
      <w:lvlText w:val="(%1)"/>
      <w:numFmt w:val="lowerLetter"/>
      <w:start w:val="3"/>
    </w:lvl>
  </w:abstractNum>
  <w:abstractNum w:abstractNumId="170">
    <w:nsid w:val="6181EF69"/>
    <w:multiLevelType w:val="hybridMultilevel"/>
    <w:lvl w:ilvl="0">
      <w:lvlJc w:val="left"/>
      <w:lvlText w:val="(%1)"/>
      <w:numFmt w:val="lowerLetter"/>
      <w:start w:val="4"/>
    </w:lvl>
  </w:abstractNum>
  <w:abstractNum w:abstractNumId="171">
    <w:nsid w:val="3E6400E6"/>
    <w:multiLevelType w:val="hybridMultilevel"/>
    <w:lvl w:ilvl="0">
      <w:lvlJc w:val="left"/>
      <w:lvlText w:val="%1."/>
      <w:numFmt w:val="upperLetter"/>
      <w:start w:val="22"/>
    </w:lvl>
  </w:abstractNum>
  <w:abstractNum w:abstractNumId="172">
    <w:nsid w:val="14217E23"/>
    <w:multiLevelType w:val="hybridMultilevel"/>
    <w:lvl w:ilvl="0">
      <w:lvlJc w:val="left"/>
      <w:lvlText w:val="%1."/>
      <w:numFmt w:val="upperLetter"/>
      <w:start w:val="1"/>
    </w:lvl>
  </w:abstractNum>
  <w:abstractNum w:abstractNumId="173">
    <w:nsid w:val="710757D0"/>
    <w:multiLevelType w:val="hybridMultilevel"/>
    <w:lvl w:ilvl="0">
      <w:lvlJc w:val="left"/>
      <w:lvlText w:val="%1."/>
      <w:numFmt w:val="upperLetter"/>
      <w:start w:val="2"/>
    </w:lvl>
  </w:abstractNum>
  <w:abstractNum w:abstractNumId="174">
    <w:nsid w:val="5015CD1A"/>
    <w:multiLevelType w:val="hybridMultilevel"/>
    <w:lvl w:ilvl="0">
      <w:lvlJc w:val="left"/>
      <w:lvlText w:val="%1"/>
      <w:numFmt w:val="upperLetter"/>
      <w:start w:val="1"/>
    </w:lvl>
    <w:lvl w:ilvl="1">
      <w:lvlJc w:val="left"/>
      <w:lvlText w:val="(%2)"/>
      <w:numFmt w:val="lowerLetter"/>
      <w:start w:val="1"/>
    </w:lvl>
  </w:abstractNum>
  <w:abstractNum w:abstractNumId="175">
    <w:nsid w:val="424479DA"/>
    <w:multiLevelType w:val="hybridMultilevel"/>
    <w:lvl w:ilvl="0">
      <w:lvlJc w:val="left"/>
      <w:lvlText w:val="%1."/>
      <w:numFmt w:val="upperLetter"/>
      <w:start w:val="3"/>
    </w:lvl>
    <w:lvl w:ilvl="1">
      <w:lvlJc w:val="left"/>
      <w:lvlText w:val="%2"/>
      <w:numFmt w:val="lowerLetter"/>
      <w:start w:val="1"/>
    </w:lvl>
  </w:abstractNum>
  <w:abstractNum w:abstractNumId="176">
    <w:nsid w:val="1A9A9E69"/>
    <w:multiLevelType w:val="hybridMultilevel"/>
    <w:lvl w:ilvl="0">
      <w:lvlJc w:val="left"/>
      <w:lvlText w:val="%1."/>
      <w:numFmt w:val="upperLetter"/>
      <w:start w:val="4"/>
    </w:lvl>
    <w:lvl w:ilvl="1">
      <w:lvlJc w:val="left"/>
      <w:lvlText w:val="%2."/>
      <w:numFmt w:val="decimal"/>
      <w:start w:val="1"/>
    </w:lvl>
  </w:abstractNum>
  <w:abstractNum w:abstractNumId="177">
    <w:nsid w:val="475E256A"/>
    <w:multiLevelType w:val="hybridMultilevel"/>
    <w:lvl w:ilvl="0">
      <w:lvlJc w:val="left"/>
      <w:lvlText w:val="(%1)"/>
      <w:numFmt w:val="lowerRoman"/>
      <w:start w:val="2"/>
    </w:lvl>
  </w:abstractNum>
  <w:abstractNum w:abstractNumId="178">
    <w:nsid w:val="368DB37E"/>
    <w:multiLevelType w:val="hybridMultilevel"/>
    <w:lvl w:ilvl="0">
      <w:lvlJc w:val="left"/>
      <w:lvlText w:val="%1)"/>
      <w:numFmt w:val="decimal"/>
      <w:start w:val="1"/>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97"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jpeg"/><Relationship Id="rId430" Type="http://schemas.openxmlformats.org/officeDocument/2006/relationships/image" Target="media/image393.png"/><Relationship Id="rId431" Type="http://schemas.openxmlformats.org/officeDocument/2006/relationships/image" Target="media/image394.pn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6" Type="http://schemas.openxmlformats.org/officeDocument/2006/relationships/image" Target="media/image399.pn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440" Type="http://schemas.openxmlformats.org/officeDocument/2006/relationships/image" Target="media/image403.png"/><Relationship Id="rId441"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461" Type="http://schemas.openxmlformats.org/officeDocument/2006/relationships/image" Target="media/image424.png"/><Relationship Id="rId462" Type="http://schemas.openxmlformats.org/officeDocument/2006/relationships/image" Target="media/image425.png"/><Relationship Id="rId463" Type="http://schemas.openxmlformats.org/officeDocument/2006/relationships/image" Target="media/image426.png"/><Relationship Id="rId464"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8" Type="http://schemas.openxmlformats.org/officeDocument/2006/relationships/image" Target="media/image431.png"/><Relationship Id="rId469" Type="http://schemas.openxmlformats.org/officeDocument/2006/relationships/image" Target="media/image432.png"/><Relationship Id="rId470" Type="http://schemas.openxmlformats.org/officeDocument/2006/relationships/image" Target="media/image433.png"/><Relationship Id="rId471" Type="http://schemas.openxmlformats.org/officeDocument/2006/relationships/image" Target="media/image434.png"/><Relationship Id="rId472" Type="http://schemas.openxmlformats.org/officeDocument/2006/relationships/image" Target="media/image435.png"/><Relationship Id="rId473" Type="http://schemas.openxmlformats.org/officeDocument/2006/relationships/image" Target="media/image436.png"/><Relationship Id="rId474" Type="http://schemas.openxmlformats.org/officeDocument/2006/relationships/image" Target="media/image437.png"/><Relationship Id="rId475" Type="http://schemas.openxmlformats.org/officeDocument/2006/relationships/image" Target="media/image438.png"/><Relationship Id="rId476" Type="http://schemas.openxmlformats.org/officeDocument/2006/relationships/image" Target="media/image439.png"/><Relationship Id="rId477" Type="http://schemas.openxmlformats.org/officeDocument/2006/relationships/image" Target="media/image440.png"/><Relationship Id="rId478" Type="http://schemas.openxmlformats.org/officeDocument/2006/relationships/image" Target="media/image441.png"/><Relationship Id="rId479" Type="http://schemas.openxmlformats.org/officeDocument/2006/relationships/image" Target="media/image442.png"/><Relationship Id="rId480" Type="http://schemas.openxmlformats.org/officeDocument/2006/relationships/image" Target="media/image443.png"/><Relationship Id="rId481" Type="http://schemas.openxmlformats.org/officeDocument/2006/relationships/image" Target="media/image444.png"/><Relationship Id="rId482" Type="http://schemas.openxmlformats.org/officeDocument/2006/relationships/image" Target="media/image445.png"/><Relationship Id="rId483" Type="http://schemas.openxmlformats.org/officeDocument/2006/relationships/image" Target="media/image446.jpeg"/><Relationship Id="rId484" Type="http://schemas.openxmlformats.org/officeDocument/2006/relationships/image" Target="media/image447.png"/><Relationship Id="rId485" Type="http://schemas.openxmlformats.org/officeDocument/2006/relationships/image" Target="media/image448.png"/><Relationship Id="rId486" Type="http://schemas.openxmlformats.org/officeDocument/2006/relationships/image" Target="media/image449.png"/><Relationship Id="rId487" Type="http://schemas.openxmlformats.org/officeDocument/2006/relationships/image" Target="media/image450.png"/><Relationship Id="rId488" Type="http://schemas.openxmlformats.org/officeDocument/2006/relationships/image" Target="media/image451.png"/><Relationship Id="rId489" Type="http://schemas.openxmlformats.org/officeDocument/2006/relationships/image" Target="media/image452.png"/><Relationship Id="rId490" Type="http://schemas.openxmlformats.org/officeDocument/2006/relationships/image" Target="media/image453.png"/><Relationship Id="rId491" Type="http://schemas.openxmlformats.org/officeDocument/2006/relationships/image" Target="media/image454.jpeg"/><Relationship Id="rId492" Type="http://schemas.openxmlformats.org/officeDocument/2006/relationships/image" Target="media/image455.png"/><Relationship Id="rId493" Type="http://schemas.openxmlformats.org/officeDocument/2006/relationships/image" Target="media/image456.png"/><Relationship Id="rId494" Type="http://schemas.openxmlformats.org/officeDocument/2006/relationships/image" Target="media/image457.png"/><Relationship Id="rId495" Type="http://schemas.openxmlformats.org/officeDocument/2006/relationships/image" Target="media/image458.png"/><Relationship Id="rId496" Type="http://schemas.openxmlformats.org/officeDocument/2006/relationships/image" Target="media/image459.png"/><Relationship Id="rId497" Type="http://schemas.openxmlformats.org/officeDocument/2006/relationships/image" Target="media/image460.png"/><Relationship Id="rId498" Type="http://schemas.openxmlformats.org/officeDocument/2006/relationships/image" Target="media/image461.png"/><Relationship Id="rId499" Type="http://schemas.openxmlformats.org/officeDocument/2006/relationships/image" Target="media/image462.png"/><Relationship Id="rId500" Type="http://schemas.openxmlformats.org/officeDocument/2006/relationships/image" Target="media/image463.png"/><Relationship Id="rId501" Type="http://schemas.openxmlformats.org/officeDocument/2006/relationships/image" Target="media/image464.png"/><Relationship Id="rId502" Type="http://schemas.openxmlformats.org/officeDocument/2006/relationships/image" Target="media/image465.png"/><Relationship Id="rId503" Type="http://schemas.openxmlformats.org/officeDocument/2006/relationships/image" Target="media/image466.png"/><Relationship Id="rId504" Type="http://schemas.openxmlformats.org/officeDocument/2006/relationships/image" Target="media/image467.png"/><Relationship Id="rId505" Type="http://schemas.openxmlformats.org/officeDocument/2006/relationships/image" Target="media/image468.png"/><Relationship Id="rId506" Type="http://schemas.openxmlformats.org/officeDocument/2006/relationships/image" Target="media/image469.png"/><Relationship Id="rId507" Type="http://schemas.openxmlformats.org/officeDocument/2006/relationships/image" Target="media/image470.jpeg"/><Relationship Id="rId508" Type="http://schemas.openxmlformats.org/officeDocument/2006/relationships/image" Target="media/image471.png"/><Relationship Id="rId509" Type="http://schemas.openxmlformats.org/officeDocument/2006/relationships/image" Target="media/image472.png"/><Relationship Id="rId510" Type="http://schemas.openxmlformats.org/officeDocument/2006/relationships/image" Target="media/image473.jpeg"/><Relationship Id="rId511" Type="http://schemas.openxmlformats.org/officeDocument/2006/relationships/image" Target="media/image474.png"/><Relationship Id="rId512" Type="http://schemas.openxmlformats.org/officeDocument/2006/relationships/image" Target="media/image475.png"/><Relationship Id="rId513" Type="http://schemas.openxmlformats.org/officeDocument/2006/relationships/image" Target="media/image476.jpeg"/><Relationship Id="rId514" Type="http://schemas.openxmlformats.org/officeDocument/2006/relationships/image" Target="media/image477.png"/><Relationship Id="rId515" Type="http://schemas.openxmlformats.org/officeDocument/2006/relationships/image" Target="media/image478.jpeg"/><Relationship Id="rId516" Type="http://schemas.openxmlformats.org/officeDocument/2006/relationships/image" Target="media/image479.png"/><Relationship Id="rId517" Type="http://schemas.openxmlformats.org/officeDocument/2006/relationships/image" Target="media/image480.png"/><Relationship Id="rId518" Type="http://schemas.openxmlformats.org/officeDocument/2006/relationships/image" Target="media/image481.png"/><Relationship Id="rId519" Type="http://schemas.openxmlformats.org/officeDocument/2006/relationships/image" Target="media/image482.png"/><Relationship Id="rId520" Type="http://schemas.openxmlformats.org/officeDocument/2006/relationships/image" Target="media/image483.png"/><Relationship Id="rId521" Type="http://schemas.openxmlformats.org/officeDocument/2006/relationships/image" Target="media/image484.png"/><Relationship Id="rId522" Type="http://schemas.openxmlformats.org/officeDocument/2006/relationships/image" Target="media/image485.png"/><Relationship Id="rId523" Type="http://schemas.openxmlformats.org/officeDocument/2006/relationships/image" Target="media/image486.png"/><Relationship Id="rId524" Type="http://schemas.openxmlformats.org/officeDocument/2006/relationships/image" Target="media/image487.png"/><Relationship Id="rId525" Type="http://schemas.openxmlformats.org/officeDocument/2006/relationships/image" Target="media/image488.png"/><Relationship Id="rId526" Type="http://schemas.openxmlformats.org/officeDocument/2006/relationships/image" Target="media/image489.png"/><Relationship Id="rId527" Type="http://schemas.openxmlformats.org/officeDocument/2006/relationships/image" Target="media/image490.png"/><Relationship Id="rId374" Type="http://schemas.openxmlformats.org/officeDocument/2006/relationships/hyperlink" Target="https://www.sec.gov/Archives/edgar/data/0001111485/000095017021004155/rxst-ex3_1.htm" TargetMode="External"/><Relationship Id="rId375" Type="http://schemas.openxmlformats.org/officeDocument/2006/relationships/hyperlink" Target="https://www.sec.gov/Archives/edgar/data/0001111485/000119312521211793/d237930dex33.htm" TargetMode="External"/><Relationship Id="rId376" Type="http://schemas.openxmlformats.org/officeDocument/2006/relationships/hyperlink" Target="https://www.sec.gov/Archives/edgar/data/0001111485/000119312521223690/d237930dex42.htm" TargetMode="External"/><Relationship Id="rId377" Type="http://schemas.openxmlformats.org/officeDocument/2006/relationships/hyperlink" Target="https://www.sec.gov/Archives/edgar/data/0001111485/000119312521211793/d237930dex101.htm" TargetMode="External"/><Relationship Id="rId378" Type="http://schemas.openxmlformats.org/officeDocument/2006/relationships/hyperlink" Target="https://www.sec.gov/Archives/edgar/data/0001111485/000119312521223690/d237930dex102.htm" TargetMode="External"/><Relationship Id="rId379" Type="http://schemas.openxmlformats.org/officeDocument/2006/relationships/hyperlink" Target="https://www.sec.gov/Archives/edgar/data/1111485/000095017021004155/rxst-ex10_2.htm" TargetMode="External"/><Relationship Id="rId380" Type="http://schemas.openxmlformats.org/officeDocument/2006/relationships/hyperlink" Target="https://www.sec.gov/Archives/edgar/data/1111485/000095017021004155/rxst-ex10_3.htm" TargetMode="External"/><Relationship Id="rId381" Type="http://schemas.openxmlformats.org/officeDocument/2006/relationships/hyperlink" Target="https://www.sec.gov/Archives/edgar/data/0001111485/000119312521211793/d237930dex105.htm" TargetMode="External"/><Relationship Id="rId382" Type="http://schemas.openxmlformats.org/officeDocument/2006/relationships/hyperlink" Target="https://www.sec.gov/Archives/edgar/data/0001111485/000119312521223690/d237930dex106.htm" TargetMode="External"/><Relationship Id="rId383" Type="http://schemas.openxmlformats.org/officeDocument/2006/relationships/hyperlink" Target="https://www.sec.gov/Archives/edgar/data/0001111485/000119312521211793/d237930dex106.htm" TargetMode="External"/><Relationship Id="rId386" Type="http://schemas.openxmlformats.org/officeDocument/2006/relationships/hyperlink" Target="https://www.sec.gov/Archives/edgar/data/0001111485/000119312521211793/d237930dex107.htm" TargetMode="External"/><Relationship Id="rId387" Type="http://schemas.openxmlformats.org/officeDocument/2006/relationships/hyperlink" Target="https://www.sec.gov/Archives/edgar/data/0001111485/000119312521211793/d237930dex108.htm" TargetMode="External"/><Relationship Id="rId388" Type="http://schemas.openxmlformats.org/officeDocument/2006/relationships/hyperlink" Target="https://www.sec.gov/Archives/edgar/data/0001111485/000119312521211793/d237930dex109.htm" TargetMode="External"/><Relationship Id="rId389" Type="http://schemas.openxmlformats.org/officeDocument/2006/relationships/hyperlink" Target="https://www.sec.gov/Archives/edgar/data/0001111485/000119312521211793/d237930dex1010.htm" TargetMode="External"/><Relationship Id="rId390" Type="http://schemas.openxmlformats.org/officeDocument/2006/relationships/hyperlink" Target="https://www.sec.gov/Archives/edgar/data/0001111485/000119312521211793/d237930dex1011.htm" TargetMode="External"/><Relationship Id="rId391" Type="http://schemas.openxmlformats.org/officeDocument/2006/relationships/hyperlink" Target="https://www.sec.gov/Archives/edgar/data/0001111485/000119312521211793/d237930dex1012.htm" TargetMode="External"/><Relationship Id="rId392" Type="http://schemas.openxmlformats.org/officeDocument/2006/relationships/hyperlink" Target="https://www.sec.gov/Archives/edgar/data/0001111485/000119312521211793/d237930dex1013.htm" TargetMode="External"/><Relationship Id="rId393" Type="http://schemas.openxmlformats.org/officeDocument/2006/relationships/hyperlink" Target="https://www.sec.gov/Archives/edgar/data/0001111485/000119312521211793/d237930dex1014.htm" TargetMode="External"/><Relationship Id="rId394" Type="http://schemas.openxmlformats.org/officeDocument/2006/relationships/hyperlink" Target="https://www.sec.gov/Archives/edgar/data/0001111485/000119312521211793/d237930dex1015.htm" TargetMode="External"/><Relationship Id="rId395" Type="http://schemas.openxmlformats.org/officeDocument/2006/relationships/hyperlink" Target="https://www.sec.gov/Archives/edgar/data/0001111485/000119312521211793/d237930dex1016.htm" TargetMode="External"/><Relationship Id="rId396" Type="http://schemas.openxmlformats.org/officeDocument/2006/relationships/hyperlink" Target="https://www.sec.gov/Archives/edgar/data/0001111485/000119312521211793/d237930dex1017.htm" TargetMode="External"/><Relationship Id="rId398" Type="http://schemas.openxmlformats.org/officeDocument/2006/relationships/hyperlink" Target="https://www.sec.gov/Archives/edgar/data/0001111485/000119312521211793/d237930dex1018.htm" TargetMode="External"/><Relationship Id="rId399" Type="http://schemas.openxmlformats.org/officeDocument/2006/relationships/hyperlink" Target="https://www.sec.gov/Archives/edgar/data/0001111485/000119312521211793/d237930dex1019.htm" TargetMode="External"/><Relationship Id="rId400" Type="http://schemas.openxmlformats.org/officeDocument/2006/relationships/hyperlink" Target="https://www.sec.gov/Archives/edgar/data/0001111485/000119312521211793/d237930dex1020.htm" TargetMode="External"/><Relationship Id="rId401" Type="http://schemas.openxmlformats.org/officeDocument/2006/relationships/hyperlink" Target="https://www.sec.gov/Archives/edgar/data/0001111485/000119312521211793/d237930dex1021.htm" TargetMode="External"/><Relationship Id="rId402" Type="http://schemas.openxmlformats.org/officeDocument/2006/relationships/hyperlink" Target="https://www.sec.gov/Archives/edgar/data/0001111485/000119312521211793/d237930dex1022.htm" TargetMode="External"/><Relationship Id="rId403" Type="http://schemas.openxmlformats.org/officeDocument/2006/relationships/hyperlink" Target="https://www.sec.gov/Archives/edgar/data/0001111485/000119312521223690/d237930dex1024.htm" TargetMode="External"/><Relationship Id="rId404" Type="http://schemas.openxmlformats.org/officeDocument/2006/relationships/hyperlink" Target="https://www.sec.gov/Archives/edgar/data/0001111485/000119312521211793/d237930dex1023.htm" TargetMode="External"/><Relationship Id="rId405" Type="http://schemas.openxmlformats.org/officeDocument/2006/relationships/hyperlink" Target="https://www.sec.gov/Archives/edgar/data/0001111485/000119312521211793/d237930dex1024.htm" TargetMode="External"/><Relationship Id="rId406" Type="http://schemas.openxmlformats.org/officeDocument/2006/relationships/hyperlink" Target="https://www.sec.gov/Archives/edgar/data/0001111485/000119312521223690/d237930dex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2022-03-08T15:37:24Z</dcterms:created>
  <dcterms:modified xsi:type="dcterms:W3CDTF">2022-03-08T15:37:24Z</dcterms:modified>
</cp:coreProperties>
</file>