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xst-20230630.htm"/>
      <w:bookmarkStart w:id="1" w:name="ksrxst20230630"/>
      <w:bookmarkEnd w:id="0"/>
      <w:bookmarkEnd w:id="1"/>
      <w:r>
        <w:rPr/>
        <w:t> </w:t>
      </w:r>
    </w:p>
    <w:p>
      <w:pPr>
        <w:pStyle w:val="TextBody"/>
        <w:pBdr>
          <w:top w:val="double" w:sz="6" w:space="1" w:color="000000"/>
        </w:pBdr>
        <w:bidi w:val="0"/>
        <w:spacing w:before="0" w:after="0"/>
        <w:jc w:val="both"/>
        <w:rPr/>
      </w:pPr>
      <w:r>
        <w:rPr/>
        <w:t> </w:t>
      </w:r>
    </w:p>
    <w:p>
      <w:pPr>
        <w:pStyle w:val="TextBody"/>
        <w:bidi w:val="0"/>
        <w:spacing w:before="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bidi w:val="0"/>
        <w:spacing w:before="60" w:after="120"/>
        <w:jc w:val="center"/>
        <w:rPr/>
      </w:pPr>
      <w:r>
        <w:rPr/>
        <w:t> </w:t>
      </w:r>
    </w:p>
    <w:p>
      <w:pPr>
        <w:pStyle w:val="TextBody"/>
        <w:bidi w:val="0"/>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bidi w:val="0"/>
        <w:spacing w:before="60" w:after="120"/>
        <w:jc w:val="center"/>
        <w:rPr/>
      </w:pPr>
      <w:r>
        <w:rPr/>
        <w:t> </w:t>
      </w:r>
    </w:p>
    <w:p>
      <w:pPr>
        <w:pStyle w:val="TextBody"/>
        <w:bidi w:val="0"/>
        <w:spacing w:before="90" w:after="0"/>
        <w:jc w:val="left"/>
        <w:rPr>
          <w:rFonts w:ascii="Times New Roman;serif" w:hAnsi="Times New Roman;serif"/>
          <w:b/>
          <w:sz w:val="16"/>
        </w:rPr>
      </w:pPr>
      <w:r>
        <w:rPr>
          <w:rFonts w:ascii="Times New Roman;serif" w:hAnsi="Times New Roman;serif"/>
          <w:b/>
          <w:sz w:val="16"/>
        </w:rPr>
        <w:t>(Mark One)</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86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QUARTERLY REPORT PURSUANT TO SECTION 13 OR 15(d) OF THE SECURITIES EXCHANGE ACT OF 1934</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120" w:after="0"/>
        <w:jc w:val="center"/>
        <w:rPr>
          <w:rFonts w:ascii="Times New Roman;serif" w:hAnsi="Times New Roman;serif"/>
          <w:b/>
          <w:sz w:val="20"/>
        </w:rPr>
      </w:pPr>
      <w:r>
        <w:rPr>
          <w:rFonts w:ascii="Times New Roman;serif" w:hAnsi="Times New Roman;serif"/>
          <w:b/>
          <w:sz w:val="20"/>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0"/>
              <w:ind w:left="0" w:right="0" w:hanging="0"/>
              <w:jc w:val="left"/>
              <w:rPr/>
            </w:pPr>
            <w:r>
              <w:rPr/>
              <w:t>☐</w:t>
            </w:r>
          </w:p>
        </w:tc>
        <w:tc>
          <w:tcPr>
            <w:tcW w:w="8671" w:type="dxa"/>
            <w:tcBorders/>
            <w:tcMar>
              <w:top w:w="0" w:type="dxa"/>
              <w:left w:w="0" w:type="dxa"/>
              <w:bottom w:w="0" w:type="dxa"/>
              <w:right w:w="0" w:type="dxa"/>
            </w:tcMar>
            <w:vAlign w:val="center"/>
          </w:tcPr>
          <w:p>
            <w:pPr>
              <w:pStyle w:val="TableContents"/>
              <w:bidi w:val="0"/>
              <w:spacing w:before="120" w:after="0"/>
              <w:ind w:left="0" w:right="0" w:hanging="0"/>
              <w:jc w:val="left"/>
              <w:rPr>
                <w:rFonts w:ascii="Times New Roman;serif" w:hAnsi="Times New Roman;serif"/>
                <w:b/>
                <w:sz w:val="16"/>
              </w:rPr>
            </w:pPr>
            <w:r>
              <w:rPr>
                <w:rFonts w:ascii="Times New Roman;serif" w:hAnsi="Times New Roman;serif"/>
                <w:b/>
                <w:sz w:val="16"/>
              </w:rPr>
              <w:t>TRANSITION REPORT PURSUANT TO SECTION 13 OR 15(d) OF THE SECURITIES EXCHANGE ACT OF 1934</w:t>
            </w:r>
          </w:p>
        </w:tc>
      </w:tr>
    </w:tbl>
    <w:p>
      <w:pPr>
        <w:pStyle w:val="TextBody"/>
        <w:bidi w:val="0"/>
        <w:spacing w:before="12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120" w:after="0"/>
        <w:jc w:val="center"/>
        <w:rPr>
          <w:rFonts w:ascii="Times New Roman;serif" w:hAnsi="Times New Roman;serif"/>
          <w:b/>
          <w:sz w:val="20"/>
        </w:rPr>
      </w:pPr>
      <w:r>
        <w:rPr>
          <w:rFonts w:ascii="Times New Roman;serif" w:hAnsi="Times New Roman;serif"/>
          <w:b/>
          <w:sz w:val="20"/>
        </w:rPr>
        <w:t>Commission File Number: 001-40690</w:t>
      </w:r>
    </w:p>
    <w:p>
      <w:pPr>
        <w:pStyle w:val="TextBody"/>
        <w:pBdr>
          <w:bottom w:val="single" w:sz="4" w:space="1" w:color="000000"/>
        </w:pBdr>
        <w:bidi w:val="0"/>
        <w:spacing w:before="60" w:after="120"/>
        <w:jc w:val="center"/>
        <w:rPr/>
      </w:pPr>
      <w:r>
        <w:rPr/>
        <w:t> </w:t>
      </w:r>
    </w:p>
    <w:p>
      <w:pPr>
        <w:pStyle w:val="TextBody"/>
        <w:bidi w:val="0"/>
        <w:spacing w:before="0" w:after="0"/>
        <w:jc w:val="center"/>
        <w:rPr>
          <w:rFonts w:ascii="Times New Roman;serif" w:hAnsi="Times New Roman;serif"/>
          <w:b/>
          <w:sz w:val="44"/>
        </w:rPr>
      </w:pPr>
      <w:r>
        <w:rPr>
          <w:rFonts w:ascii="Times New Roman;serif" w:hAnsi="Times New Roman;serif"/>
          <w:b/>
          <w:sz w:val="44"/>
        </w:rPr>
        <w:t>RxSIGHT,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bidi w:val="0"/>
        <w:spacing w:before="0" w:after="0"/>
        <w:jc w:val="center"/>
        <w:rPr/>
      </w:pPr>
      <w:r>
        <w:rPr/>
        <w:t> </w:t>
      </w:r>
    </w:p>
    <w:p>
      <w:pPr>
        <w:pStyle w:val="TextBody"/>
        <w:bidi w:val="0"/>
        <w:spacing w:before="0" w:after="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Delaware</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94-3268801</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15"/>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br/>
              <w:t>Identification No.)</w:t>
            </w:r>
          </w:p>
        </w:tc>
      </w:tr>
      <w:tr>
        <w:trPr/>
        <w:tc>
          <w:tcPr>
            <w:tcW w:w="2926" w:type="dxa"/>
            <w:tcBorders/>
            <w:vAlign w:val="center"/>
          </w:tcPr>
          <w:p>
            <w:pPr>
              <w:pStyle w:val="TableContents"/>
              <w:bidi w:val="0"/>
              <w:spacing w:before="120" w:after="15"/>
              <w:ind w:left="0" w:right="0" w:hanging="0"/>
              <w:jc w:val="center"/>
              <w:rPr>
                <w:rFonts w:ascii="Times New Roman;serif" w:hAnsi="Times New Roman;serif"/>
                <w:b/>
                <w:sz w:val="16"/>
              </w:rPr>
            </w:pPr>
            <w:r>
              <w:rPr>
                <w:rFonts w:ascii="Times New Roman;serif" w:hAnsi="Times New Roman;serif"/>
                <w:b/>
                <w:sz w:val="16"/>
              </w:rPr>
              <w:t>100 Columbia</w:t>
            </w:r>
          </w:p>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Aliso Viejo, CA</w:t>
            </w:r>
            <w:r>
              <w:rPr>
                <w:rFonts w:ascii="Times New Roman" w:hAnsi="Times New Roman"/>
                <w:sz w:val="16"/>
              </w:rPr>
              <w:t xml:space="preserve"> </w:t>
            </w:r>
          </w:p>
        </w:tc>
        <w:tc>
          <w:tcPr>
            <w:tcW w:w="1486" w:type="dxa"/>
            <w:tcBorders/>
            <w:vAlign w:val="center"/>
          </w:tcPr>
          <w:p>
            <w:pPr>
              <w:pStyle w:val="TableContents"/>
              <w:bidi w:val="0"/>
              <w:spacing w:before="120" w:after="0"/>
              <w:ind w:left="0" w:right="0" w:hanging="0"/>
              <w:jc w:val="center"/>
              <w:rPr>
                <w:rFonts w:ascii="Times New Roman;serif" w:hAnsi="Times New Roman;serif"/>
                <w:b/>
                <w:sz w:val="16"/>
              </w:rPr>
            </w:pPr>
            <w:r>
              <w:rPr>
                <w:rFonts w:ascii="Times New Roman;serif" w:hAnsi="Times New Roman;serif"/>
                <w:b/>
                <w:sz w:val="16"/>
              </w:rPr>
              <w:t>92656</w:t>
            </w:r>
          </w:p>
        </w:tc>
      </w:tr>
      <w:tr>
        <w:trPr/>
        <w:tc>
          <w:tcPr>
            <w:tcW w:w="292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120" w:after="0"/>
        <w:jc w:val="center"/>
        <w:rPr>
          <w:rFonts w:ascii="Times New Roman;serif" w:hAnsi="Times New Roman;serif"/>
          <w:b/>
          <w:sz w:val="20"/>
        </w:rPr>
      </w:pPr>
      <w:r>
        <w:rPr>
          <w:rFonts w:ascii="Times New Roman;serif" w:hAnsi="Times New Roman;serif"/>
          <w:b/>
          <w:sz w:val="20"/>
        </w:rPr>
        <w:t>Registrant’s telephone number, including area code: (949) 521-7830</w:t>
      </w:r>
    </w:p>
    <w:p>
      <w:pPr>
        <w:pStyle w:val="TextBody"/>
        <w:pBdr>
          <w:bottom w:val="single" w:sz="4" w:space="1" w:color="000000"/>
        </w:pBdr>
        <w:bidi w:val="0"/>
        <w:spacing w:before="0" w:after="0"/>
        <w:jc w:val="center"/>
        <w:rPr/>
      </w:pPr>
      <w:r>
        <w:rPr/>
        <w:t> </w:t>
      </w:r>
    </w:p>
    <w:p>
      <w:pPr>
        <w:pStyle w:val="TextBody"/>
        <w:bidi w:val="0"/>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9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16"/>
              </w:rPr>
              <w:t>Common Stock, par value $0.001 per share</w:t>
            </w:r>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center"/>
              <w:rPr/>
            </w:pPr>
            <w:r>
              <w:rPr/>
              <w:t> </w:t>
            </w:r>
          </w:p>
        </w:tc>
        <w:tc>
          <w:tcPr>
            <w:tcW w:w="82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RXST</w:t>
            </w:r>
          </w:p>
        </w:tc>
        <w:tc>
          <w:tcPr>
            <w:tcW w:w="146" w:type="dxa"/>
            <w:tcBorders/>
            <w:vAlign w:val="center"/>
          </w:tcPr>
          <w:p>
            <w:pPr>
              <w:pStyle w:val="TableContents"/>
              <w:bidi w:val="0"/>
              <w:spacing w:before="0" w:after="0"/>
              <w:ind w:left="0" w:right="0" w:hanging="0"/>
              <w:jc w:val="center"/>
              <w:rPr/>
            </w:pPr>
            <w:r>
              <w:rPr/>
              <w:t> </w:t>
            </w:r>
          </w:p>
        </w:tc>
        <w:tc>
          <w:tcPr>
            <w:tcW w:w="33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The Nasdaq Stock Market LLC</w:t>
            </w:r>
          </w:p>
        </w:tc>
      </w:tr>
    </w:tbl>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12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187" w:type="dxa"/>
            <w:gridSpan w:val="2"/>
            <w:tcBorders/>
            <w:vAlign w:val="center"/>
          </w:tcPr>
          <w:p>
            <w:pPr>
              <w:pStyle w:val="TableContents"/>
              <w:bidi w:val="0"/>
              <w:spacing w:before="0" w:after="0"/>
              <w:ind w:left="0" w:right="0" w:hanging="0"/>
              <w:jc w:val="left"/>
              <w:rPr/>
            </w:pPr>
            <w:r>
              <w:rPr/>
              <w:t> </w:t>
            </w:r>
          </w:p>
        </w:tc>
        <w:tc>
          <w:tcPr>
            <w:tcW w:w="507" w:type="dxa"/>
            <w:gridSpan w:val="2"/>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r>
        <w:trPr/>
        <w:tc>
          <w:tcPr>
            <w:tcW w:w="16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120" w:after="0"/>
        <w:jc w:val="left"/>
        <w:rPr>
          <w:rFonts w:ascii="Times New Roman" w:hAnsi="Times New Roman"/>
          <w:sz w:val="20"/>
        </w:rPr>
      </w:pPr>
      <w:r>
        <w:rPr>
          <w:rFonts w:ascii="Times New Roman;serif" w:hAnsi="Times New Roman;serif"/>
          <w:b w:val="false"/>
          <w:sz w:val="18"/>
        </w:rPr>
        <w:t>As of July 31, 2023, the registrant had 35,643,669</w:t>
      </w:r>
      <w:r>
        <w:rPr>
          <w:rFonts w:ascii="Times New Roman" w:hAnsi="Times New Roman"/>
          <w:sz w:val="20"/>
        </w:rPr>
        <w:t xml:space="preserve"> </w:t>
      </w:r>
      <w:r>
        <w:rPr>
          <w:rFonts w:ascii="Times New Roman;serif" w:hAnsi="Times New Roman;serif"/>
          <w:b w:val="false"/>
          <w:sz w:val="18"/>
        </w:rPr>
        <w:t>shares of common stock, $0.001 par value per share, outstanding.</w:t>
      </w:r>
    </w:p>
    <w:p>
      <w:pPr>
        <w:pStyle w:val="TextBody"/>
        <w:pBdr>
          <w:bottom w:val="double" w:sz="6"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both"/>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571" w:type="dxa"/>
            <w:tcBorders>
              <w:bottom w:val="single" w:sz="2" w:space="0" w:color="000000"/>
            </w:tcBorders>
            <w:tcMar>
              <w:top w:w="0" w:type="dxa"/>
              <w:left w:w="0" w:type="dxa"/>
              <w:right w:w="0" w:type="dxa"/>
            </w:tcMar>
            <w:vAlign w:val="center"/>
          </w:tcPr>
          <w:p>
            <w:pPr>
              <w:pStyle w:val="TableContents"/>
              <w:bidi w:val="0"/>
              <w:spacing w:before="0" w:after="0"/>
              <w:ind w:left="137" w:right="0" w:hanging="0"/>
              <w:jc w:val="both"/>
              <w:rPr>
                <w:rFonts w:ascii="Times New Roman;serif" w:hAnsi="Times New Roman;serif"/>
                <w:b/>
                <w:sz w:val="20"/>
              </w:rPr>
            </w:pPr>
            <w:r>
              <w:rPr>
                <w:rFonts w:ascii="Times New Roman;serif" w:hAnsi="Times New Roman;serif"/>
                <w:b/>
                <w:sz w:val="20"/>
              </w:rPr>
              <w:t>Page</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INFORMATION</w:t>
            </w:r>
          </w:p>
        </w:tc>
        <w:tc>
          <w:tcPr>
            <w:tcW w:w="5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s">
              <w:r>
                <w:rPr>
                  <w:rStyle w:val="InternetLink"/>
                  <w:rFonts w:ascii="Times New Roman;serif" w:hAnsi="Times New Roman;serif"/>
                  <w:b w:val="false"/>
                  <w:sz w:val="20"/>
                  <w:u w:val="single"/>
                </w:rPr>
                <w:t>Financial Statements (Unaudited)</w:t>
              </w:r>
            </w:hyperlink>
          </w:p>
        </w:tc>
        <w:tc>
          <w:tcPr>
            <w:tcW w:w="57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balance_sheets">
              <w:r>
                <w:rPr>
                  <w:rStyle w:val="InternetLink"/>
                  <w:rFonts w:ascii="Times New Roman;serif" w:hAnsi="Times New Roman;serif"/>
                  <w:b w:val="false"/>
                  <w:sz w:val="20"/>
                  <w:u w:val="single"/>
                </w:rPr>
                <w:t>Condensed Consolidated Balance Sheets</w:t>
              </w:r>
            </w:hyperlink>
          </w:p>
        </w:tc>
        <w:tc>
          <w:tcPr>
            <w:tcW w:w="57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operations">
              <w:r>
                <w:rPr>
                  <w:rStyle w:val="InternetLink"/>
                  <w:rFonts w:ascii="Times New Roman;serif" w:hAnsi="Times New Roman;serif"/>
                  <w:b w:val="false"/>
                  <w:sz w:val="20"/>
                  <w:u w:val="single"/>
                </w:rPr>
                <w:t>Condensed Consolidated Statements of Operations and Comprehensive Loss</w:t>
              </w:r>
            </w:hyperlink>
          </w:p>
        </w:tc>
        <w:tc>
          <w:tcPr>
            <w:tcW w:w="57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7</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equity">
              <w:r>
                <w:rPr>
                  <w:rStyle w:val="InternetLink"/>
                  <w:rFonts w:ascii="Times New Roman;serif" w:hAnsi="Times New Roman;serif"/>
                  <w:b w:val="false"/>
                  <w:sz w:val="20"/>
                  <w:u w:val="single"/>
                </w:rPr>
                <w:t>Condensed Consolidated Statements of Equity</w:t>
              </w:r>
            </w:hyperlink>
          </w:p>
        </w:tc>
        <w:tc>
          <w:tcPr>
            <w:tcW w:w="57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8</w:t>
            </w:r>
          </w:p>
        </w:tc>
      </w:tr>
      <w:tr>
        <w:trPr/>
        <w:tc>
          <w:tcPr>
            <w:tcW w:w="886" w:type="dxa"/>
            <w:tcBorders/>
            <w:tcMar>
              <w:top w:w="0" w:type="dxa"/>
              <w:left w:w="0" w:type="dxa"/>
              <w:bottom w:w="0" w:type="dxa"/>
              <w:right w:w="0" w:type="dxa"/>
            </w:tcMar>
            <w:vAlign w:val="center"/>
          </w:tcPr>
          <w:p>
            <w:pPr>
              <w:pStyle w:val="TableContents"/>
              <w:bidi w:val="0"/>
              <w:spacing w:before="0" w:after="0"/>
              <w:ind w:left="137" w:right="0" w:hanging="0"/>
              <w:jc w:val="left"/>
              <w:rPr/>
            </w:pPr>
            <w:r>
              <w:rPr/>
              <w:t> </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statements_cash_flows">
              <w:r>
                <w:rPr>
                  <w:rStyle w:val="InternetLink"/>
                  <w:rFonts w:ascii="Times New Roman;serif" w:hAnsi="Times New Roman;serif"/>
                  <w:b w:val="false"/>
                  <w:sz w:val="20"/>
                  <w:u w:val="single"/>
                </w:rPr>
                <w:t>Condensed Consolidated Statements of Cash Flows</w:t>
              </w:r>
            </w:hyperlink>
          </w:p>
        </w:tc>
        <w:tc>
          <w:tcPr>
            <w:tcW w:w="571" w:type="dxa"/>
            <w:tcBorders/>
            <w:tcMar>
              <w:top w:w="0" w:type="dxa"/>
              <w:left w:w="0" w:type="dxa"/>
              <w:bottom w:w="0" w:type="dxa"/>
              <w:right w:w="0" w:type="dxa"/>
            </w:tcMar>
            <w:vAlign w:val="center"/>
          </w:tcPr>
          <w:p>
            <w:pPr>
              <w:pStyle w:val="TableContents"/>
              <w:bidi w:val="0"/>
              <w:spacing w:before="0" w:after="0"/>
              <w:ind w:left="0" w:right="0" w:firstLine="137"/>
              <w:jc w:val="right"/>
              <w:rPr>
                <w:rFonts w:ascii="Times New Roman;serif" w:hAnsi="Times New Roman;serif"/>
                <w:b w:val="false"/>
                <w:sz w:val="20"/>
              </w:rPr>
            </w:pPr>
            <w:r>
              <w:rPr>
                <w:rFonts w:ascii="Times New Roman;serif" w:hAnsi="Times New Roman;serif"/>
                <w:b w:val="false"/>
                <w:sz w:val="20"/>
              </w:rPr>
              <w:t>10</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condensed_financial_statements">
              <w:r>
                <w:rPr>
                  <w:rStyle w:val="InternetLink"/>
                  <w:rFonts w:ascii="Times New Roman;serif" w:hAnsi="Times New Roman;serif"/>
                  <w:b w:val="false"/>
                  <w:sz w:val="20"/>
                  <w:u w:val="single"/>
                </w:rPr>
                <w:t>Notes to Unaudited Condensed Consolidated Financial Statements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da">
              <w:r>
                <w:rPr>
                  <w:rStyle w:val="InternetLink"/>
                  <w:rFonts w:ascii="Times New Roman;serif" w:hAnsi="Times New Roman;serif"/>
                  <w:b w:val="false"/>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INFORMATION</w:t>
            </w:r>
          </w:p>
        </w:tc>
        <w:tc>
          <w:tcPr>
            <w:tcW w:w="5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isk_factors">
              <w:bookmarkStart w:id="2" w:name="toc_page"/>
              <w:bookmarkEnd w:id="2"/>
              <w:r>
                <w:rPr>
                  <w:rStyle w:val="InternetLink"/>
                  <w:rFonts w:ascii="Times New Roman;serif" w:hAnsi="Times New Roman;serif"/>
                  <w:b w:val="false"/>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3_defaults">
              <w:r>
                <w:rPr>
                  <w:rStyle w:val="InternetLink"/>
                  <w:rFonts w:ascii="Times New Roman;serif" w:hAnsi="Times New Roman;serif"/>
                  <w:b w:val="false"/>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5otherinformation">
              <w:r>
                <w:rPr>
                  <w:rStyle w:val="InternetLink"/>
                  <w:rFonts w:ascii="Times New Roman;serif" w:hAnsi="Times New Roman;serif"/>
                  <w:b w:val="false"/>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r>
      <w:tr>
        <w:trPr/>
        <w:tc>
          <w:tcPr>
            <w:tcW w:w="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w:t>
            </w:r>
          </w:p>
        </w:tc>
      </w:tr>
      <w:tr>
        <w:trPr/>
        <w:tc>
          <w:tcPr>
            <w:tcW w:w="8252"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SPECIAL NOTE REGARDING FORWARD-LOOKING STATEMENTS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following discussion and analysis should be read together with our condensed consolidated financial statements and the condensed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pStyle w:val="TextBody"/>
        <w:bidi w:val="0"/>
        <w:spacing w:before="240" w:after="0"/>
        <w:jc w:val="left"/>
        <w:rPr>
          <w:rFonts w:ascii="Times New Roman" w:hAnsi="Times New Roman"/>
          <w:sz w:val="20"/>
        </w:rPr>
      </w:pPr>
      <w:r>
        <w:rPr>
          <w:rFonts w:ascii="Times New Roman;serif" w:hAnsi="Times New Roman;serif"/>
          <w:b w:val="false"/>
          <w:sz w:val="20"/>
        </w:rPr>
        <w:t>Forward-looking statements include, but are not limited to, statements concerning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sufficiency of our existing capital resources to fund our future operating expenses and capital expenditure requirements, including our expectation that we do not anticipate the need to raise additional capital or incur additional debt in order to reach profit from operations, as disclosed in the Company’s future Annual Reports on Form 10-K or Quarterly Reports on Form 10-Q as filed with the Securities and Exchange Commission (“SEC”);</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plans to conduct further clinical trials and any expectations related to the timing or outcomes of such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plans and expected timelines related to our products, or developing new products, to address additional indications or otherwise;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expected acceptance and use of our products by doctors;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maintain and expand regulatory clearances for our products and any new products we create;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expected growth of our business and our organization;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intentions regarding investment in our business as we pursue growth;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expected uses of our existing resources;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expectations regarding government and third-party payer coverage and reimbursement;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recruit and retain key personnel, including the continued development of a sales and marketing infrastructure;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an adequate supply of materials and components for our products from our third-party suppliers, including single- and sole-source suppliers;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manufacture sufficient quantities of our products with appropriate quality;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maintain and enforce intellectual property protection for our products and protect our intellectual property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expand our business into new geographic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comply with applicable SEC rules and Nasdaq continued listing requirements;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comply with existing and future government laws, rules and regulations both in the United States and internationally;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allocation of resources toward expenses associated with being a public company;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estimates of our expenses, ongoing losses, future revenue, capital requirements and our need for, or ability to obtain, additional financing;</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expectations regarding the time during which we will be an emerging growth company under the Jumpstart Our Business Startups Act of 2012 (the “JOBS Act”) and a smaller reporting company under the Exchange Act;</w:t>
      </w:r>
    </w:p>
    <w:p>
      <w:pPr>
        <w:pStyle w:val="TextBody"/>
        <w:bidi w:val="0"/>
        <w:spacing w:before="0" w:after="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volatility of the trading price of our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identify and develop new and planned products and/or acquire new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development and projections relating to our competitors or our industry, including anticipated growth rates for the conventional and premium intraocular lens (“IOL”)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impact of local, regional, national or political conditions and events;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impact of worldwide political and economic conditions and unknown future events on our business, financial condition and results of operations.</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before="160" w:after="0"/>
        <w:jc w:val="center"/>
        <w:rPr>
          <w:rFonts w:ascii="Times New Roman" w:hAnsi="Times New Roman"/>
          <w:sz w:val="20"/>
        </w:rPr>
      </w:pPr>
      <w:r>
        <w:rPr>
          <w:rFonts w:ascii="Times New Roman;serif" w:hAnsi="Times New Roman;serif"/>
          <w:b/>
          <w:sz w:val="20"/>
        </w:rPr>
        <w:t>DISCUSSION AND ANALYSIS OF OUR FINANCIAL CONDITION</w:t>
      </w:r>
      <w:r>
        <w:rPr>
          <w:rFonts w:ascii="Times New Roman" w:hAnsi="Times New Roman"/>
          <w:sz w:val="20"/>
        </w:rPr>
        <w:t xml:space="preserve"> </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Our discussion and analysis of our financial condition and results of operations is based upon our unaudited condensed consolidated financial statements, which have been prepared in accordance with generally accepted accounting principles in the United States (“GAAP”). The preparation of these financial statements requires us to make estimates and judgments that affect the reported amounts of assets, liabilities, revenues and expenses. On an ongoing basis, we evaluate our estimates including those related to revenue recognition, the realization of income tax assets and estimates of tax liabilities, and obsolete, excess and slow-moving inventory. We base our estimates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materially from these estimates. Our critical accounting policies and estimates are discussed in the Company’s Annual Report on Form 10-K filed with the SEC on March 6, 2023.</w:t>
      </w:r>
    </w:p>
    <w:p>
      <w:pPr>
        <w:pStyle w:val="TextBody"/>
        <w:bidi w:val="0"/>
        <w:spacing w:before="160" w:after="0"/>
        <w:jc w:val="center"/>
        <w:rPr>
          <w:rFonts w:ascii="Times New Roman;serif" w:hAnsi="Times New Roman;serif"/>
          <w:b/>
          <w:sz w:val="20"/>
        </w:rPr>
      </w:pPr>
      <w:r>
        <w:rPr>
          <w:rFonts w:ascii="Times New Roman;serif" w:hAnsi="Times New Roman;serif"/>
          <w:b/>
          <w:sz w:val="20"/>
        </w:rPr>
        <w:t>INDUSTRY, BUSINESS AND MARKET DATA</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0" w:after="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center"/>
        <w:rPr>
          <w:rFonts w:ascii="Times New Roman;serif" w:hAnsi="Times New Roman;serif"/>
          <w:b/>
          <w:sz w:val="20"/>
        </w:rPr>
      </w:pPr>
      <w:r>
        <w:rPr>
          <w:rFonts w:ascii="Times New Roman;serif" w:hAnsi="Times New Roman;serif"/>
          <w:b/>
          <w:sz w:val="20"/>
        </w:rPr>
        <w:t>TRADEMARKS, SERVICE MARKS AND TRADE NAMES</w:t>
      </w:r>
    </w:p>
    <w:p>
      <w:pPr>
        <w:pStyle w:val="TextBody"/>
        <w:bidi w:val="0"/>
        <w:spacing w:before="160" w:after="0"/>
        <w:jc w:val="left"/>
        <w:rPr>
          <w:rFonts w:ascii="Times New Roman" w:hAnsi="Times New Roman"/>
          <w:sz w:val="20"/>
        </w:rPr>
      </w:pPr>
      <w:r>
        <w:rPr>
          <w:rFonts w:ascii="Times New Roman;serif" w:hAnsi="Times New Roman;serif"/>
          <w:b w:val="false"/>
          <w:sz w:val="20"/>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r>
        <w:rPr>
          <w:rFonts w:ascii="Times New Roman" w:hAnsi="Times New Roman"/>
          <w:sz w:val="20"/>
        </w:rPr>
        <w:t xml:space="preserve"> </w:t>
      </w:r>
    </w:p>
    <w:p>
      <w:pPr>
        <w:pStyle w:val="TextBody"/>
        <w:bidi w:val="0"/>
        <w:spacing w:before="0" w:after="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240"/>
        <w:jc w:val="left"/>
        <w:rPr>
          <w:rFonts w:ascii="Times New Roman;serif" w:hAnsi="Times New Roman;serif"/>
          <w:b/>
          <w:sz w:val="22"/>
        </w:rPr>
      </w:pPr>
      <w:bookmarkStart w:id="3" w:name="item_1_fs"/>
      <w:bookmarkEnd w:id="3"/>
      <w:r>
        <w:rPr>
          <w:rFonts w:ascii="Times New Roman;serif" w:hAnsi="Times New Roman;serif"/>
          <w:b/>
          <w:sz w:val="22"/>
        </w:rPr>
        <w:t>Item 1: Financial Statements (Unaudited)</w:t>
      </w:r>
    </w:p>
    <w:p>
      <w:pPr>
        <w:pStyle w:val="TextBody"/>
        <w:bidi w:val="0"/>
        <w:spacing w:before="0" w:after="0"/>
        <w:jc w:val="center"/>
        <w:rPr>
          <w:rFonts w:ascii="Times New Roman" w:hAnsi="Times New Roman"/>
          <w:sz w:val="20"/>
        </w:rPr>
      </w:pPr>
      <w:r>
        <w:rPr>
          <w:rFonts w:ascii="Times New Roman;serif" w:hAnsi="Times New Roman;serif"/>
          <w:b/>
          <w:sz w:val="20"/>
        </w:rPr>
        <w:t>RxSIGHT, INC.</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bookmarkStart w:id="4" w:name="condensed_balance_sheets"/>
      <w:bookmarkEnd w:id="4"/>
      <w:r>
        <w:rPr>
          <w:rFonts w:ascii="Times New Roman;serif" w:hAnsi="Times New Roman;serif"/>
          <w:b/>
          <w:sz w:val="20"/>
        </w:rPr>
        <w:t>CONDENSED CONSOLIDATED BALANCE SHEETS</w:t>
      </w:r>
    </w:p>
    <w:p>
      <w:pPr>
        <w:pStyle w:val="TextBody"/>
        <w:pBdr>
          <w:bottom w:val="single" w:sz="12" w:space="1" w:color="000000"/>
        </w:pBdr>
        <w:bidi w:val="0"/>
        <w:spacing w:before="0" w:after="0"/>
        <w:jc w:val="center"/>
        <w:rPr>
          <w:rFonts w:ascii="Times New Roman;serif" w:hAnsi="Times New Roman;serif"/>
          <w:b w:val="false"/>
          <w:sz w:val="22"/>
        </w:rPr>
      </w:pPr>
      <w:r>
        <w:rPr>
          <w:rFonts w:ascii="Times New Roman;serif" w:hAnsi="Times New Roman;serif"/>
          <w:b w:val="false"/>
          <w:sz w:val="22"/>
        </w:rPr>
        <w:t>(In thousands, except share and per share amounts)</w:t>
      </w:r>
    </w:p>
    <w:p>
      <w:pPr>
        <w:pStyle w:val="TextBody"/>
        <w:bidi w:val="0"/>
        <w:spacing w:before="0" w:after="0"/>
        <w:jc w:val="left"/>
        <w:rPr/>
      </w:pPr>
      <w:r>
        <w:rPr/>
        <w:t> </w:t>
      </w:r>
    </w:p>
    <w:tbl>
      <w:tblPr>
        <w:tblW w:w="9922" w:type="dxa"/>
        <w:jc w:val="left"/>
        <w:tblInd w:w="0" w:type="dxa"/>
        <w:tblLayout w:type="fixed"/>
        <w:tblCellMar>
          <w:top w:w="28" w:type="dxa"/>
          <w:left w:w="28" w:type="dxa"/>
          <w:bottom w:w="28" w:type="dxa"/>
          <w:right w:w="28" w:type="dxa"/>
        </w:tblCellMar>
      </w:tblPr>
      <w:tblGrid>
        <w:gridCol w:w="6811"/>
        <w:gridCol w:w="146"/>
        <w:gridCol w:w="196"/>
        <w:gridCol w:w="751"/>
        <w:gridCol w:w="166"/>
        <w:gridCol w:w="146"/>
        <w:gridCol w:w="226"/>
        <w:gridCol w:w="869"/>
        <w:gridCol w:w="611"/>
      </w:tblGrid>
      <w:tr>
        <w:trPr/>
        <w:tc>
          <w:tcPr>
            <w:tcW w:w="6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8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611" w:type="dxa"/>
            <w:tcBorders/>
            <w:vAlign w:val="center"/>
          </w:tcPr>
          <w:p>
            <w:pPr>
              <w:pStyle w:val="TableContents"/>
              <w:bidi w:val="0"/>
              <w:spacing w:before="0" w:after="0"/>
              <w:ind w:left="0" w:right="0" w:hanging="0"/>
              <w:jc w:val="center"/>
              <w:rPr/>
            </w:pPr>
            <w:r>
              <w:rPr/>
              <w:t> </w:t>
            </w:r>
          </w:p>
        </w:tc>
      </w:tr>
      <w:tr>
        <w:trPr/>
        <w:tc>
          <w:tcPr>
            <w:tcW w:w="68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8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pPr>
            <w:r>
              <w:rPr/>
              <w:t> </w:t>
            </w:r>
          </w:p>
        </w:tc>
        <w:tc>
          <w:tcPr>
            <w:tcW w:w="611" w:type="dxa"/>
            <w:tcBorders/>
            <w:vAlign w:val="center"/>
          </w:tcPr>
          <w:p>
            <w:pPr>
              <w:pStyle w:val="TableContents"/>
              <w:bidi w:val="0"/>
              <w:spacing w:before="0" w:after="0"/>
              <w:ind w:left="0" w:right="0" w:hanging="0"/>
              <w:jc w:val="center"/>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Current assets: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11,834</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Short-term investments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138,340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93,968</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receivable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10,956</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Inventories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14,835</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Prepaid and other current assets</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2,962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current assets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180,445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134,555</w:t>
            </w:r>
          </w:p>
        </w:tc>
        <w:tc>
          <w:tcPr>
            <w:tcW w:w="611" w:type="dxa"/>
            <w:tcBorders/>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Property and equipment, net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10,138</w:t>
            </w:r>
          </w:p>
        </w:tc>
        <w:tc>
          <w:tcPr>
            <w:tcW w:w="611" w:type="dxa"/>
            <w:tcBorders/>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Operating leases right-of-use assets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3,943</w:t>
            </w:r>
          </w:p>
        </w:tc>
        <w:tc>
          <w:tcPr>
            <w:tcW w:w="611" w:type="dxa"/>
            <w:tcBorders/>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Restricted cash</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761</w:t>
            </w:r>
          </w:p>
        </w:tc>
        <w:tc>
          <w:tcPr>
            <w:tcW w:w="611" w:type="dxa"/>
            <w:tcBorders/>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assets</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767</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11" w:type="dxa"/>
            <w:tcBorders/>
            <w:vAlign w:val="center"/>
          </w:tcPr>
          <w:p>
            <w:pPr>
              <w:pStyle w:val="TableContents"/>
              <w:bidi w:val="0"/>
              <w:spacing w:before="0" w:after="0"/>
              <w:ind w:left="40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195,261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150,164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 and stockholders' equity</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Current liabilities:</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Accounts payable</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2,595</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Accrued expenses and other current liabilities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12,672</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Lease liabilities</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current liabilities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16,565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17,237</w:t>
            </w:r>
          </w:p>
        </w:tc>
        <w:tc>
          <w:tcPr>
            <w:tcW w:w="611" w:type="dxa"/>
            <w:tcBorders/>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Long-term lease liabilities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2,856</w:t>
            </w:r>
          </w:p>
        </w:tc>
        <w:tc>
          <w:tcPr>
            <w:tcW w:w="611" w:type="dxa"/>
            <w:tcBorders/>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Term loan, net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40,169</w:t>
            </w:r>
          </w:p>
        </w:tc>
        <w:tc>
          <w:tcPr>
            <w:tcW w:w="611" w:type="dxa"/>
            <w:tcBorders/>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 long-term liabilities</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11" w:type="dxa"/>
            <w:tcBorders/>
            <w:vAlign w:val="center"/>
          </w:tcPr>
          <w:p>
            <w:pPr>
              <w:pStyle w:val="TableContents"/>
              <w:bidi w:val="0"/>
              <w:spacing w:before="0" w:after="0"/>
              <w:ind w:left="40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38,073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60,262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Commitments and contingencies (</w:t>
            </w:r>
            <w:r>
              <w:rPr>
                <w:rFonts w:ascii="Times New Roman;serif" w:hAnsi="Times New Roman;serif"/>
                <w:b w:val="false"/>
                <w:i/>
                <w:sz w:val="16"/>
              </w:rPr>
              <w:t>Note 9)</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8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Stockholders' equity:</w:t>
            </w:r>
          </w:p>
        </w:tc>
        <w:tc>
          <w:tcPr>
            <w:tcW w:w="146" w:type="dxa"/>
            <w:tcBorders/>
            <w:vAlign w:val="center"/>
          </w:tcPr>
          <w:p>
            <w:pPr>
              <w:pStyle w:val="TableContents"/>
              <w:bidi w:val="0"/>
              <w:spacing w:before="0" w:after="0"/>
              <w:ind w:left="0" w:right="0" w:hanging="0"/>
              <w:jc w:val="righ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Common stock, $0.001</w:t>
            </w:r>
            <w:r>
              <w:rPr>
                <w:rFonts w:ascii="Times New Roman" w:hAnsi="Times New Roman"/>
                <w:sz w:val="20"/>
              </w:rPr>
              <w:t> </w:t>
            </w:r>
            <w:r>
              <w:rPr>
                <w:rFonts w:ascii="Times New Roman;serif" w:hAnsi="Times New Roman;serif"/>
                <w:b w:val="false"/>
                <w:sz w:val="16"/>
              </w:rPr>
              <w:t>par value, 900,000,000</w:t>
            </w:r>
            <w:r>
              <w:rPr>
                <w:rFonts w:ascii="Times New Roman" w:hAnsi="Times New Roman"/>
                <w:sz w:val="20"/>
              </w:rPr>
              <w:t> </w:t>
            </w:r>
            <w:r>
              <w:rPr>
                <w:rFonts w:ascii="Times New Roman;serif" w:hAnsi="Times New Roman;serif"/>
                <w:b w:val="false"/>
                <w:sz w:val="16"/>
              </w:rPr>
              <w:t>shares authorized, 35,168,041</w:t>
            </w:r>
            <w:r>
              <w:rPr>
                <w:rFonts w:ascii="Times New Roman" w:hAnsi="Times New Roman"/>
                <w:sz w:val="20"/>
              </w:rPr>
              <w:t> </w:t>
            </w:r>
            <w:r>
              <w:rPr>
                <w:rFonts w:ascii="Times New Roman;serif" w:hAnsi="Times New Roman;serif"/>
                <w:b w:val="false"/>
                <w:sz w:val="16"/>
              </w:rPr>
              <w:t>shares issued and</w:t>
              <w:br/>
              <w:t>  outstanding as of June 30, 2023 and 28,268,389</w:t>
            </w:r>
            <w:r>
              <w:rPr>
                <w:rFonts w:ascii="Times New Roman" w:hAnsi="Times New Roman"/>
                <w:sz w:val="20"/>
              </w:rPr>
              <w:t> </w:t>
            </w:r>
            <w:r>
              <w:rPr>
                <w:rFonts w:ascii="Times New Roman;serif" w:hAnsi="Times New Roman;serif"/>
                <w:b w:val="false"/>
                <w:sz w:val="16"/>
              </w:rPr>
              <w:t>shares issued and</w:t>
              <w:br/>
              <w:t>  outstanding as of December 31, 2022</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Preferred stock, $0.001</w:t>
            </w:r>
            <w:r>
              <w:rPr>
                <w:rFonts w:ascii="Times New Roman" w:hAnsi="Times New Roman"/>
                <w:sz w:val="20"/>
              </w:rPr>
              <w:t> </w:t>
            </w:r>
            <w:r>
              <w:rPr>
                <w:rFonts w:ascii="Times New Roman;serif" w:hAnsi="Times New Roman;serif"/>
                <w:b w:val="false"/>
                <w:sz w:val="16"/>
              </w:rPr>
              <w:t>par value, 100,000,000</w:t>
            </w:r>
            <w:r>
              <w:rPr>
                <w:rFonts w:ascii="Times New Roman" w:hAnsi="Times New Roman"/>
                <w:sz w:val="20"/>
              </w:rPr>
              <w:t> </w:t>
            </w:r>
            <w:r>
              <w:rPr>
                <w:rFonts w:ascii="Times New Roman;serif" w:hAnsi="Times New Roman;serif"/>
                <w:b w:val="false"/>
                <w:sz w:val="16"/>
              </w:rPr>
              <w:t>shares authorized, no</w:t>
            </w:r>
            <w:r>
              <w:rPr>
                <w:rFonts w:ascii="Times New Roman" w:hAnsi="Times New Roman"/>
                <w:sz w:val="20"/>
              </w:rPr>
              <w:t> </w:t>
            </w:r>
            <w:r>
              <w:rPr>
                <w:rFonts w:ascii="Times New Roman;serif" w:hAnsi="Times New Roman;serif"/>
                <w:b w:val="false"/>
                <w:sz w:val="16"/>
              </w:rPr>
              <w:t>shares issued</w:t>
              <w:br/>
              <w:t>  and outstanding</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Additional paid-in capital</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730,274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636,001</w:t>
            </w:r>
          </w:p>
        </w:tc>
        <w:tc>
          <w:tcPr>
            <w:tcW w:w="611" w:type="dxa"/>
            <w:tcBorders/>
            <w:vAlign w:val="center"/>
          </w:tcPr>
          <w:p>
            <w:pPr>
              <w:pStyle w:val="TableContents"/>
              <w:bidi w:val="0"/>
              <w:spacing w:before="0" w:after="0"/>
              <w:ind w:left="0" w:right="0" w:firstLine="200"/>
              <w:jc w:val="left"/>
              <w:rPr/>
            </w:pPr>
            <w:r>
              <w:rPr/>
              <w:t> </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other comprehensive loss</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 </w:t>
            </w:r>
          </w:p>
        </w:tc>
        <w:tc>
          <w:tcPr>
            <w:tcW w:w="86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681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(573,048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(546,032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81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stockholders' equity</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157,188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89,902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6811" w:type="dxa"/>
            <w:tcBorders/>
            <w:vAlign w:val="center"/>
          </w:tcPr>
          <w:p>
            <w:pPr>
              <w:pStyle w:val="TableContents"/>
              <w:bidi w:val="0"/>
              <w:spacing w:before="0" w:after="0"/>
              <w:ind w:left="400" w:right="0" w:hanging="0"/>
              <w:jc w:val="left"/>
              <w:rPr>
                <w:rFonts w:ascii="Times New Roman;serif" w:hAnsi="Times New Roman;serif"/>
                <w:b/>
                <w:sz w:val="16"/>
              </w:rPr>
            </w:pPr>
            <w:r>
              <w:rPr>
                <w:rFonts w:ascii="Times New Roman;serif" w:hAnsi="Times New Roman;serif"/>
                <w:b/>
                <w:sz w:val="16"/>
              </w:rPr>
              <w:t>Total liabilities and stockholders' equity</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195,261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150,164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9311" w:type="dxa"/>
            <w:gridSpan w:val="8"/>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9311" w:type="dxa"/>
            <w:gridSpan w:val="8"/>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condensed consolidated financial statements.</w:t>
      </w:r>
    </w:p>
    <w:p>
      <w:pPr>
        <w:pStyle w:val="TextBody"/>
        <w:bidi w:val="0"/>
        <w:spacing w:before="0" w:after="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RxSIGHT, INC.</w:t>
      </w:r>
    </w:p>
    <w:p>
      <w:pPr>
        <w:pStyle w:val="TextBody"/>
        <w:bidi w:val="0"/>
        <w:spacing w:before="0" w:after="0"/>
        <w:jc w:val="center"/>
        <w:rPr>
          <w:rFonts w:ascii="Times New Roman;serif" w:hAnsi="Times New Roman;serif"/>
          <w:b/>
          <w:sz w:val="20"/>
        </w:rPr>
      </w:pPr>
      <w:bookmarkStart w:id="5" w:name="condensed_statements_operations"/>
      <w:bookmarkEnd w:id="5"/>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AND COMPREHENSIVE LOSS (UNAUDITED)</w:t>
      </w:r>
    </w:p>
    <w:p>
      <w:pPr>
        <w:pStyle w:val="TextBody"/>
        <w:pBdr>
          <w:bottom w:val="single" w:sz="12" w:space="1" w:color="000000"/>
        </w:pBdr>
        <w:bidi w:val="0"/>
        <w:spacing w:before="0" w:after="0"/>
        <w:jc w:val="center"/>
        <w:rPr>
          <w:rFonts w:ascii="Times New Roman;serif" w:hAnsi="Times New Roman;serif"/>
          <w:b w:val="false"/>
          <w:sz w:val="22"/>
        </w:rPr>
      </w:pPr>
      <w:r>
        <w:rPr>
          <w:rFonts w:ascii="Times New Roman;serif" w:hAnsi="Times New Roman;serif"/>
          <w:b w:val="false"/>
          <w:sz w:val="22"/>
        </w:rPr>
        <w:t>(In thousands, except share and per share amounts)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718"/>
        <w:gridCol w:w="146"/>
        <w:gridCol w:w="196"/>
        <w:gridCol w:w="916"/>
        <w:gridCol w:w="166"/>
        <w:gridCol w:w="146"/>
        <w:gridCol w:w="196"/>
        <w:gridCol w:w="916"/>
        <w:gridCol w:w="166"/>
        <w:gridCol w:w="146"/>
        <w:gridCol w:w="196"/>
        <w:gridCol w:w="916"/>
        <w:gridCol w:w="166"/>
        <w:gridCol w:w="146"/>
        <w:gridCol w:w="196"/>
        <w:gridCol w:w="916"/>
        <w:gridCol w:w="166"/>
        <w:gridCol w:w="791"/>
      </w:tblGrid>
      <w:tr>
        <w:trPr/>
        <w:tc>
          <w:tcPr>
            <w:tcW w:w="3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7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37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Sales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38,299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20,301</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Cost of sales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Gross profit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Operating expenses: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371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34,492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28,008</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371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Research and development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7,401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14,608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600"/>
              <w:jc w:val="left"/>
              <w:rPr/>
            </w:pPr>
            <w:r>
              <w:rPr/>
              <w:t> </w:t>
            </w:r>
          </w:p>
        </w:tc>
      </w:tr>
      <w:tr>
        <w:trPr/>
        <w:tc>
          <w:tcPr>
            <w:tcW w:w="3718"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Total operating expenses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25,640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20,580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49,100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40,919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600"/>
              <w:jc w:val="left"/>
              <w:rPr/>
            </w:pPr>
            <w:r>
              <w:rPr/>
              <w:t> </w:t>
            </w:r>
          </w:p>
        </w:tc>
      </w:tr>
      <w:tr>
        <w:trPr/>
        <w:tc>
          <w:tcPr>
            <w:tcW w:w="3718"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Loss from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(13,625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(26,720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(32,370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 (expense), net:</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371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Interest expense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1" w:type="dxa"/>
            <w:tcBorders/>
            <w:vAlign w:val="center"/>
          </w:tcPr>
          <w:p>
            <w:pPr>
              <w:pStyle w:val="TableContents"/>
              <w:bidi w:val="0"/>
              <w:spacing w:before="0" w:after="0"/>
              <w:ind w:left="0" w:right="0" w:firstLine="400"/>
              <w:jc w:val="left"/>
              <w:rPr/>
            </w:pPr>
            <w:r>
              <w:rPr/>
              <w:t> </w:t>
            </w:r>
          </w:p>
        </w:tc>
      </w:tr>
      <w:tr>
        <w:trPr/>
        <w:tc>
          <w:tcPr>
            <w:tcW w:w="371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Interest and other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3,168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242</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371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Loss on extinguishment of term loan</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Loss before income taxes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(13,778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(34,324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Income tax expense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600"/>
              <w:jc w:val="left"/>
              <w:rPr/>
            </w:pPr>
            <w:r>
              <w:rPr/>
              <w:t> </w:t>
            </w:r>
          </w:p>
        </w:tc>
      </w:tr>
      <w:tr>
        <w:trPr/>
        <w:tc>
          <w:tcPr>
            <w:tcW w:w="3718" w:type="dxa"/>
            <w:tcBorders/>
            <w:vAlign w:val="center"/>
          </w:tcPr>
          <w:p>
            <w:pPr>
              <w:pStyle w:val="TableContents"/>
              <w:bidi w:val="0"/>
              <w:spacing w:before="0" w:after="0"/>
              <w:ind w:left="60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(16,732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(34,328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371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Unrealized (loss) gain on short-term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1" w:type="dxa"/>
            <w:tcBorders/>
            <w:vAlign w:val="center"/>
          </w:tcPr>
          <w:p>
            <w:pPr>
              <w:pStyle w:val="TableContents"/>
              <w:bidi w:val="0"/>
              <w:spacing w:before="0" w:after="0"/>
              <w:ind w:left="0" w:right="0" w:firstLine="400"/>
              <w:jc w:val="left"/>
              <w:rPr/>
            </w:pPr>
            <w:r>
              <w:rPr/>
              <w:t> </w:t>
            </w:r>
          </w:p>
        </w:tc>
      </w:tr>
      <w:tr>
        <w:trPr/>
        <w:tc>
          <w:tcPr>
            <w:tcW w:w="371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Foreign currency translation gain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other comprehensive (loss) income</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Comprehensive loss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(13,868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(26,994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(34,491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loss per share:</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400"/>
              <w:jc w:val="left"/>
              <w:rPr/>
            </w:pPr>
            <w:r>
              <w:rPr/>
              <w:t> </w:t>
            </w:r>
          </w:p>
        </w:tc>
      </w:tr>
      <w:tr>
        <w:trPr/>
        <w:tc>
          <w:tcPr>
            <w:tcW w:w="3718"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Basic &amp; diluted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(0.61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Weighted-average shares used in computing net loss per share:</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firstLine="200"/>
              <w:jc w:val="left"/>
              <w:rPr/>
            </w:pPr>
            <w:r>
              <w:rPr/>
              <w:t> </w:t>
            </w:r>
          </w:p>
        </w:tc>
      </w:tr>
      <w:tr>
        <w:trPr/>
        <w:tc>
          <w:tcPr>
            <w:tcW w:w="3718"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Attributable to common stock, basic &amp; diluted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34,498,265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27,559,908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33,075,585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27,493,130</w:t>
            </w:r>
          </w:p>
        </w:tc>
        <w:tc>
          <w:tcPr>
            <w:tcW w:w="16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condensed consolidated financial statements.</w:t>
      </w:r>
    </w:p>
    <w:p>
      <w:pPr>
        <w:pStyle w:val="TextBody"/>
        <w:bidi w:val="0"/>
        <w:spacing w:before="0" w:after="0"/>
        <w:jc w:val="center"/>
        <w:rPr/>
      </w:pPr>
      <w:r>
        <w:rPr/>
        <w:t> </w:t>
      </w:r>
    </w:p>
    <w:p>
      <w:pPr>
        <w:pStyle w:val="TextBody"/>
        <w:bidi w:val="0"/>
        <w:spacing w:before="0" w:after="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RxSIGHT, INC.</w:t>
      </w:r>
    </w:p>
    <w:p>
      <w:pPr>
        <w:pStyle w:val="TextBody"/>
        <w:bidi w:val="0"/>
        <w:spacing w:before="0" w:after="0"/>
        <w:jc w:val="center"/>
        <w:rPr>
          <w:rFonts w:ascii="Times New Roman;serif" w:hAnsi="Times New Roman;serif"/>
          <w:b/>
          <w:sz w:val="16"/>
        </w:rPr>
      </w:pPr>
      <w:bookmarkStart w:id="6" w:name="equity"/>
      <w:bookmarkEnd w:id="6"/>
      <w:r>
        <w:rPr>
          <w:rFonts w:ascii="Times New Roman;serif" w:hAnsi="Times New Roman;serif"/>
          <w:b/>
          <w:sz w:val="16"/>
        </w:rPr>
        <w:t>CONDENSED CONSOLIDATED STATEMENTS OF STOCKHOLDERS’ EQUITY</w:t>
      </w:r>
    </w:p>
    <w:p>
      <w:pPr>
        <w:pStyle w:val="TextBody"/>
        <w:bidi w:val="0"/>
        <w:spacing w:before="0" w:after="0"/>
        <w:jc w:val="center"/>
        <w:rPr>
          <w:rFonts w:ascii="Times New Roman" w:hAnsi="Times New Roman"/>
          <w:sz w:val="20"/>
        </w:rPr>
      </w:pPr>
      <w:r>
        <w:rPr>
          <w:rFonts w:ascii="Times New Roman;serif" w:hAnsi="Times New Roman;serif"/>
          <w:b/>
          <w:sz w:val="16"/>
        </w:rPr>
        <w:t>(UNAUDITED)</w:t>
      </w:r>
      <w:r>
        <w:rPr>
          <w:rFonts w:ascii="Times New Roman" w:hAnsi="Times New Roman"/>
          <w:sz w:val="20"/>
        </w:rPr>
        <w:t xml:space="preserve"> </w:t>
      </w:r>
    </w:p>
    <w:p>
      <w:pPr>
        <w:pStyle w:val="TextBody"/>
        <w:pBdr>
          <w:bottom w:val="single" w:sz="12" w:space="1" w:color="000000"/>
        </w:pBdr>
        <w:bidi w:val="0"/>
        <w:spacing w:before="0" w:after="0"/>
        <w:jc w:val="center"/>
        <w:rPr>
          <w:rFonts w:ascii="Times New Roman;serif" w:hAnsi="Times New Roman;serif"/>
          <w:b w:val="false"/>
          <w:sz w:val="16"/>
        </w:rPr>
      </w:pPr>
      <w:r>
        <w:rPr>
          <w:rFonts w:ascii="Times New Roman;serif" w:hAnsi="Times New Roman;serif"/>
          <w:b w:val="false"/>
          <w:sz w:val="16"/>
        </w:rPr>
        <w:t>(In thousands, except number of shares)</w:t>
      </w:r>
    </w:p>
    <w:p>
      <w:pPr>
        <w:pStyle w:val="TextBody"/>
        <w:bidi w:val="0"/>
        <w:spacing w:before="0" w:after="0"/>
        <w:jc w:val="left"/>
        <w:rPr/>
      </w:pPr>
      <w:r>
        <w:rPr/>
        <w:t>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1929"/>
        <w:gridCol w:w="146"/>
        <w:gridCol w:w="146"/>
        <w:gridCol w:w="916"/>
        <w:gridCol w:w="166"/>
        <w:gridCol w:w="146"/>
        <w:gridCol w:w="271"/>
        <w:gridCol w:w="480"/>
        <w:gridCol w:w="146"/>
        <w:gridCol w:w="146"/>
        <w:gridCol w:w="221"/>
        <w:gridCol w:w="785"/>
        <w:gridCol w:w="166"/>
        <w:gridCol w:w="146"/>
        <w:gridCol w:w="532"/>
        <w:gridCol w:w="755"/>
        <w:gridCol w:w="166"/>
        <w:gridCol w:w="146"/>
        <w:gridCol w:w="233"/>
        <w:gridCol w:w="893"/>
        <w:gridCol w:w="166"/>
        <w:gridCol w:w="146"/>
        <w:gridCol w:w="251"/>
        <w:gridCol w:w="892"/>
        <w:gridCol w:w="215"/>
      </w:tblGrid>
      <w:tr>
        <w:trPr/>
        <w:tc>
          <w:tcPr>
            <w:tcW w:w="1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92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15"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3" w:type="dxa"/>
            <w:gridSpan w:val="2"/>
            <w:tcBorders/>
            <w:vAlign w:val="center"/>
          </w:tcPr>
          <w:p>
            <w:pPr>
              <w:pStyle w:val="TableContents"/>
              <w:bidi w:val="0"/>
              <w:spacing w:before="0" w:after="0"/>
              <w:ind w:left="0" w:right="0" w:hanging="0"/>
              <w:jc w:val="center"/>
              <w:rPr/>
            </w:pPr>
            <w:r>
              <w:rPr/>
              <w:t> </w:t>
            </w:r>
          </w:p>
        </w:tc>
        <w:tc>
          <w:tcPr>
            <w:tcW w:w="215" w:type="dxa"/>
            <w:tcBorders/>
            <w:vAlign w:val="center"/>
          </w:tcPr>
          <w:p>
            <w:pPr>
              <w:pStyle w:val="TableContents"/>
              <w:bidi w:val="0"/>
              <w:spacing w:before="0" w:after="0"/>
              <w:ind w:left="0" w:right="0" w:hanging="0"/>
              <w:jc w:val="center"/>
              <w:rPr/>
            </w:pPr>
            <w:r>
              <w:rPr/>
              <w:t> </w:t>
            </w:r>
          </w:p>
        </w:tc>
      </w:tr>
      <w:tr>
        <w:trPr/>
        <w:tc>
          <w:tcPr>
            <w:tcW w:w="192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 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 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3"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 stockholders'</w:t>
            </w:r>
          </w:p>
        </w:tc>
        <w:tc>
          <w:tcPr>
            <w:tcW w:w="215" w:type="dxa"/>
            <w:tcBorders/>
            <w:vAlign w:val="center"/>
          </w:tcPr>
          <w:p>
            <w:pPr>
              <w:pStyle w:val="TableContents"/>
              <w:bidi w:val="0"/>
              <w:spacing w:before="0" w:after="0"/>
              <w:ind w:left="0" w:right="0" w:hanging="0"/>
              <w:jc w:val="center"/>
              <w:rPr/>
            </w:pPr>
            <w:r>
              <w:rPr/>
              <w:t> </w:t>
            </w:r>
          </w:p>
        </w:tc>
      </w:tr>
      <w:tr>
        <w:trPr/>
        <w:tc>
          <w:tcPr>
            <w:tcW w:w="192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comprehensive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28,268,389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636,001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(546,032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89,902</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for the exercise of stock options</w:t>
              <w:br/>
              <w:t> and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243,598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761</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redeemed for employee tax withholdings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(24,631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(337</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3,295</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Issuance of common stock for public offering, net of underwriting discounts, commissions and offering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53,595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53,600</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Issuance of common stock for at-the-market offerings, </w:t>
              <w:br/>
              <w:t>net of issuance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879,341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10,914</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gain on short-term investments </w:t>
              <w:br/>
              <w:t> and cash equivalents,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(13,212</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33,966,697</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14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5"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704,228</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5"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(559,244</w:t>
            </w:r>
          </w:p>
        </w:tc>
        <w:tc>
          <w:tcPr>
            <w:tcW w:w="166"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1"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2"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145,009</w:t>
            </w:r>
          </w:p>
        </w:tc>
        <w:tc>
          <w:tcPr>
            <w:tcW w:w="215" w:type="dxa"/>
            <w:tcBorders>
              <w:top w:val="single" w:sz="4" w:space="0" w:color="000000"/>
            </w:tcBorders>
            <w:tcMar>
              <w:left w:w="0" w:type="dxa"/>
              <w:bottom w:w="0" w:type="dxa"/>
              <w:right w:w="0" w:type="dxa"/>
            </w:tcMar>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for the exercise of stock options</w:t>
              <w:br/>
              <w:t> and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316,092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2,599</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3,955</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for the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50,504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536</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Issuance of common stock for at-the-market offerings, </w:t>
              <w:br/>
              <w:t>net of issuance costs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834,748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18,957</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loss on short-term investments </w:t>
              <w:br/>
              <w:t> and cash equivalents,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8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215" w:type="dxa"/>
            <w:tcBorders/>
            <w:vAlign w:val="center"/>
          </w:tcPr>
          <w:p>
            <w:pPr>
              <w:pStyle w:val="TableContents"/>
              <w:bidi w:val="0"/>
              <w:spacing w:before="0" w:after="0"/>
              <w:ind w:left="0" w:right="0" w:hanging="0"/>
              <w:jc w:val="left"/>
              <w:rPr/>
            </w:pPr>
            <w:r>
              <w:rPr/>
              <w:t> </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(13,804</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2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35,168,041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730,274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(573,048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157,188</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condensed consolidated financial statements</w:t>
      </w:r>
    </w:p>
    <w:p>
      <w:pPr>
        <w:pStyle w:val="TextBody"/>
        <w:bidi w:val="0"/>
        <w:spacing w:before="0" w:after="0"/>
        <w:jc w:val="center"/>
        <w:rPr/>
      </w:pPr>
      <w:r>
        <w:rPr/>
        <w:t> </w:t>
      </w:r>
    </w:p>
    <w:p>
      <w:pPr>
        <w:pStyle w:val="TextBody"/>
        <w:bidi w:val="0"/>
        <w:spacing w:before="0" w:after="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16"/>
        </w:rPr>
        <w:t>RxSIGHT,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caps/>
          <w:sz w:val="16"/>
        </w:rPr>
        <w:t>CONDENSED CONSOLIDATED STATEMENTS OF STOCKHOLDERS’ EQUITY</w:t>
      </w:r>
      <w:r>
        <w:rPr>
          <w:rFonts w:ascii="Times New Roman" w:hAnsi="Times New Roman"/>
          <w:caps/>
          <w:sz w:val="20"/>
        </w:rPr>
        <w:t xml:space="preserve"> </w:t>
      </w:r>
    </w:p>
    <w:p>
      <w:pPr>
        <w:pStyle w:val="TextBody"/>
        <w:bidi w:val="0"/>
        <w:spacing w:before="0" w:after="0"/>
        <w:jc w:val="center"/>
        <w:rPr>
          <w:rFonts w:ascii="Times New Roman;serif" w:hAnsi="Times New Roman;serif"/>
          <w:b/>
          <w:caps/>
          <w:sz w:val="16"/>
        </w:rPr>
      </w:pPr>
      <w:r>
        <w:rPr>
          <w:rFonts w:ascii="Times New Roman;serif" w:hAnsi="Times New Roman;serif"/>
          <w:b/>
          <w:caps/>
          <w:sz w:val="16"/>
        </w:rPr>
        <w:t>(UNAUDITED)</w:t>
      </w:r>
    </w:p>
    <w:p>
      <w:pPr>
        <w:pStyle w:val="TextBody"/>
        <w:pBdr>
          <w:bottom w:val="single" w:sz="12" w:space="1" w:color="000000"/>
        </w:pBdr>
        <w:bidi w:val="0"/>
        <w:spacing w:before="0" w:after="0"/>
        <w:jc w:val="center"/>
        <w:rPr>
          <w:rFonts w:ascii="Times New Roman;serif" w:hAnsi="Times New Roman;serif"/>
          <w:b w:val="false"/>
          <w:sz w:val="16"/>
        </w:rPr>
      </w:pPr>
      <w:r>
        <w:rPr>
          <w:rFonts w:ascii="Times New Roman;serif" w:hAnsi="Times New Roman;serif"/>
          <w:b w:val="false"/>
          <w:sz w:val="16"/>
        </w:rPr>
        <w:t>(In thousands, except number of shares)</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46"/>
        <w:gridCol w:w="146"/>
        <w:gridCol w:w="146"/>
        <w:gridCol w:w="916"/>
        <w:gridCol w:w="166"/>
        <w:gridCol w:w="146"/>
        <w:gridCol w:w="271"/>
        <w:gridCol w:w="480"/>
        <w:gridCol w:w="146"/>
        <w:gridCol w:w="146"/>
        <w:gridCol w:w="238"/>
        <w:gridCol w:w="845"/>
        <w:gridCol w:w="166"/>
        <w:gridCol w:w="146"/>
        <w:gridCol w:w="473"/>
        <w:gridCol w:w="856"/>
        <w:gridCol w:w="166"/>
        <w:gridCol w:w="146"/>
        <w:gridCol w:w="233"/>
        <w:gridCol w:w="893"/>
        <w:gridCol w:w="166"/>
        <w:gridCol w:w="146"/>
        <w:gridCol w:w="265"/>
        <w:gridCol w:w="941"/>
        <w:gridCol w:w="216"/>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7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097"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2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gridSpan w:val="2"/>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 </w:t>
            </w:r>
          </w:p>
        </w:tc>
      </w:tr>
      <w:tr>
        <w:trPr/>
        <w:tc>
          <w:tcPr>
            <w:tcW w:w="17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29"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gridSpan w:val="2"/>
            <w:tcBorders/>
            <w:vAlign w:val="center"/>
          </w:tcPr>
          <w:p>
            <w:pPr>
              <w:pStyle w:val="TableContents"/>
              <w:bidi w:val="0"/>
              <w:spacing w:before="0" w:after="0"/>
              <w:ind w:left="0" w:right="0" w:hanging="0"/>
              <w:jc w:val="center"/>
              <w:rPr/>
            </w:pPr>
            <w:r>
              <w:rPr/>
              <w:t> </w:t>
            </w:r>
          </w:p>
        </w:tc>
        <w:tc>
          <w:tcPr>
            <w:tcW w:w="216" w:type="dxa"/>
            <w:tcBorders/>
            <w:vAlign w:val="center"/>
          </w:tcPr>
          <w:p>
            <w:pPr>
              <w:pStyle w:val="TableContents"/>
              <w:bidi w:val="0"/>
              <w:spacing w:before="0" w:after="0"/>
              <w:ind w:left="0" w:right="0" w:hanging="0"/>
              <w:jc w:val="center"/>
              <w:rPr/>
            </w:pPr>
            <w:r>
              <w:rPr/>
              <w:t> </w:t>
            </w:r>
          </w:p>
        </w:tc>
      </w:tr>
      <w:tr>
        <w:trPr/>
        <w:tc>
          <w:tcPr>
            <w:tcW w:w="17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2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Additional paid-in</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29"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 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gridSpan w:val="2"/>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Total stockholders'</w:t>
            </w:r>
          </w:p>
        </w:tc>
        <w:tc>
          <w:tcPr>
            <w:tcW w:w="216" w:type="dxa"/>
            <w:tcBorders/>
            <w:vAlign w:val="center"/>
          </w:tcPr>
          <w:p>
            <w:pPr>
              <w:pStyle w:val="TableContents"/>
              <w:bidi w:val="0"/>
              <w:spacing w:before="0" w:after="0"/>
              <w:ind w:left="0" w:right="0" w:hanging="0"/>
              <w:jc w:val="center"/>
              <w:rPr/>
            </w:pPr>
            <w:r>
              <w:rPr/>
              <w:t> </w:t>
            </w:r>
          </w:p>
        </w:tc>
      </w:tr>
      <w:tr>
        <w:trPr/>
        <w:tc>
          <w:tcPr>
            <w:tcW w:w="17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capital</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2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comprehensive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0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equity</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27,366,746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617,511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(479,276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138,242</w:t>
            </w:r>
          </w:p>
        </w:tc>
        <w:tc>
          <w:tcPr>
            <w:tcW w:w="216" w:type="dxa"/>
            <w:tcBorders/>
            <w:vAlign w:val="center"/>
          </w:tcPr>
          <w:p>
            <w:pPr>
              <w:pStyle w:val="TableContents"/>
              <w:bidi w:val="0"/>
              <w:spacing w:before="0" w:after="0"/>
              <w:ind w:left="0" w:right="0" w:hanging="0"/>
              <w:jc w:val="left"/>
              <w:rPr/>
            </w:pPr>
            <w:r>
              <w:rPr/>
              <w:t> </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for the exercise of stock options</w:t>
              <w:br/>
              <w:t> and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145,922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308</w:t>
            </w:r>
          </w:p>
        </w:tc>
        <w:tc>
          <w:tcPr>
            <w:tcW w:w="216" w:type="dxa"/>
            <w:tcBorders/>
            <w:vAlign w:val="center"/>
          </w:tcPr>
          <w:p>
            <w:pPr>
              <w:pStyle w:val="TableContents"/>
              <w:bidi w:val="0"/>
              <w:spacing w:before="0" w:after="0"/>
              <w:ind w:left="0" w:right="0" w:hanging="0"/>
              <w:jc w:val="left"/>
              <w:rPr/>
            </w:pPr>
            <w:r>
              <w:rPr/>
              <w:t> </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redeemed for employee tax withholdings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(26,983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(362</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2,649</w:t>
            </w:r>
          </w:p>
        </w:tc>
        <w:tc>
          <w:tcPr>
            <w:tcW w:w="216" w:type="dxa"/>
            <w:tcBorders/>
            <w:vAlign w:val="center"/>
          </w:tcPr>
          <w:p>
            <w:pPr>
              <w:pStyle w:val="TableContents"/>
              <w:bidi w:val="0"/>
              <w:spacing w:before="0" w:after="0"/>
              <w:ind w:left="0" w:right="0" w:hanging="0"/>
              <w:jc w:val="left"/>
              <w:rPr/>
            </w:pPr>
            <w:r>
              <w:rPr/>
              <w:t> </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loss on short-term investments </w:t>
              <w:br/>
              <w:t> and cash equivalents,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(17,596</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91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27,485,685</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5"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620,106</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(496,872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123,163</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for the exercise of stock options</w:t>
              <w:br/>
              <w:t> and vesting of restricted stock units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99,743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277</w:t>
            </w:r>
          </w:p>
        </w:tc>
        <w:tc>
          <w:tcPr>
            <w:tcW w:w="216" w:type="dxa"/>
            <w:tcBorders/>
            <w:vAlign w:val="center"/>
          </w:tcPr>
          <w:p>
            <w:pPr>
              <w:pStyle w:val="TableContents"/>
              <w:bidi w:val="0"/>
              <w:spacing w:before="0" w:after="0"/>
              <w:ind w:left="0" w:right="0" w:hanging="0"/>
              <w:jc w:val="left"/>
              <w:rPr/>
            </w:pPr>
            <w:r>
              <w:rPr/>
              <w:t> </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2,904</w:t>
            </w:r>
          </w:p>
        </w:tc>
        <w:tc>
          <w:tcPr>
            <w:tcW w:w="216" w:type="dxa"/>
            <w:tcBorders/>
            <w:vAlign w:val="center"/>
          </w:tcPr>
          <w:p>
            <w:pPr>
              <w:pStyle w:val="TableContents"/>
              <w:bidi w:val="0"/>
              <w:spacing w:before="0" w:after="0"/>
              <w:ind w:left="0" w:right="0" w:hanging="0"/>
              <w:jc w:val="left"/>
              <w:rPr/>
            </w:pPr>
            <w:r>
              <w:rPr/>
              <w:t> </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issued for the employee stock purchase plan</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459</w:t>
            </w:r>
          </w:p>
        </w:tc>
        <w:tc>
          <w:tcPr>
            <w:tcW w:w="216" w:type="dxa"/>
            <w:tcBorders/>
            <w:vAlign w:val="center"/>
          </w:tcPr>
          <w:p>
            <w:pPr>
              <w:pStyle w:val="TableContents"/>
              <w:bidi w:val="0"/>
              <w:spacing w:before="0" w:after="0"/>
              <w:ind w:left="0" w:right="0" w:hanging="0"/>
              <w:jc w:val="left"/>
              <w:rPr/>
            </w:pPr>
            <w:r>
              <w:rPr/>
              <w:t> </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Unrealized loss on short-term investments </w:t>
              <w:br/>
              <w:t> and cash equivalents, net of tax</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Foreign currency translation adjustment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48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2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(16,732</w:t>
            </w:r>
          </w:p>
        </w:tc>
        <w:tc>
          <w:tcPr>
            <w:tcW w:w="2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7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Balance at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27,631,479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623,746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(513,604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109,986</w:t>
            </w:r>
          </w:p>
        </w:tc>
        <w:tc>
          <w:tcPr>
            <w:tcW w:w="2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condensed consolidated financial statements</w:t>
      </w:r>
    </w:p>
    <w:p>
      <w:pPr>
        <w:pStyle w:val="TextBody"/>
        <w:bidi w:val="0"/>
        <w:spacing w:before="0" w:after="0"/>
        <w:jc w:val="left"/>
        <w:rPr/>
      </w:pPr>
      <w:r>
        <w:rPr/>
        <w:t> </w:t>
      </w:r>
    </w:p>
    <w:tbl>
      <w:tblPr>
        <w:tblW w:w="608" w:type="dxa"/>
        <w:jc w:val="left"/>
        <w:tblInd w:w="0" w:type="dxa"/>
        <w:tblLayout w:type="fixed"/>
        <w:tblCellMar>
          <w:top w:w="28" w:type="dxa"/>
          <w:left w:w="28" w:type="dxa"/>
          <w:bottom w:w="28" w:type="dxa"/>
          <w:right w:w="28" w:type="dxa"/>
        </w:tblCellMar>
      </w:tblPr>
      <w:tblGrid>
        <w:gridCol w:w="271"/>
        <w:gridCol w:w="146"/>
        <w:gridCol w:w="191"/>
      </w:tblGrid>
      <w:tr>
        <w:trPr/>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caps/>
          <w:sz w:val="21"/>
        </w:rPr>
      </w:pPr>
      <w:r>
        <w:rPr>
          <w:rFonts w:ascii="Times New Roman;serif" w:hAnsi="Times New Roman;serif"/>
          <w:b/>
          <w:caps/>
          <w:sz w:val="21"/>
        </w:rPr>
        <w:t>RxSIGHT, INC.</w:t>
      </w:r>
    </w:p>
    <w:p>
      <w:pPr>
        <w:pStyle w:val="TextBody"/>
        <w:bidi w:val="0"/>
        <w:spacing w:before="0" w:after="0"/>
        <w:jc w:val="center"/>
        <w:rPr>
          <w:rFonts w:ascii="Times New Roman;serif" w:hAnsi="Times New Roman;serif"/>
          <w:b/>
          <w:caps/>
          <w:sz w:val="21"/>
        </w:rPr>
      </w:pPr>
      <w:bookmarkStart w:id="7" w:name="condensed_statements_cash_flows"/>
      <w:bookmarkEnd w:id="7"/>
      <w:r>
        <w:rPr>
          <w:rFonts w:ascii="Times New Roman;serif" w:hAnsi="Times New Roman;serif"/>
          <w:b/>
          <w:caps/>
          <w:sz w:val="21"/>
        </w:rPr>
        <w:t>CONDENSED CONSOLIDATED STATEMENTS OF CASH FLOWS</w:t>
      </w:r>
    </w:p>
    <w:p>
      <w:pPr>
        <w:pStyle w:val="TextBody"/>
        <w:bidi w:val="0"/>
        <w:spacing w:before="0" w:after="0"/>
        <w:jc w:val="center"/>
        <w:rPr>
          <w:rFonts w:ascii="Times New Roman;serif" w:hAnsi="Times New Roman;serif"/>
          <w:b/>
          <w:caps/>
          <w:sz w:val="21"/>
        </w:rPr>
      </w:pPr>
      <w:r>
        <w:rPr>
          <w:rFonts w:ascii="Times New Roman;serif" w:hAnsi="Times New Roman;serif"/>
          <w:b/>
          <w:caps/>
          <w:sz w:val="21"/>
        </w:rPr>
        <w:t>(UNAUDITED)</w:t>
      </w:r>
    </w:p>
    <w:p>
      <w:pPr>
        <w:pStyle w:val="TextBody"/>
        <w:pBdr>
          <w:bottom w:val="single" w:sz="12" w:space="1" w:color="000000"/>
        </w:pBdr>
        <w:bidi w:val="0"/>
        <w:spacing w:before="0" w:after="0"/>
        <w:jc w:val="center"/>
        <w:rPr>
          <w:rFonts w:ascii="Times New Roman;serif" w:hAnsi="Times New Roman;serif"/>
          <w:b/>
          <w:sz w:val="21"/>
        </w:rPr>
      </w:pPr>
      <w:r>
        <w:rPr>
          <w:rFonts w:ascii="Times New Roman;serif" w:hAnsi="Times New Roman;serif"/>
          <w:b/>
          <w:sz w:val="21"/>
        </w:rPr>
        <w:t>(In thousands)</w:t>
      </w:r>
    </w:p>
    <w:p>
      <w:pPr>
        <w:pStyle w:val="TextBody"/>
        <w:bidi w:val="0"/>
        <w:spacing w:before="0" w:after="0"/>
        <w:jc w:val="left"/>
        <w:rPr/>
      </w:pPr>
      <w:r>
        <w:rPr/>
        <w:t> </w:t>
      </w:r>
    </w:p>
    <w:tbl>
      <w:tblPr>
        <w:tblW w:w="8591" w:type="dxa"/>
        <w:jc w:val="left"/>
        <w:tblInd w:w="0" w:type="dxa"/>
        <w:tblLayout w:type="fixed"/>
        <w:tblCellMar>
          <w:top w:w="28" w:type="dxa"/>
          <w:left w:w="28" w:type="dxa"/>
          <w:bottom w:w="28" w:type="dxa"/>
          <w:right w:w="28" w:type="dxa"/>
        </w:tblCellMar>
      </w:tblPr>
      <w:tblGrid>
        <w:gridCol w:w="5581"/>
        <w:gridCol w:w="146"/>
        <w:gridCol w:w="192"/>
        <w:gridCol w:w="685"/>
        <w:gridCol w:w="160"/>
        <w:gridCol w:w="154"/>
        <w:gridCol w:w="192"/>
        <w:gridCol w:w="685"/>
        <w:gridCol w:w="796"/>
      </w:tblGrid>
      <w:tr>
        <w:trPr/>
        <w:tc>
          <w:tcPr>
            <w:tcW w:w="5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55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796" w:type="dxa"/>
            <w:tcBorders/>
            <w:vAlign w:val="center"/>
          </w:tcPr>
          <w:p>
            <w:pPr>
              <w:pStyle w:val="TableContents"/>
              <w:bidi w:val="0"/>
              <w:spacing w:before="0" w:after="0"/>
              <w:ind w:left="0" w:right="0" w:hanging="0"/>
              <w:jc w:val="center"/>
              <w:rPr/>
            </w:pPr>
            <w:r>
              <w:rPr/>
              <w:t> </w:t>
            </w:r>
          </w:p>
        </w:tc>
      </w:tr>
      <w:tr>
        <w:trPr/>
        <w:tc>
          <w:tcPr>
            <w:tcW w:w="558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 </w:t>
            </w:r>
          </w:p>
        </w:tc>
        <w:tc>
          <w:tcPr>
            <w:tcW w:w="8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Operating Activities:</w:t>
            </w:r>
          </w:p>
        </w:tc>
        <w:tc>
          <w:tcPr>
            <w:tcW w:w="146"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(27,016</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(34,328</w:t>
            </w:r>
          </w:p>
        </w:tc>
        <w:tc>
          <w:tcPr>
            <w:tcW w:w="79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Depreciation and amortization</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1,944</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2,025</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Amortization of right-of-use lease assets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85</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56</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Amortization of debt issuance costs and premium</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283</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265</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Loss on extinguishment of debt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362</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Amortization of discount on short-term investments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(2,953</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(231</w:t>
            </w:r>
          </w:p>
        </w:tc>
        <w:tc>
          <w:tcPr>
            <w:tcW w:w="796" w:type="dxa"/>
            <w:tcBorders/>
            <w:vAlign w:val="center"/>
          </w:tcPr>
          <w:p>
            <w:pPr>
              <w:pStyle w:val="TableContents"/>
              <w:bidi w:val="0"/>
              <w:spacing w:before="0" w:after="0"/>
              <w:ind w:left="0" w:right="0" w:firstLine="20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Stock-based compensation</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7,250</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5,553</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Provision for excess and obsolete inventory</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120</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Change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firstLine="400"/>
              <w:jc w:val="left"/>
              <w:rPr/>
            </w:pPr>
            <w:r>
              <w:rPr/>
              <w:t> </w:t>
            </w:r>
          </w:p>
        </w:tc>
      </w:tr>
      <w:tr>
        <w:trPr/>
        <w:tc>
          <w:tcPr>
            <w:tcW w:w="558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Accounts receivable</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(2,338</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(2,022</w:t>
            </w:r>
          </w:p>
        </w:tc>
        <w:tc>
          <w:tcPr>
            <w:tcW w:w="796" w:type="dxa"/>
            <w:tcBorders/>
            <w:vAlign w:val="center"/>
          </w:tcPr>
          <w:p>
            <w:pPr>
              <w:pStyle w:val="TableContents"/>
              <w:bidi w:val="0"/>
              <w:spacing w:before="0" w:after="0"/>
              <w:ind w:left="0" w:right="0" w:firstLine="40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Inventories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(3,124</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(3,710</w:t>
            </w:r>
          </w:p>
        </w:tc>
        <w:tc>
          <w:tcPr>
            <w:tcW w:w="796" w:type="dxa"/>
            <w:tcBorders/>
            <w:vAlign w:val="center"/>
          </w:tcPr>
          <w:p>
            <w:pPr>
              <w:pStyle w:val="TableContents"/>
              <w:bidi w:val="0"/>
              <w:spacing w:before="0" w:after="0"/>
              <w:ind w:left="0" w:right="0" w:firstLine="40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Prepaid and other assets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868</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1,099</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Accounts payable</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1,324</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1,348</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Accrued expenses and other liabilities</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(2,009</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17</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58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(25,310</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(29,808</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Investing Activities:</w:t>
            </w:r>
          </w:p>
        </w:tc>
        <w:tc>
          <w:tcPr>
            <w:tcW w:w="146"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Purchase of property and equipment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(2,570</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(1,451</w:t>
            </w:r>
          </w:p>
        </w:tc>
        <w:tc>
          <w:tcPr>
            <w:tcW w:w="79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Maturity of short-term investments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115,000</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135,000</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Purchases of short-term investments</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(156,400</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(104,564</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Net cash (used in) provided by investing activities</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(43,970</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28,985</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Financing Activities:</w:t>
            </w:r>
          </w:p>
        </w:tc>
        <w:tc>
          <w:tcPr>
            <w:tcW w:w="146"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Proceeds from term loan</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20,000</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Repayment of term loan</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(40,000</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Proceeds from issuance of common stock from public offering</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54,050</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Proceeds from issuance of common stock for at-the-market offerings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30,496</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Proceeds from issuance of common stock</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3,896</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1,044</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Payments for employee taxes related to stock compensation</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(337</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(362</w:t>
            </w:r>
          </w:p>
        </w:tc>
        <w:tc>
          <w:tcPr>
            <w:tcW w:w="79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Principal payments on finance lease liabilities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(82</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(60</w:t>
            </w:r>
          </w:p>
        </w:tc>
        <w:tc>
          <w:tcPr>
            <w:tcW w:w="79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Payments of deferred offering costs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(602</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Payments of debt issuance costs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(1,225</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(142</w:t>
            </w:r>
          </w:p>
        </w:tc>
        <w:tc>
          <w:tcPr>
            <w:tcW w:w="796" w:type="dxa"/>
            <w:tcBorders/>
            <w:vAlign w:val="center"/>
          </w:tcPr>
          <w:p>
            <w:pPr>
              <w:pStyle w:val="TableContents"/>
              <w:bidi w:val="0"/>
              <w:spacing w:before="0" w:after="0"/>
              <w:ind w:left="0" w:right="0" w:firstLine="60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600" w:right="0" w:hanging="0"/>
              <w:jc w:val="left"/>
              <w:rPr>
                <w:rFonts w:ascii="Times New Roman;serif" w:hAnsi="Times New Roman;serif"/>
                <w:b w:val="false"/>
                <w:sz w:val="15"/>
              </w:rPr>
            </w:pPr>
            <w:r>
              <w:rPr>
                <w:rFonts w:ascii="Times New Roman;serif" w:hAnsi="Times New Roman;serif"/>
                <w:b w:val="false"/>
                <w:sz w:val="15"/>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19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8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66,196</w:t>
            </w:r>
          </w:p>
        </w:tc>
        <w:tc>
          <w:tcPr>
            <w:tcW w:w="16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8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480</w:t>
            </w:r>
          </w:p>
        </w:tc>
        <w:tc>
          <w:tcPr>
            <w:tcW w:w="79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Effect of foreign exchange rate on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(14</w:t>
            </w:r>
          </w:p>
        </w:tc>
        <w:tc>
          <w:tcPr>
            <w:tcW w:w="79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Net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(3,081</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(357</w:t>
            </w:r>
          </w:p>
        </w:tc>
        <w:tc>
          <w:tcPr>
            <w:tcW w:w="796"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Cash, cash equivalents and restricted cash - beginning of period</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12,595</w:t>
            </w:r>
          </w:p>
        </w:tc>
        <w:tc>
          <w:tcPr>
            <w:tcW w:w="1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25,172</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Cash, cash equivalents and restricted cash - end of period</w:t>
            </w:r>
          </w:p>
        </w:tc>
        <w:tc>
          <w:tcPr>
            <w:tcW w:w="146" w:type="dxa"/>
            <w:tcBorders/>
            <w:vAlign w:val="center"/>
          </w:tcPr>
          <w:p>
            <w:pPr>
              <w:pStyle w:val="TableContents"/>
              <w:bidi w:val="0"/>
              <w:spacing w:before="0" w:after="0"/>
              <w:ind w:left="0" w:right="0" w:hanging="0"/>
              <w:jc w:val="left"/>
              <w:rPr/>
            </w:pPr>
            <w:r>
              <w:rPr/>
              <w:t> </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9,514</w:t>
            </w:r>
          </w:p>
        </w:tc>
        <w:tc>
          <w:tcPr>
            <w:tcW w:w="1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24,815</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Operating cash flows from operating leases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1,107</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1,023</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Cash paid for income taxes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12</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Cash paid for interest on financing leases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7</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Cash paid for interest on term loan</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3,240</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1,904</w:t>
            </w:r>
          </w:p>
        </w:tc>
        <w:tc>
          <w:tcPr>
            <w:tcW w:w="796" w:type="dxa"/>
            <w:tcBorders/>
            <w:vAlign w:val="center"/>
          </w:tcPr>
          <w:p>
            <w:pPr>
              <w:pStyle w:val="TableContents"/>
              <w:bidi w:val="0"/>
              <w:spacing w:before="0" w:after="0"/>
              <w:ind w:left="0" w:right="0" w:hanging="0"/>
              <w:jc w:val="left"/>
              <w:rPr/>
            </w:pPr>
            <w:r>
              <w:rPr/>
              <w:t> </w:t>
            </w:r>
          </w:p>
        </w:tc>
      </w:tr>
      <w:tr>
        <w:trPr/>
        <w:tc>
          <w:tcPr>
            <w:tcW w:w="5581"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Non-cash investing and financing activities:</w:t>
            </w:r>
          </w:p>
        </w:tc>
        <w:tc>
          <w:tcPr>
            <w:tcW w:w="146"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Right-of-use assets obtained in exchange for lease obligations:</w:t>
            </w:r>
          </w:p>
        </w:tc>
        <w:tc>
          <w:tcPr>
            <w:tcW w:w="146"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firstLine="400"/>
              <w:jc w:val="left"/>
              <w:rPr/>
            </w:pPr>
            <w:r>
              <w:rPr/>
              <w:t> </w:t>
            </w:r>
          </w:p>
        </w:tc>
      </w:tr>
      <w:tr>
        <w:trPr/>
        <w:tc>
          <w:tcPr>
            <w:tcW w:w="558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Operating lease</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1,090</w:t>
            </w:r>
          </w:p>
        </w:tc>
        <w:tc>
          <w:tcPr>
            <w:tcW w:w="796" w:type="dxa"/>
            <w:tcBorders/>
            <w:vAlign w:val="center"/>
          </w:tcPr>
          <w:p>
            <w:pPr>
              <w:pStyle w:val="TableContents"/>
              <w:bidi w:val="0"/>
              <w:spacing w:before="0" w:after="0"/>
              <w:ind w:left="0" w:right="0" w:firstLine="400"/>
              <w:jc w:val="left"/>
              <w:rPr/>
            </w:pPr>
            <w:r>
              <w:rPr/>
              <w:t> </w:t>
            </w:r>
          </w:p>
        </w:tc>
      </w:tr>
      <w:tr>
        <w:trPr/>
        <w:tc>
          <w:tcPr>
            <w:tcW w:w="558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Finance lease</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288</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Lease obligations recorded for right-of-use assets:</w:t>
            </w:r>
          </w:p>
        </w:tc>
        <w:tc>
          <w:tcPr>
            <w:tcW w:w="146"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877" w:type="dxa"/>
            <w:gridSpan w:val="2"/>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firstLine="400"/>
              <w:jc w:val="left"/>
              <w:rPr/>
            </w:pPr>
            <w:r>
              <w:rPr/>
              <w:t> </w:t>
            </w:r>
          </w:p>
        </w:tc>
      </w:tr>
      <w:tr>
        <w:trPr/>
        <w:tc>
          <w:tcPr>
            <w:tcW w:w="558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Operating lease</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1,090</w:t>
            </w:r>
          </w:p>
        </w:tc>
        <w:tc>
          <w:tcPr>
            <w:tcW w:w="796" w:type="dxa"/>
            <w:tcBorders/>
            <w:vAlign w:val="center"/>
          </w:tcPr>
          <w:p>
            <w:pPr>
              <w:pStyle w:val="TableContents"/>
              <w:bidi w:val="0"/>
              <w:spacing w:before="0" w:after="0"/>
              <w:ind w:left="0" w:right="0" w:firstLine="400"/>
              <w:jc w:val="left"/>
              <w:rPr/>
            </w:pPr>
            <w:r>
              <w:rPr/>
              <w:t> </w:t>
            </w:r>
          </w:p>
        </w:tc>
      </w:tr>
      <w:tr>
        <w:trPr/>
        <w:tc>
          <w:tcPr>
            <w:tcW w:w="5581" w:type="dxa"/>
            <w:tcBorders/>
            <w:vAlign w:val="center"/>
          </w:tcPr>
          <w:p>
            <w:pPr>
              <w:pStyle w:val="TableContents"/>
              <w:bidi w:val="0"/>
              <w:spacing w:before="0" w:after="0"/>
              <w:ind w:left="400" w:right="0" w:hanging="0"/>
              <w:jc w:val="left"/>
              <w:rPr>
                <w:rFonts w:ascii="Times New Roman;serif" w:hAnsi="Times New Roman;serif"/>
                <w:b w:val="false"/>
                <w:sz w:val="15"/>
              </w:rPr>
            </w:pPr>
            <w:r>
              <w:rPr>
                <w:rFonts w:ascii="Times New Roman;serif" w:hAnsi="Times New Roman;serif"/>
                <w:b w:val="false"/>
                <w:sz w:val="15"/>
              </w:rPr>
              <w:t>Finance lease</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256</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 xml:space="preserve">Acquisition of property and equipment included in accounts payable and accrued expenses </w:t>
              <w:br/>
              <w:t>  and other current liabilities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408</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238</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Deferred offering costs included in accounts payable and accrued liabilities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187</w:t>
            </w:r>
          </w:p>
        </w:tc>
        <w:tc>
          <w:tcPr>
            <w:tcW w:w="160"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firstLine="200"/>
              <w:jc w:val="left"/>
              <w:rPr/>
            </w:pPr>
            <w:r>
              <w:rPr/>
              <w:t> </w:t>
            </w:r>
          </w:p>
        </w:tc>
      </w:tr>
      <w:tr>
        <w:trPr/>
        <w:tc>
          <w:tcPr>
            <w:tcW w:w="5581" w:type="dxa"/>
            <w:tcBorders/>
            <w:vAlign w:val="center"/>
          </w:tcPr>
          <w:p>
            <w:pPr>
              <w:pStyle w:val="TableContents"/>
              <w:bidi w:val="0"/>
              <w:spacing w:before="0" w:after="0"/>
              <w:ind w:left="200" w:right="0" w:hanging="0"/>
              <w:jc w:val="left"/>
              <w:rPr>
                <w:rFonts w:ascii="Times New Roman;serif" w:hAnsi="Times New Roman;serif"/>
                <w:b w:val="false"/>
                <w:sz w:val="15"/>
              </w:rPr>
            </w:pPr>
            <w:r>
              <w:rPr>
                <w:rFonts w:ascii="Times New Roman;serif" w:hAnsi="Times New Roman;serif"/>
                <w:b w:val="false"/>
                <w:sz w:val="15"/>
              </w:rPr>
              <w:t>Reclassification of deferred financing costs</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serif" w:hAnsi="Times New Roman;serif"/>
                <w:b w:val="false"/>
                <w:sz w:val="15"/>
              </w:rPr>
            </w:pPr>
            <w:r>
              <w:rPr>
                <w:rFonts w:ascii="Times New Roman;serif" w:hAnsi="Times New Roman;serif"/>
                <w:b w:val="false"/>
                <w:sz w:val="15"/>
              </w:rPr>
              <w:t>(1,075</w:t>
            </w:r>
          </w:p>
        </w:tc>
        <w:tc>
          <w:tcPr>
            <w:tcW w:w="160" w:type="dxa"/>
            <w:tcBorders/>
            <w:vAlign w:val="center"/>
          </w:tcPr>
          <w:p>
            <w:pPr>
              <w:pStyle w:val="TableContents"/>
              <w:bidi w:val="0"/>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54"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See accompanying notes to unaudited condensed consolidated financial statements.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RxSIGHT, INC.</w:t>
      </w:r>
    </w:p>
    <w:p>
      <w:pPr>
        <w:pStyle w:val="TextBody"/>
        <w:bidi w:val="0"/>
        <w:spacing w:before="0" w:after="0"/>
        <w:jc w:val="center"/>
        <w:rPr>
          <w:rFonts w:ascii="Times New Roman;serif" w:hAnsi="Times New Roman;serif"/>
          <w:b/>
          <w:sz w:val="20"/>
        </w:rPr>
      </w:pPr>
      <w:bookmarkStart w:id="8" w:name="notes_to_condensed_financial_statements"/>
      <w:bookmarkEnd w:id="8"/>
      <w:r>
        <w:rPr>
          <w:rFonts w:ascii="Times New Roman;serif" w:hAnsi="Times New Roman;serif"/>
          <w:b/>
          <w:sz w:val="20"/>
        </w:rPr>
        <w:t>NOTES TO UNAUDITED CONDENSED CONSOLIDATED FINANCIAL STATEMENTS</w:t>
      </w:r>
    </w:p>
    <w:p>
      <w:pPr>
        <w:pStyle w:val="TextBody"/>
        <w:bidi w:val="0"/>
        <w:spacing w:before="240" w:after="0"/>
        <w:jc w:val="left"/>
        <w:rPr>
          <w:rFonts w:ascii="Times New Roman;serif" w:hAnsi="Times New Roman;serif"/>
          <w:b/>
          <w:sz w:val="20"/>
        </w:rPr>
      </w:pPr>
      <w:r>
        <w:rPr>
          <w:rFonts w:ascii="Times New Roman;serif" w:hAnsi="Times New Roman;serif"/>
          <w:b/>
          <w:sz w:val="20"/>
        </w:rPr>
        <w:t>Note 1 - Organization and Basis of Presentation</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Description of Business</w:t>
      </w:r>
    </w:p>
    <w:p>
      <w:pPr>
        <w:pStyle w:val="TextBody"/>
        <w:bidi w:val="0"/>
        <w:spacing w:before="120" w:after="160"/>
        <w:jc w:val="left"/>
        <w:rPr>
          <w:rFonts w:ascii="Times New Roman" w:hAnsi="Times New Roman"/>
          <w:sz w:val="20"/>
        </w:rPr>
      </w:pPr>
      <w:r>
        <w:rPr>
          <w:rFonts w:ascii="Times New Roman;serif" w:hAnsi="Times New Roman;serif"/>
          <w:b w:val="false"/>
          <w:sz w:val="20"/>
        </w:rPr>
        <w:t>RxSight®, Inc. (the “Company”) is a Delaware corporation headquartered in Aliso Viejo, California with one</w:t>
      </w:r>
      <w:r>
        <w:rPr>
          <w:rFonts w:ascii="Times New Roman" w:hAnsi="Times New Roman"/>
          <w:sz w:val="20"/>
        </w:rPr>
        <w:t xml:space="preserve"> </w:t>
      </w:r>
      <w:r>
        <w:rPr>
          <w:rFonts w:ascii="Times New Roman;serif" w:hAnsi="Times New Roman;serif"/>
          <w:b w:val="false"/>
          <w:sz w:val="20"/>
        </w:rPr>
        <w:t>wholly owned subsidiary located in Amsterdam, Netherlands. The wholly owned subsidiary has a registered branch in the United Kingdom and a wholly owned subsidiary located in Germany. The Company is engaged in the research and development, manufacture and sale of light adjustable intraocular lenses used in cataract surgery along with capital equipment used with the lenses.</w:t>
      </w:r>
      <w:r>
        <w:rPr>
          <w:rFonts w:ascii="Times New Roman" w:hAnsi="Times New Roman"/>
          <w:sz w:val="20"/>
        </w:rPr>
        <w:t xml:space="preserve">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Company’s products, which include the light adjustable lens (“LAL®”) and a specially designed machine for delivering light to the eye, the Light Delivery Device (“LDD”), are approved by the United States (“U.S.”) Food and Drug Administration (“FDA”) primarily for sale in the U.S. and have regulatory approval in the U.S., Europe, Canada and Mexico. The Company began marketing its products in 2019. The LAL is a premium intraocular lens (“IOL”) which is partially reimbursable under Medicare. The Company competes with other IOLs in the premium market.</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include the accounts of RxSight, Inc. and its wholly owned subsidiaries, RxSight, B.V. and RxSight GmbH. All significant inter-company balances and transactions have been eliminated in consolidation.</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Basis of Presentation and Principles of Consolidation</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Company’s condensed consolidated financial statements have been prepared in accordance with accounting principles generally accepted in the United States of America (“GAAP”) for interim financial information and pursuant to Form 10-Q and Article 8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2022 balance sheet data was derived from audited financial statements; however, the accompanying notes to the condensed consolidated financial statements do not include all of the annual disclosures required under GAAP and should be read in conjunction with the audited consolidated financial statements included in the Company’s 2022 Annual Report on Form 10-K filed with the SEC on March 6, 2023. The operating results presented in these unaudited condensed consolidated financial statements are not necessarily indicative of the results that may be expected for any future periods.</w:t>
      </w:r>
    </w:p>
    <w:p>
      <w:pPr>
        <w:pStyle w:val="TextBody"/>
        <w:bidi w:val="0"/>
        <w:spacing w:before="120" w:after="160"/>
        <w:jc w:val="left"/>
        <w:rPr>
          <w:rFonts w:ascii="Times New Roman" w:hAnsi="Times New Roman"/>
          <w:sz w:val="20"/>
        </w:rPr>
      </w:pPr>
      <w:r>
        <w:rPr>
          <w:rFonts w:ascii="Times New Roman;serif" w:hAnsi="Times New Roman;serif"/>
          <w:b w:val="false"/>
          <w:i/>
          <w:sz w:val="20"/>
        </w:rPr>
        <w:t>Operating Segments</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 The Company determined that it operates and manages its business (including its non-U.S. subsidiaries) in one</w:t>
      </w:r>
      <w:r>
        <w:rPr>
          <w:rFonts w:ascii="Times New Roman" w:hAnsi="Times New Roman"/>
          <w:sz w:val="20"/>
        </w:rPr>
        <w:t xml:space="preserve"> </w:t>
      </w:r>
      <w:r>
        <w:rPr>
          <w:rFonts w:ascii="Times New Roman;serif" w:hAnsi="Times New Roman;serif"/>
          <w:b w:val="false"/>
          <w:sz w:val="20"/>
        </w:rPr>
        <w:t>reportable segment: the research and development, manufacture and sale of light adjustable lenses and related capital equipment.</w:t>
      </w:r>
      <w:r>
        <w:rPr>
          <w:rFonts w:ascii="Times New Roman" w:hAnsi="Times New Roman"/>
          <w:sz w:val="20"/>
        </w:rPr>
        <w:t xml:space="preserve"> </w:t>
      </w:r>
    </w:p>
    <w:p>
      <w:pPr>
        <w:pStyle w:val="TextBody"/>
        <w:bidi w:val="0"/>
        <w:spacing w:before="120" w:after="160"/>
        <w:jc w:val="left"/>
        <w:rPr>
          <w:rFonts w:ascii="Times New Roman;serif" w:hAnsi="Times New Roman;serif"/>
          <w:b w:val="false"/>
          <w:i/>
          <w:sz w:val="20"/>
        </w:rPr>
      </w:pPr>
      <w:r>
        <w:rPr>
          <w:rFonts w:ascii="Times New Roman;serif" w:hAnsi="Times New Roman;serif"/>
          <w:b w:val="false"/>
          <w:i/>
          <w:sz w:val="20"/>
        </w:rPr>
        <w:t>Liquidity</w:t>
      </w:r>
    </w:p>
    <w:p>
      <w:pPr>
        <w:pStyle w:val="TextBody"/>
        <w:bidi w:val="0"/>
        <w:spacing w:before="0" w:after="0"/>
        <w:jc w:val="left"/>
        <w:rPr>
          <w:rFonts w:ascii="Times New Roman" w:hAnsi="Times New Roman"/>
          <w:sz w:val="20"/>
        </w:rPr>
      </w:pPr>
      <w:r>
        <w:rPr>
          <w:rFonts w:ascii="Times New Roman;serif" w:hAnsi="Times New Roman;serif"/>
          <w:b w:val="false"/>
          <w:i/>
          <w:sz w:val="20"/>
        </w:rPr>
        <w:t>Shelf Registration Statement</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On August 8, 2022, the Company filed a $200.0</w:t>
      </w:r>
      <w:r>
        <w:rPr>
          <w:rFonts w:ascii="Times New Roman" w:hAnsi="Times New Roman"/>
          <w:sz w:val="20"/>
        </w:rPr>
        <w:t xml:space="preserve"> </w:t>
      </w:r>
      <w:r>
        <w:rPr>
          <w:rFonts w:ascii="Times New Roman;serif" w:hAnsi="Times New Roman;serif"/>
          <w:b w:val="false"/>
          <w:sz w:val="20"/>
        </w:rPr>
        <w:t>million shelf registration statement on Form S-3 (“shelf registration statement”) which became effective on August 12, 2022. The shelf registration statement is effective for three years and permits the Company to sell, from time to time, up to $200.0</w:t>
      </w:r>
      <w:r>
        <w:rPr>
          <w:rFonts w:ascii="Times New Roman" w:hAnsi="Times New Roman"/>
          <w:sz w:val="20"/>
        </w:rPr>
        <w:t xml:space="preserve"> </w:t>
      </w:r>
      <w:r>
        <w:rPr>
          <w:rFonts w:ascii="Times New Roman;serif" w:hAnsi="Times New Roman;serif"/>
          <w:b w:val="false"/>
          <w:sz w:val="20"/>
        </w:rPr>
        <w:t>million in aggregate value of common stock, preferred stock, debt securities, warrants, and/or units. The shelf registration statement is intended to provide the Company with flexibility to access additional capital. At the time of filing the shelf registration statement, the</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11</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 w:hAnsi="Times New Roman"/>
          <w:sz w:val="20"/>
        </w:rPr>
      </w:pPr>
      <w:r>
        <w:rPr>
          <w:rFonts w:ascii="Times New Roman;serif" w:hAnsi="Times New Roman;serif"/>
          <w:b w:val="false"/>
          <w:sz w:val="20"/>
        </w:rPr>
        <w:t>Company also filed a prospectus supplement to sell up to an aggregate value of $50.0</w:t>
      </w:r>
      <w:r>
        <w:rPr>
          <w:rFonts w:ascii="Times New Roman" w:hAnsi="Times New Roman"/>
          <w:sz w:val="20"/>
        </w:rPr>
        <w:t xml:space="preserve"> </w:t>
      </w:r>
      <w:r>
        <w:rPr>
          <w:rFonts w:ascii="Times New Roman;serif" w:hAnsi="Times New Roman;serif"/>
          <w:b w:val="false"/>
          <w:sz w:val="20"/>
        </w:rPr>
        <w:t>million dollars of common stock through an “at-the-market” (“ATM”) offering.</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ATM Offering</w:t>
      </w:r>
    </w:p>
    <w:p>
      <w:pPr>
        <w:pStyle w:val="TextBody"/>
        <w:bidi w:val="0"/>
        <w:spacing w:before="120" w:after="160"/>
        <w:jc w:val="left"/>
        <w:rPr>
          <w:rFonts w:ascii="Times New Roman" w:hAnsi="Times New Roman"/>
          <w:sz w:val="20"/>
        </w:rPr>
      </w:pPr>
      <w:r>
        <w:rPr>
          <w:rFonts w:ascii="Times New Roman;serif" w:hAnsi="Times New Roman;serif"/>
          <w:b w:val="false"/>
          <w:sz w:val="20"/>
        </w:rPr>
        <w:t>As of June 30, 2023, through the ATM offering, a total of 2,189,964</w:t>
      </w:r>
      <w:r>
        <w:rPr>
          <w:rFonts w:ascii="Times New Roman" w:hAnsi="Times New Roman"/>
          <w:sz w:val="20"/>
        </w:rPr>
        <w:t xml:space="preserve"> </w:t>
      </w:r>
      <w:r>
        <w:rPr>
          <w:rFonts w:ascii="Times New Roman;serif" w:hAnsi="Times New Roman;serif"/>
          <w:b w:val="false"/>
          <w:sz w:val="20"/>
        </w:rPr>
        <w:t>shares of the Company's common stock, for total net proceeds of $35.8</w:t>
      </w:r>
      <w:r>
        <w:rPr>
          <w:rFonts w:ascii="Times New Roman" w:hAnsi="Times New Roman"/>
          <w:sz w:val="20"/>
        </w:rPr>
        <w:t xml:space="preserve"> </w:t>
      </w:r>
      <w:r>
        <w:rPr>
          <w:rFonts w:ascii="Times New Roman;serif" w:hAnsi="Times New Roman;serif"/>
          <w:b w:val="false"/>
          <w:sz w:val="20"/>
        </w:rPr>
        <w:t>million, have been issued and sold, of which 1,714,089</w:t>
      </w:r>
      <w:r>
        <w:rPr>
          <w:rFonts w:ascii="Times New Roman" w:hAnsi="Times New Roman"/>
          <w:sz w:val="20"/>
        </w:rPr>
        <w:t xml:space="preserve"> </w:t>
      </w:r>
      <w:r>
        <w:rPr>
          <w:rFonts w:ascii="Times New Roman;serif" w:hAnsi="Times New Roman;serif"/>
          <w:b w:val="false"/>
          <w:sz w:val="20"/>
        </w:rPr>
        <w:t>shares of the Company's common stock, for net proceeds of $29.9</w:t>
      </w:r>
      <w:r>
        <w:rPr>
          <w:rFonts w:ascii="Times New Roman" w:hAnsi="Times New Roman"/>
          <w:sz w:val="20"/>
        </w:rPr>
        <w:t xml:space="preserve"> </w:t>
      </w:r>
      <w:r>
        <w:rPr>
          <w:rFonts w:ascii="Times New Roman;serif" w:hAnsi="Times New Roman;serif"/>
          <w:b w:val="false"/>
          <w:sz w:val="20"/>
        </w:rPr>
        <w:t>million, were sold during the six months ended June 30, 2023.</w:t>
      </w:r>
      <w:r>
        <w:rPr>
          <w:rFonts w:ascii="Times New Roman" w:hAnsi="Times New Roman"/>
          <w:sz w:val="20"/>
        </w:rPr>
        <w:t xml:space="preserve">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Public Offering</w:t>
      </w:r>
    </w:p>
    <w:p>
      <w:pPr>
        <w:pStyle w:val="TextBody"/>
        <w:bidi w:val="0"/>
        <w:spacing w:before="120" w:after="160"/>
        <w:jc w:val="left"/>
        <w:rPr>
          <w:rFonts w:ascii="Times New Roman" w:hAnsi="Times New Roman"/>
          <w:sz w:val="20"/>
        </w:rPr>
      </w:pPr>
      <w:r>
        <w:rPr>
          <w:rFonts w:ascii="Times New Roman;serif" w:hAnsi="Times New Roman;serif"/>
          <w:b w:val="false"/>
          <w:sz w:val="20"/>
        </w:rPr>
        <w:t>On February 7, 2023, the Company entered into an underwriting agreement with BofA Securities, Inc., in which the Company agreed to issue and sell 4,000,000</w:t>
      </w:r>
      <w:r>
        <w:rPr>
          <w:rFonts w:ascii="Times New Roman" w:hAnsi="Times New Roman"/>
          <w:sz w:val="20"/>
        </w:rPr>
        <w:t xml:space="preserve"> </w:t>
      </w:r>
      <w:r>
        <w:rPr>
          <w:rFonts w:ascii="Times New Roman;serif" w:hAnsi="Times New Roman;serif"/>
          <w:b w:val="false"/>
          <w:sz w:val="20"/>
        </w:rPr>
        <w:t>shares of the Company's common stock in a public offering (“Public Offering”), pursuant to the shelf registration statement. The shares of common stock were sold at a price to the public of $12.50</w:t>
      </w:r>
      <w:r>
        <w:rPr>
          <w:rFonts w:ascii="Times New Roman" w:hAnsi="Times New Roman"/>
          <w:sz w:val="20"/>
        </w:rPr>
        <w:t xml:space="preserve"> </w:t>
      </w:r>
      <w:r>
        <w:rPr>
          <w:rFonts w:ascii="Times New Roman;serif" w:hAnsi="Times New Roman;serif"/>
          <w:b w:val="false"/>
          <w:sz w:val="20"/>
        </w:rPr>
        <w:t>per share. Under the terms of the underwriting agreement, the Company also granted the underwriters an option exercisable for 30 days from the date of the underwriting agreement to purchase up to an additional 600,000</w:t>
      </w:r>
      <w:r>
        <w:rPr>
          <w:rFonts w:ascii="Times New Roman" w:hAnsi="Times New Roman"/>
          <w:sz w:val="20"/>
        </w:rPr>
        <w:t xml:space="preserve"> </w:t>
      </w:r>
      <w:r>
        <w:rPr>
          <w:rFonts w:ascii="Times New Roman;serif" w:hAnsi="Times New Roman;serif"/>
          <w:b w:val="false"/>
          <w:sz w:val="20"/>
        </w:rPr>
        <w:t>shares of common stock on the same terms and conditions. The underwriters' option was exercised in full on February 10, 2023 and closed on February 14, 2023. The Company received net proceeds of approximately $53.6</w:t>
      </w:r>
      <w:r>
        <w:rPr>
          <w:rFonts w:ascii="Times New Roman" w:hAnsi="Times New Roman"/>
          <w:sz w:val="20"/>
        </w:rPr>
        <w:t xml:space="preserve"> </w:t>
      </w:r>
      <w:r>
        <w:rPr>
          <w:rFonts w:ascii="Times New Roman;serif" w:hAnsi="Times New Roman;serif"/>
          <w:b w:val="false"/>
          <w:sz w:val="20"/>
        </w:rPr>
        <w:t>million from the Public Offering, after deducting underwriters' discounts and commissions of $3.5</w:t>
      </w:r>
      <w:r>
        <w:rPr>
          <w:rFonts w:ascii="Times New Roman" w:hAnsi="Times New Roman"/>
          <w:sz w:val="20"/>
        </w:rPr>
        <w:t xml:space="preserve"> </w:t>
      </w:r>
      <w:r>
        <w:rPr>
          <w:rFonts w:ascii="Times New Roman;serif" w:hAnsi="Times New Roman;serif"/>
          <w:b w:val="false"/>
          <w:sz w:val="20"/>
        </w:rPr>
        <w:t>million and offering expenses of $0.5</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160"/>
        <w:jc w:val="left"/>
        <w:rPr>
          <w:rFonts w:ascii="Times New Roman" w:hAnsi="Times New Roman"/>
          <w:sz w:val="20"/>
        </w:rPr>
      </w:pPr>
      <w:r>
        <w:rPr>
          <w:rFonts w:ascii="Times New Roman;serif" w:hAnsi="Times New Roman;serif"/>
          <w:b w:val="false"/>
          <w:sz w:val="20"/>
        </w:rPr>
        <w:t>As of June 30, 2023 and December 31, 2022 the Company had cash, cash equivalents and short-term investments of $147.1</w:t>
      </w:r>
      <w:r>
        <w:rPr>
          <w:rFonts w:ascii="Times New Roman" w:hAnsi="Times New Roman"/>
          <w:sz w:val="20"/>
        </w:rPr>
        <w:t xml:space="preserve"> </w:t>
      </w:r>
      <w:r>
        <w:rPr>
          <w:rFonts w:ascii="Times New Roman;serif" w:hAnsi="Times New Roman;serif"/>
          <w:b w:val="false"/>
          <w:sz w:val="20"/>
        </w:rPr>
        <w:t>million and $105.8</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June 30, 2023 and 2022, the Company incurred losses from operations of $13.6</w:t>
      </w:r>
      <w:r>
        <w:rPr>
          <w:rFonts w:ascii="Times New Roman" w:hAnsi="Times New Roman"/>
          <w:sz w:val="20"/>
        </w:rPr>
        <w:t xml:space="preserve"> </w:t>
      </w:r>
      <w:r>
        <w:rPr>
          <w:rFonts w:ascii="Times New Roman;serif" w:hAnsi="Times New Roman;serif"/>
          <w:b w:val="false"/>
          <w:sz w:val="20"/>
        </w:rPr>
        <w:t>million and $15.8</w:t>
      </w:r>
      <w:r>
        <w:rPr>
          <w:rFonts w:ascii="Times New Roman" w:hAnsi="Times New Roman"/>
          <w:sz w:val="20"/>
        </w:rPr>
        <w:t xml:space="preserve"> </w:t>
      </w:r>
      <w:r>
        <w:rPr>
          <w:rFonts w:ascii="Times New Roman;serif" w:hAnsi="Times New Roman;serif"/>
          <w:b w:val="false"/>
          <w:sz w:val="20"/>
        </w:rPr>
        <w:t>million, respectively. For the six months ended June 30, 2023 and 2022, the Company incurred losses from operations of $26.7</w:t>
      </w:r>
      <w:r>
        <w:rPr>
          <w:rFonts w:ascii="Times New Roman" w:hAnsi="Times New Roman"/>
          <w:sz w:val="20"/>
        </w:rPr>
        <w:t xml:space="preserve"> </w:t>
      </w:r>
      <w:r>
        <w:rPr>
          <w:rFonts w:ascii="Times New Roman;serif" w:hAnsi="Times New Roman;serif"/>
          <w:b w:val="false"/>
          <w:sz w:val="20"/>
        </w:rPr>
        <w:t>million and $32.4</w:t>
      </w:r>
      <w:r>
        <w:rPr>
          <w:rFonts w:ascii="Times New Roman" w:hAnsi="Times New Roman"/>
          <w:sz w:val="20"/>
        </w:rPr>
        <w:t xml:space="preserve"> </w:t>
      </w:r>
      <w:r>
        <w:rPr>
          <w:rFonts w:ascii="Times New Roman;serif" w:hAnsi="Times New Roman;serif"/>
          <w:b w:val="false"/>
          <w:sz w:val="20"/>
        </w:rPr>
        <w:t>million, respectively. 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condensed consolidated financial statements, though the Company expects to continue to incur operating losses and negative cash flows. The Company plans to continue to fund its losses from operations using its cash, cash equivalents and short-term investments as of June 30, 2023</w:t>
      </w:r>
      <w:r>
        <w:rPr>
          <w:rFonts w:ascii="Times New Roman" w:hAnsi="Times New Roman"/>
          <w:sz w:val="20"/>
        </w:rPr>
        <w:t xml:space="preserve"> </w:t>
      </w:r>
      <w:r>
        <w:rPr>
          <w:rFonts w:ascii="Times New Roman;serif" w:hAnsi="Times New Roman;serif"/>
          <w:b w:val="false"/>
          <w:sz w:val="20"/>
        </w:rPr>
        <w:t>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12</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serif" w:hAnsi="Times New Roman;serif"/>
          <w:b/>
          <w:sz w:val="20"/>
        </w:rPr>
      </w:pPr>
      <w:r>
        <w:rPr>
          <w:rFonts w:ascii="Times New Roman;serif" w:hAnsi="Times New Roman;serif"/>
          <w:b/>
          <w:sz w:val="20"/>
        </w:rPr>
        <w:t>Note 2 - Summary of Accounting Policies</w:t>
      </w:r>
    </w:p>
    <w:p>
      <w:pPr>
        <w:pStyle w:val="TextBody"/>
        <w:bidi w:val="0"/>
        <w:spacing w:before="120" w:after="0"/>
        <w:jc w:val="left"/>
        <w:rPr>
          <w:rFonts w:ascii="Times New Roman" w:hAnsi="Times New Roman"/>
          <w:sz w:val="20"/>
        </w:rPr>
      </w:pPr>
      <w:r>
        <w:rPr>
          <w:rFonts w:ascii="Times New Roman;serif" w:hAnsi="Times New Roman;serif"/>
          <w:b w:val="false"/>
          <w:i/>
          <w:sz w:val="20"/>
        </w:rPr>
        <w:t>Use of Estimates</w:t>
      </w:r>
      <w:r>
        <w:rPr>
          <w:rFonts w:ascii="Times New Roman" w:hAnsi="Times New Roman"/>
          <w:sz w:val="20"/>
        </w:rPr>
        <w:t xml:space="preserve">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preparation of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 preparation of the accompanying condensed consolidated financial statements under different assumptions or conditions.</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Significant Accounting Policies</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There have been no significant changes to the accounting policies during the six months ended June 30, 2023, as compared to the significant accounting policies described in Note 2 of the “Notes to Consolidated Financial Statements” in the Company’s audited consolidated financial statements included in its Annual Report on Form 10-K filed with the SEC on March 6, 2023.</w:t>
      </w:r>
    </w:p>
    <w:p>
      <w:pPr>
        <w:pStyle w:val="TextBody"/>
        <w:bidi w:val="0"/>
        <w:spacing w:before="160" w:after="0"/>
        <w:jc w:val="left"/>
        <w:rPr>
          <w:rFonts w:ascii="Times New Roman" w:hAnsi="Times New Roman"/>
          <w:sz w:val="20"/>
        </w:rPr>
      </w:pPr>
      <w:r>
        <w:rPr>
          <w:rFonts w:ascii="Times New Roman;serif" w:hAnsi="Times New Roman;serif"/>
          <w:b w:val="false"/>
          <w:i/>
          <w:sz w:val="20"/>
        </w:rPr>
        <w:t>Cash Equivalents</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val="false"/>
          <w:i/>
          <w:sz w:val="20"/>
        </w:rPr>
        <w:t>Short-term Investments</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r>
        <w:rPr>
          <w:rFonts w:ascii="Times New Roman" w:hAnsi="Times New Roman"/>
          <w:sz w:val="20"/>
        </w:rPr>
        <w:t xml:space="preserve"> </w:t>
      </w:r>
    </w:p>
    <w:p>
      <w:pPr>
        <w:pStyle w:val="TextBody"/>
        <w:bidi w:val="0"/>
        <w:spacing w:before="160" w:after="0"/>
        <w:jc w:val="left"/>
        <w:rPr/>
      </w:pPr>
      <w:r>
        <w:rPr/>
        <w:t>•</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 xml:space="preserve">whether the investment has been in a continuous loss position for over 12 months; </w:t>
      </w:r>
    </w:p>
    <w:p>
      <w:pPr>
        <w:pStyle w:val="TextBody"/>
        <w:bidi w:val="0"/>
        <w:spacing w:before="160" w:after="0"/>
        <w:jc w:val="left"/>
        <w:rPr/>
      </w:pPr>
      <w:r>
        <w:rPr/>
        <w:t>•</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 xml:space="preserve">the duration to maturity of investments; </w:t>
      </w:r>
    </w:p>
    <w:p>
      <w:pPr>
        <w:pStyle w:val="TextBody"/>
        <w:bidi w:val="0"/>
        <w:spacing w:before="160" w:after="0"/>
        <w:jc w:val="left"/>
        <w:rPr/>
      </w:pPr>
      <w:r>
        <w:rPr/>
        <w:t>•</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 xml:space="preserve">intention and ability to hold the investment to maturity and if it is not more likely than not that the Company will be required to sell the investment before recovery of the amortized cost basis; </w:t>
      </w:r>
    </w:p>
    <w:p>
      <w:pPr>
        <w:pStyle w:val="TextBody"/>
        <w:bidi w:val="0"/>
        <w:spacing w:before="160" w:after="0"/>
        <w:jc w:val="left"/>
        <w:rPr/>
      </w:pPr>
      <w:r>
        <w:rPr/>
        <w:t>•</w:t>
      </w:r>
    </w:p>
    <w:p>
      <w:pPr>
        <w:pStyle w:val="TextBody"/>
        <w:bidi w:val="0"/>
        <w:spacing w:before="160" w:after="0"/>
        <w:jc w:val="left"/>
        <w:rPr>
          <w:rFonts w:ascii="Times New Roman;serif" w:hAnsi="Times New Roman;serif"/>
          <w:b w:val="false"/>
          <w:sz w:val="20"/>
        </w:rPr>
      </w:pPr>
      <w:r>
        <w:rPr>
          <w:rFonts w:ascii="Times New Roman;serif" w:hAnsi="Times New Roman;serif"/>
          <w:b w:val="false"/>
          <w:sz w:val="20"/>
        </w:rPr>
        <w:t xml:space="preserve">the credit rating, financial condition and near-term prospects of the issuer; and </w:t>
      </w:r>
    </w:p>
    <w:p>
      <w:pPr>
        <w:pStyle w:val="TextBody"/>
        <w:bidi w:val="0"/>
        <w:spacing w:before="160" w:after="0"/>
        <w:jc w:val="left"/>
        <w:rPr/>
      </w:pPr>
      <w:r>
        <w:rPr/>
        <w:t>•</w:t>
      </w:r>
    </w:p>
    <w:p>
      <w:pPr>
        <w:pStyle w:val="TextBody"/>
        <w:bidi w:val="0"/>
        <w:spacing w:before="160" w:after="283"/>
        <w:jc w:val="left"/>
        <w:rPr>
          <w:rFonts w:ascii="Times New Roman;serif" w:hAnsi="Times New Roman;serif"/>
          <w:b w:val="false"/>
          <w:sz w:val="20"/>
        </w:rPr>
      </w:pPr>
      <w:r>
        <w:rPr>
          <w:rFonts w:ascii="Times New Roman;serif" w:hAnsi="Times New Roman;serif"/>
          <w:b w:val="false"/>
          <w:sz w:val="20"/>
        </w:rPr>
        <w:t xml:space="preserve">the type of investments made. </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 had $57,000</w:t>
      </w:r>
      <w:r>
        <w:rPr>
          <w:rFonts w:ascii="Times New Roman" w:hAnsi="Times New Roman"/>
          <w:sz w:val="20"/>
        </w:rPr>
        <w:t xml:space="preserve"> </w:t>
      </w:r>
      <w:r>
        <w:rPr>
          <w:rFonts w:ascii="Times New Roman;serif" w:hAnsi="Times New Roman;serif"/>
          <w:b w:val="false"/>
          <w:sz w:val="20"/>
        </w:rPr>
        <w:t>and $75,000</w:t>
      </w:r>
      <w:r>
        <w:rPr>
          <w:rFonts w:ascii="Times New Roman" w:hAnsi="Times New Roman"/>
          <w:sz w:val="20"/>
        </w:rPr>
        <w:t xml:space="preserve"> </w:t>
      </w:r>
      <w:r>
        <w:rPr>
          <w:rFonts w:ascii="Times New Roman;serif" w:hAnsi="Times New Roman;serif"/>
          <w:b w:val="false"/>
          <w:sz w:val="20"/>
        </w:rPr>
        <w:t>of unrealized losses related to short-term investments as of June 30, 2023 and December 31, 2022, respectively.</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i/>
          <w:sz w:val="20"/>
        </w:rPr>
        <w:t>Concentration of Credit Risk and Other Risks and Uncertainties</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13</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 w:hAnsi="Times New Roman"/>
          <w:sz w:val="20"/>
        </w:rPr>
      </w:pPr>
      <w:r>
        <w:rPr>
          <w:rFonts w:ascii="Times New Roman;serif" w:hAnsi="Times New Roman;serif"/>
          <w:b w:val="false"/>
          <w:sz w:val="20"/>
        </w:rPr>
        <w:t>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Company’s products require approval from the FDA and foreign regulatory agencies before commercial sales can commence. There can be no assurance that the Company’s products will receive any of these required 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r>
        <w:rPr>
          <w:rFonts w:ascii="Times New Roman" w:hAnsi="Times New Roman"/>
          <w:sz w:val="20"/>
        </w:rPr>
        <w:t xml:space="preserve">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Company is subject to the risks related to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Accounts Receivable</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 has a diverse customer base and as of June 30, 2023 and December 31, 2022</w:t>
      </w:r>
      <w:r>
        <w:rPr>
          <w:rFonts w:ascii="Times New Roman" w:hAnsi="Times New Roman"/>
          <w:sz w:val="20"/>
        </w:rPr>
        <w:t xml:space="preserve"> </w:t>
      </w:r>
      <w:r>
        <w:rPr>
          <w:rFonts w:ascii="Times New Roman;serif" w:hAnsi="Times New Roman;serif"/>
          <w:b w:val="false"/>
          <w:sz w:val="20"/>
        </w:rPr>
        <w:t>the Company did not have any customers who individually accounted for greater than 10% of accounts receivable. The Company maintains an allowance for credit losses resulting from the inability of its customers, including ambulatory surgery centers, to make required payments. After evaluation of the collectability of accounts receivable, the Company did not record any significant allowance for credit losses as of June 30, 2023 or December 31, 2022.</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Fair Value of Financial Instruments</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Level 1—Observable inputs such as unadjusted quoted prices in active markets that are accessible at the measurement date for identical unrestricted assets or liabilities.</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14</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 w:hAnsi="Times New Roman"/>
          <w:sz w:val="20"/>
        </w:rPr>
      </w:pPr>
      <w:r>
        <w:rPr>
          <w:rFonts w:ascii="Times New Roman;serif" w:hAnsi="Times New Roman;serif"/>
          <w:b w:val="false"/>
          <w:sz w:val="20"/>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Company’s financial instruments consist principally of cash, cash equivalents, short-term investments, accounts receivable, accounts payable, operating lease liabilities and a term loan. Cash, cash equivalents, accounts receivable and accounts payable are carried at their estimated fair value because of the short-term nature of these assets and liabilities. The Company’s short-term investments in government securities are carried at fair value, determined based on publicly available quoted market prices for identical securities at the measurement date. The Company believes the fair values of its operating lease liabilities, new loan and security agreement and amended term loan at June 30, 2023 and December 31, 2022</w:t>
      </w:r>
      <w:r>
        <w:rPr>
          <w:rFonts w:ascii="Times New Roman" w:hAnsi="Times New Roman"/>
          <w:sz w:val="20"/>
        </w:rPr>
        <w:t xml:space="preserve"> </w:t>
      </w:r>
      <w:r>
        <w:rPr>
          <w:rFonts w:ascii="Times New Roman;serif" w:hAnsi="Times New Roman;serif"/>
          <w:b w:val="false"/>
          <w:sz w:val="20"/>
        </w:rPr>
        <w:t>approximated their carrying values, based on the borrowing rates that were available for loans with similar terms as of such date.</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Inventories</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pStyle w:val="TextBody"/>
        <w:bidi w:val="0"/>
        <w:spacing w:before="160" w:after="160"/>
        <w:jc w:val="left"/>
        <w:rPr>
          <w:rFonts w:ascii="Times New Roman;serif" w:hAnsi="Times New Roman;serif"/>
          <w:b w:val="false"/>
          <w:i/>
          <w:sz w:val="20"/>
        </w:rPr>
      </w:pPr>
      <w:r>
        <w:rPr>
          <w:rFonts w:ascii="Times New Roman;serif" w:hAnsi="Times New Roman;serif"/>
          <w:b w:val="false"/>
          <w:i/>
          <w:sz w:val="20"/>
        </w:rPr>
        <w:t>Leases</w:t>
      </w:r>
    </w:p>
    <w:p>
      <w:pPr>
        <w:pStyle w:val="TextBody"/>
        <w:bidi w:val="0"/>
        <w:spacing w:before="120" w:after="160"/>
        <w:jc w:val="left"/>
        <w:rPr>
          <w:rFonts w:ascii="Times New Roman" w:hAnsi="Times New Roman"/>
          <w:sz w:val="20"/>
        </w:rPr>
      </w:pPr>
      <w:r>
        <w:rPr>
          <w:rFonts w:ascii="Times New Roman;serif" w:hAnsi="Times New Roman;serif"/>
          <w:b w:val="false"/>
          <w:sz w:val="20"/>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r>
        <w:rPr>
          <w:rFonts w:ascii="Times New Roman" w:hAnsi="Times New Roman"/>
          <w:sz w:val="20"/>
        </w:rPr>
        <w:t xml:space="preserve"> </w:t>
      </w:r>
    </w:p>
    <w:p>
      <w:pPr>
        <w:pStyle w:val="TextBody"/>
        <w:bidi w:val="0"/>
        <w:spacing w:before="160" w:after="160"/>
        <w:jc w:val="left"/>
        <w:rPr>
          <w:rFonts w:ascii="Times New Roman;serif" w:hAnsi="Times New Roman;serif"/>
          <w:b w:val="false"/>
          <w:i/>
          <w:sz w:val="20"/>
        </w:rPr>
      </w:pPr>
      <w:r>
        <w:rPr>
          <w:rFonts w:ascii="Times New Roman;serif" w:hAnsi="Times New Roman;serif"/>
          <w:b w:val="false"/>
          <w:i/>
          <w:sz w:val="20"/>
        </w:rPr>
        <w:t>Net Loss per Share</w:t>
      </w:r>
    </w:p>
    <w:p>
      <w:pPr>
        <w:pStyle w:val="TextBody"/>
        <w:bidi w:val="0"/>
        <w:spacing w:before="120" w:after="160"/>
        <w:jc w:val="left"/>
        <w:rPr>
          <w:rFonts w:ascii="Times New Roman" w:hAnsi="Times New Roman"/>
          <w:sz w:val="20"/>
        </w:rPr>
      </w:pPr>
      <w:r>
        <w:rPr>
          <w:rFonts w:ascii="Times New Roman;serif" w:hAnsi="Times New Roman;serif"/>
          <w:b w:val="false"/>
          <w:sz w:val="20"/>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15</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582"/>
        <w:gridCol w:w="148"/>
        <w:gridCol w:w="949"/>
        <w:gridCol w:w="148"/>
        <w:gridCol w:w="148"/>
        <w:gridCol w:w="148"/>
        <w:gridCol w:w="949"/>
        <w:gridCol w:w="146"/>
        <w:gridCol w:w="146"/>
        <w:gridCol w:w="146"/>
        <w:gridCol w:w="931"/>
        <w:gridCol w:w="146"/>
        <w:gridCol w:w="146"/>
        <w:gridCol w:w="146"/>
        <w:gridCol w:w="931"/>
        <w:gridCol w:w="395"/>
      </w:tblGrid>
      <w:tr>
        <w:trPr/>
        <w:tc>
          <w:tcPr>
            <w:tcW w:w="45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582" w:type="dxa"/>
            <w:tcBorders/>
            <w:vAlign w:val="center"/>
          </w:tcPr>
          <w:p>
            <w:pPr>
              <w:pStyle w:val="TableContents"/>
              <w:bidi w:val="0"/>
              <w:spacing w:before="0" w:after="0"/>
              <w:ind w:left="0" w:right="0" w:hanging="0"/>
              <w:jc w:val="left"/>
              <w:rPr/>
            </w:pPr>
            <w:r>
              <w:rPr/>
              <w:t> </w:t>
            </w:r>
          </w:p>
        </w:tc>
        <w:tc>
          <w:tcPr>
            <w:tcW w:w="249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44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8" w:type="dxa"/>
            <w:tcBorders/>
            <w:vAlign w:val="center"/>
          </w:tcPr>
          <w:p>
            <w:pPr>
              <w:pStyle w:val="TableContents"/>
              <w:bidi w:val="0"/>
              <w:spacing w:before="0" w:after="0"/>
              <w:ind w:left="0" w:right="0" w:hanging="0"/>
              <w:jc w:val="center"/>
              <w:rPr/>
            </w:pPr>
            <w:r>
              <w:rPr/>
              <w:t> </w:t>
            </w:r>
          </w:p>
        </w:tc>
        <w:tc>
          <w:tcPr>
            <w:tcW w:w="10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center"/>
              <w:rPr/>
            </w:pPr>
            <w:r>
              <w:rPr/>
              <w:t> </w:t>
            </w:r>
          </w:p>
        </w:tc>
      </w:tr>
      <w:tr>
        <w:trPr/>
        <w:tc>
          <w:tcPr>
            <w:tcW w:w="45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options issued and outstanding under the Calhoun Vision, Inc. 2006 Stock Plan, Calhoun Vision, Inc. 2015 Equity Incentive Plan and the 2021 Equity Incentive Plan</w:t>
            </w:r>
          </w:p>
        </w:tc>
        <w:tc>
          <w:tcPr>
            <w:tcW w:w="148"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5,821,076</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1,942,092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3,409,842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1,973,913</w:t>
            </w:r>
          </w:p>
        </w:tc>
        <w:tc>
          <w:tcPr>
            <w:tcW w:w="395" w:type="dxa"/>
            <w:tcBorders/>
            <w:vAlign w:val="center"/>
          </w:tcPr>
          <w:p>
            <w:pPr>
              <w:pStyle w:val="TableContents"/>
              <w:bidi w:val="0"/>
              <w:spacing w:before="0" w:after="0"/>
              <w:ind w:left="0" w:right="0" w:firstLine="200"/>
              <w:jc w:val="left"/>
              <w:rPr/>
            </w:pPr>
            <w:r>
              <w:rPr/>
              <w:t> </w:t>
            </w:r>
          </w:p>
        </w:tc>
      </w:tr>
      <w:tr>
        <w:trPr/>
        <w:tc>
          <w:tcPr>
            <w:tcW w:w="45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stock units issued under the 2021 Equity Incentive Plan</w:t>
            </w:r>
          </w:p>
        </w:tc>
        <w:tc>
          <w:tcPr>
            <w:tcW w:w="148"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773,940</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671,956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48,188</w:t>
            </w:r>
          </w:p>
        </w:tc>
        <w:tc>
          <w:tcPr>
            <w:tcW w:w="395" w:type="dxa"/>
            <w:tcBorders/>
            <w:vAlign w:val="center"/>
          </w:tcPr>
          <w:p>
            <w:pPr>
              <w:pStyle w:val="TableContents"/>
              <w:bidi w:val="0"/>
              <w:spacing w:before="0" w:after="0"/>
              <w:ind w:left="0" w:right="0" w:firstLine="200"/>
              <w:jc w:val="left"/>
              <w:rPr/>
            </w:pPr>
            <w:r>
              <w:rPr/>
              <w:t> </w:t>
            </w:r>
          </w:p>
        </w:tc>
      </w:tr>
      <w:tr>
        <w:trPr/>
        <w:tc>
          <w:tcPr>
            <w:tcW w:w="4582"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 issuable in offering period under the 2021 Employee Stock Purchase Plan</w:t>
            </w:r>
          </w:p>
        </w:tc>
        <w:tc>
          <w:tcPr>
            <w:tcW w:w="148"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39,568</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148" w:type="dxa"/>
            <w:tcBorders/>
            <w:vAlign w:val="center"/>
          </w:tcPr>
          <w:p>
            <w:pPr>
              <w:pStyle w:val="TableContents"/>
              <w:bidi w:val="0"/>
              <w:spacing w:before="0" w:after="0"/>
              <w:ind w:left="0" w:right="0" w:hanging="0"/>
              <w:jc w:val="left"/>
              <w:rPr/>
            </w:pPr>
            <w:r>
              <w:rPr/>
              <w:t> </w:t>
            </w:r>
          </w:p>
        </w:tc>
        <w:tc>
          <w:tcPr>
            <w:tcW w:w="94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48,373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47,496</w:t>
            </w:r>
          </w:p>
        </w:tc>
        <w:tc>
          <w:tcPr>
            <w:tcW w:w="395"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40" w:after="0"/>
        <w:jc w:val="left"/>
        <w:rPr>
          <w:rFonts w:ascii="Times New Roman;serif" w:hAnsi="Times New Roman;serif"/>
          <w:b w:val="false"/>
          <w:i/>
          <w:sz w:val="20"/>
        </w:rPr>
      </w:pPr>
      <w:r>
        <w:rPr>
          <w:rFonts w:ascii="Times New Roman;serif" w:hAnsi="Times New Roman;serif"/>
          <w:b w:val="false"/>
          <w:i/>
          <w:sz w:val="20"/>
        </w:rPr>
        <w:t>Revenue Recognition</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Company’s revenue is generated from the sale of LALs used in cataract surgery along with a specifically designed machine for delivering light to the eye, the LDD, to adjust the lens post-surgery, as needed. Revenue is recognized from sales of products in the U.S. and Europe. Customers are primarily comprised of ambulatory surgery centers, hospitals, and physician private practices.</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 for the device service is recognized ratably over time after installation, generally 12 months. The Company has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16</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pStyle w:val="TextBody"/>
        <w:bidi w:val="0"/>
        <w:spacing w:before="120" w:after="160"/>
        <w:jc w:val="left"/>
        <w:rPr>
          <w:rFonts w:ascii="Times New Roman" w:hAnsi="Times New Roman"/>
          <w:sz w:val="20"/>
        </w:rPr>
      </w:pPr>
      <w:r>
        <w:rPr>
          <w:rFonts w:ascii="Times New Roman;serif" w:hAnsi="Times New Roman;serif"/>
          <w:b w:val="false"/>
          <w:sz w:val="20"/>
        </w:rPr>
        <w:t>LALs are generally held at customer sites on consignment. The single performance obligation is satisfied, and revenue from sales is recognized for LALs upon customer notification that the LALs have been implanted in a patient. For the three and six months ended June 30, 2023 and 2022, credits related to returns and rebates on list prices were not significant.</w:t>
      </w:r>
      <w:r>
        <w:rPr>
          <w:rFonts w:ascii="Times New Roman" w:hAnsi="Times New Roman"/>
          <w:sz w:val="20"/>
        </w:rPr>
        <w:t xml:space="preserve">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For the three and six months ended June 30, 2023 and 2022, contract liabilities from sales activity recorded as liabilities on the Company's condensed consolidated balance sheets consisted of the following (in thousands):</w:t>
      </w:r>
    </w:p>
    <w:p>
      <w:pPr>
        <w:pStyle w:val="TextBody"/>
        <w:bidi w:val="0"/>
        <w:spacing w:before="0" w:after="0"/>
        <w:jc w:val="left"/>
        <w:rPr/>
      </w:pPr>
      <w:r>
        <w:rPr/>
        <w:t> </w:t>
      </w:r>
    </w:p>
    <w:tbl>
      <w:tblPr>
        <w:tblW w:w="9881" w:type="dxa"/>
        <w:jc w:val="left"/>
        <w:tblInd w:w="0" w:type="dxa"/>
        <w:tblLayout w:type="fixed"/>
        <w:tblCellMar>
          <w:top w:w="28" w:type="dxa"/>
          <w:left w:w="28" w:type="dxa"/>
          <w:bottom w:w="28" w:type="dxa"/>
          <w:right w:w="28" w:type="dxa"/>
        </w:tblCellMar>
      </w:tblPr>
      <w:tblGrid>
        <w:gridCol w:w="4246"/>
        <w:gridCol w:w="146"/>
        <w:gridCol w:w="268"/>
        <w:gridCol w:w="859"/>
        <w:gridCol w:w="185"/>
        <w:gridCol w:w="185"/>
        <w:gridCol w:w="268"/>
        <w:gridCol w:w="859"/>
        <w:gridCol w:w="146"/>
        <w:gridCol w:w="146"/>
        <w:gridCol w:w="243"/>
        <w:gridCol w:w="780"/>
        <w:gridCol w:w="168"/>
        <w:gridCol w:w="168"/>
        <w:gridCol w:w="243"/>
        <w:gridCol w:w="780"/>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5" w:type="dxa"/>
            <w:tcBorders/>
            <w:vAlign w:val="center"/>
          </w:tcPr>
          <w:p>
            <w:pPr>
              <w:pStyle w:val="TableContents"/>
              <w:bidi w:val="0"/>
              <w:spacing w:before="0" w:after="0"/>
              <w:ind w:left="0" w:right="0" w:hanging="0"/>
              <w:jc w:val="center"/>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 w:type="dxa"/>
            <w:tcBorders/>
            <w:vAlign w:val="center"/>
          </w:tcPr>
          <w:p>
            <w:pPr>
              <w:pStyle w:val="TableContents"/>
              <w:bidi w:val="0"/>
              <w:spacing w:before="0" w:after="0"/>
              <w:ind w:left="0" w:right="0" w:hanging="0"/>
              <w:jc w:val="center"/>
              <w:rPr/>
            </w:pPr>
            <w:r>
              <w:rPr/>
              <w:t> </w:t>
            </w:r>
          </w:p>
        </w:tc>
        <w:tc>
          <w:tcPr>
            <w:tcW w:w="10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3" w:type="dxa"/>
            <w:gridSpan w:val="2"/>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1023"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LDD (including training)</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7,720</w:t>
            </w:r>
          </w:p>
        </w:tc>
        <w:tc>
          <w:tcPr>
            <w:tcW w:w="185"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14,195</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10,253</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LAL</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12,411</w:t>
            </w:r>
          </w:p>
        </w:tc>
        <w:tc>
          <w:tcPr>
            <w:tcW w:w="185"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22,806</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9,453</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warranty, service contracts, and accessories</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20,810</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38,299</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20,301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160"/>
        <w:jc w:val="left"/>
        <w:rPr>
          <w:rFonts w:ascii="Times New Roman" w:hAnsi="Times New Roman"/>
          <w:sz w:val="20"/>
        </w:rPr>
      </w:pPr>
      <w:r>
        <w:rPr>
          <w:rFonts w:ascii="Times New Roman;serif" w:hAnsi="Times New Roman;serif"/>
          <w:b w:val="false"/>
          <w:sz w:val="20"/>
        </w:rPr>
        <w:t>As of June 30, 2023 and December 31, 2022, the Company recognized contract liabilities on its condensed consolidated balance sheets of $1,351,000</w:t>
      </w:r>
      <w:r>
        <w:rPr>
          <w:rFonts w:ascii="Times New Roman" w:hAnsi="Times New Roman"/>
          <w:sz w:val="20"/>
        </w:rPr>
        <w:t xml:space="preserve"> </w:t>
      </w:r>
      <w:r>
        <w:rPr>
          <w:rFonts w:ascii="Times New Roman;serif" w:hAnsi="Times New Roman;serif"/>
          <w:b w:val="false"/>
          <w:sz w:val="20"/>
        </w:rPr>
        <w:t>and $1,187,000,</w:t>
      </w:r>
      <w:r>
        <w:rPr>
          <w:rFonts w:ascii="Times New Roman" w:hAnsi="Times New Roman"/>
          <w:sz w:val="20"/>
        </w:rPr>
        <w:t xml:space="preserve"> </w:t>
      </w:r>
      <w:r>
        <w:rPr>
          <w:rFonts w:ascii="Times New Roman;serif" w:hAnsi="Times New Roman;serif"/>
          <w:b w:val="false"/>
          <w:sz w:val="20"/>
        </w:rPr>
        <w:t>respectively, related to the service agreement performance obligation. Revenue for service agreements is recognized ratably over the term of each contract.</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following table represents the contract liabilities from sales activity for the six months ended June 30, 2023 and 2022, respectively (in thousands):</w:t>
      </w:r>
    </w:p>
    <w:tbl>
      <w:tblPr>
        <w:tblW w:w="6866" w:type="dxa"/>
        <w:jc w:val="left"/>
        <w:tblInd w:w="0" w:type="dxa"/>
        <w:tblLayout w:type="fixed"/>
        <w:tblCellMar>
          <w:top w:w="28" w:type="dxa"/>
          <w:left w:w="28" w:type="dxa"/>
          <w:bottom w:w="28" w:type="dxa"/>
          <w:right w:w="28" w:type="dxa"/>
        </w:tblCellMar>
      </w:tblPr>
      <w:tblGrid>
        <w:gridCol w:w="3241"/>
        <w:gridCol w:w="146"/>
        <w:gridCol w:w="272"/>
        <w:gridCol w:w="815"/>
        <w:gridCol w:w="214"/>
        <w:gridCol w:w="188"/>
        <w:gridCol w:w="272"/>
        <w:gridCol w:w="621"/>
        <w:gridCol w:w="166"/>
        <w:gridCol w:w="93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ind w:left="0" w:right="0" w:firstLine="800"/>
              <w:jc w:val="left"/>
              <w:rPr>
                <w:sz w:val="4"/>
                <w:szCs w:val="4"/>
              </w:rPr>
            </w:pPr>
            <w:r>
              <w:rPr>
                <w:sz w:val="4"/>
                <w:szCs w:val="4"/>
              </w:rPr>
            </w:r>
          </w:p>
        </w:tc>
      </w:tr>
      <w:tr>
        <w:trPr/>
        <w:tc>
          <w:tcPr>
            <w:tcW w:w="3241" w:type="dxa"/>
            <w:tcBorders/>
            <w:vAlign w:val="center"/>
          </w:tcPr>
          <w:p>
            <w:pPr>
              <w:pStyle w:val="TableContents"/>
              <w:bidi w:val="0"/>
              <w:spacing w:before="0" w:after="0"/>
              <w:ind w:left="8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8" w:type="dxa"/>
            <w:tcBorders/>
            <w:vAlign w:val="center"/>
          </w:tcPr>
          <w:p>
            <w:pPr>
              <w:pStyle w:val="TableContents"/>
              <w:bidi w:val="0"/>
              <w:spacing w:before="0" w:after="0"/>
              <w:ind w:left="0" w:right="0" w:hanging="0"/>
              <w:jc w:val="center"/>
              <w:rPr/>
            </w:pPr>
            <w:r>
              <w:rPr/>
              <w:t> </w:t>
            </w:r>
          </w:p>
        </w:tc>
        <w:tc>
          <w:tcPr>
            <w:tcW w:w="89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87" w:type="dxa"/>
            <w:gridSpan w:val="2"/>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893"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beginning of period</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1,193</w:t>
            </w:r>
          </w:p>
        </w:tc>
        <w:tc>
          <w:tcPr>
            <w:tcW w:w="214"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w:t>
            </w:r>
          </w:p>
        </w:tc>
        <w:tc>
          <w:tcPr>
            <w:tcW w:w="1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center"/>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Additions during the period</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1,391</w:t>
            </w:r>
          </w:p>
        </w:tc>
        <w:tc>
          <w:tcPr>
            <w:tcW w:w="214"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 </w:t>
            </w:r>
          </w:p>
        </w:tc>
        <w:tc>
          <w:tcPr>
            <w:tcW w:w="6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741</w:t>
            </w:r>
          </w:p>
        </w:tc>
        <w:tc>
          <w:tcPr>
            <w:tcW w:w="16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recognized during the period</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8" w:type="dxa"/>
            <w:tcBorders/>
            <w:vAlign w:val="center"/>
          </w:tcPr>
          <w:p>
            <w:pPr>
              <w:pStyle w:val="TableContents"/>
              <w:bidi w:val="0"/>
              <w:spacing w:before="0" w:after="0"/>
              <w:ind w:left="0" w:right="0" w:hanging="0"/>
              <w:jc w:val="lef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vAlign w:val="center"/>
          </w:tcPr>
          <w:p>
            <w:pPr>
              <w:pStyle w:val="TableContents"/>
              <w:bidi w:val="0"/>
              <w:spacing w:before="0" w:after="0"/>
              <w:ind w:left="0" w:right="0" w:hanging="0"/>
              <w:jc w:val="left"/>
              <w:rPr/>
            </w:pPr>
            <w:r>
              <w:rPr/>
              <w:t> </w:t>
            </w:r>
          </w:p>
        </w:tc>
      </w:tr>
      <w:tr>
        <w:trPr/>
        <w:tc>
          <w:tcPr>
            <w:tcW w:w="32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at end of period</w:t>
            </w:r>
          </w:p>
        </w:tc>
        <w:tc>
          <w:tcPr>
            <w:tcW w:w="146"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1,351</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left"/>
              <w:rPr/>
            </w:pPr>
            <w:r>
              <w:rPr/>
              <w:t> </w:t>
            </w:r>
          </w:p>
        </w:tc>
      </w:tr>
    </w:tbl>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For the three and six months ended June 30, 2023 and 2022, the Company did not have any customers who individually accounted for greater than 10% of revenue.</w:t>
      </w:r>
    </w:p>
    <w:p>
      <w:pPr>
        <w:pStyle w:val="TextBody"/>
        <w:bidi w:val="0"/>
        <w:spacing w:before="120" w:after="160"/>
        <w:jc w:val="left"/>
        <w:rPr>
          <w:rFonts w:ascii="Times New Roman;serif" w:hAnsi="Times New Roman;serif"/>
          <w:b w:val="false"/>
          <w:i/>
          <w:sz w:val="20"/>
        </w:rPr>
      </w:pPr>
      <w:r>
        <w:rPr>
          <w:rFonts w:ascii="Times New Roman;serif" w:hAnsi="Times New Roman;serif"/>
          <w:b w:val="false"/>
          <w:i/>
          <w:sz w:val="20"/>
        </w:rPr>
        <w:t>Stock-Based Compensation Expense</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Company has three equity incentive compensation plans: the Calhoun Vision, Inc. 2006 Stock Plan (“2006 Plan”); the Calhoun Vision, Inc. 2015 Equity Incentive Plan (“2015 Plan”); and the 2021 Equity Incentive Plan (“2021 Plan”), which are collectively referred to as the (“Equity Plans”). The Company also has an employee stock purchase plan, the 2021 Employee Stock Purchase Plan (“2021 ESPP”).</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purpose of the 2021 Plan and 2021 ESPP is to provide a means by which eligible participants may be given an opportunity to benefit from increases in the value of the common stock in order to retain or procure the services of the employees, members of the board of directors of the Company (the “Board”) and consultants and provide them with an incentive to promote the Company’s success and accomplish corporate goals.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17</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Stock option awards are granted with an exercise price of no less than 100% of estimated fair market value on the date of grant. Time based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Prior to the Company's shares being traded on the Nasdaq Global Market, the fair value of the Company’s common stock was determined by the Board at the time of each option grant by considering a number of objective and subjective factors. These factors included the valuation of a select group of public peer group companies within the medical device industry that focus on technological advances and development that the Board believed were comparable to the Company’s operations. Operating and financial performance, the lack of liquidity of the common stock and trends in the broader economy and medical device industry also impacted the determination of the fair value of the common stock. In addition, the Company regularly engaged a third-party valuation specialist to assist with estimates related to the valuation of the Company’s common stock. For all grants subsequent to commencement of trading of the Company's shares on the Nasdaq Global Market in July 2021, the fair value of common stock was determined by using the closing price per share of common stock as reported on the Nasdaq Global Market.</w:t>
      </w:r>
    </w:p>
    <w:p>
      <w:pPr>
        <w:pStyle w:val="TextBody"/>
        <w:bidi w:val="0"/>
        <w:spacing w:before="120" w:after="160"/>
        <w:jc w:val="left"/>
        <w:rPr>
          <w:rFonts w:ascii="Times New Roman" w:hAnsi="Times New Roman"/>
          <w:sz w:val="20"/>
        </w:rPr>
      </w:pPr>
      <w:r>
        <w:rPr>
          <w:rFonts w:ascii="Times New Roman;serif" w:hAnsi="Times New Roman;serif"/>
          <w:b w:val="false"/>
          <w:sz w:val="20"/>
        </w:rPr>
        <w:t>In determining the fair value of the stock options granted, the Company uses the Black-Scholes option-pricing model. The Black-Scholes option-pricing model requires the use of assumptions about a number of variables, such as the fair market value of the Company’s common stock, expected term, expected volatility, the risk-free interest rate, and dividend yield as discussed below.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i/>
          <w:sz w:val="20"/>
        </w:rPr>
        <w:t>Expected term</w:t>
      </w:r>
      <w:r>
        <w:rPr>
          <w:rFonts w:ascii="Times New Roman" w:hAnsi="Times New Roman"/>
          <w:sz w:val="20"/>
        </w:rPr>
        <w:t>—</w:t>
      </w:r>
      <w:r>
        <w:rPr>
          <w:rFonts w:ascii="Times New Roman;serif" w:hAnsi="Times New Roman;serif"/>
          <w:b w:val="false"/>
          <w:sz w:val="20"/>
        </w:rPr>
        <w:t>The Company’s expected term represents the period that the Company’s stock-based awards are expected to be outstanding. The Company used the simplified method (based on the mid-point between the vesting date and the end of the contractual term) to determine the expected term.</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Expected volatility</w:t>
      </w:r>
      <w:r>
        <w:rPr>
          <w:rFonts w:ascii="Times New Roman" w:hAnsi="Times New Roman"/>
          <w:sz w:val="20"/>
        </w:rPr>
        <w:t>—</w:t>
      </w:r>
      <w:r>
        <w:rPr>
          <w:rFonts w:ascii="Times New Roman;serif" w:hAnsi="Times New Roman;serif"/>
          <w:b w:val="false"/>
          <w:sz w:val="20"/>
        </w:rPr>
        <w:t>Prior to the completion of the Company</w:t>
      </w:r>
      <w:r>
        <w:rPr>
          <w:rFonts w:ascii="Times New Roman" w:hAnsi="Times New Roman"/>
          <w:sz w:val="20"/>
        </w:rPr>
        <w:t>’</w:t>
      </w:r>
      <w:r>
        <w:rPr>
          <w:rFonts w:ascii="Times New Roman;serif" w:hAnsi="Times New Roman;serif"/>
          <w:b w:val="false"/>
          <w:sz w:val="20"/>
        </w:rPr>
        <w:t>s initial public offering (“IPO”), when the Company was privately held and did not have any trading history for its common stock, the expected volatility was estimated based on the average historical volatilities for comparable publicly traded medical device companies over a period equal to the expected term of the stock option grants. Comparable companies were chosen based on their similar size, stage in the life cycle and area of specialty. The Company will continue to apply this process until a sufficient amount of historical information regarding the volatility of its own stock price becomes available.</w:t>
      </w:r>
    </w:p>
    <w:p>
      <w:pPr>
        <w:pStyle w:val="TextBody"/>
        <w:bidi w:val="0"/>
        <w:spacing w:before="240" w:after="0"/>
        <w:jc w:val="left"/>
        <w:rPr>
          <w:rFonts w:ascii="Times New Roman" w:hAnsi="Times New Roman"/>
          <w:sz w:val="20"/>
        </w:rPr>
      </w:pPr>
      <w:r>
        <w:rPr>
          <w:rFonts w:ascii="Times New Roman;serif" w:hAnsi="Times New Roman;serif"/>
          <w:b w:val="false"/>
          <w:i/>
          <w:sz w:val="20"/>
        </w:rPr>
        <w:t>Risk-free interest rate</w:t>
      </w:r>
      <w:r>
        <w:rPr>
          <w:rFonts w:ascii="Times New Roman" w:hAnsi="Times New Roman"/>
          <w:sz w:val="20"/>
        </w:rPr>
        <w:t>—</w:t>
      </w:r>
      <w:r>
        <w:rPr>
          <w:rFonts w:ascii="Times New Roman;serif" w:hAnsi="Times New Roman;serif"/>
          <w:b w:val="false"/>
          <w:sz w:val="20"/>
        </w:rPr>
        <w:t>The risk-free interest rate used is based on the published U.S. Department of Treasury interest rates in effect at the time of stock option grant for zero coupon U.S. Treasury notes with maturities approximating each grant’s expected term.</w:t>
      </w:r>
    </w:p>
    <w:p>
      <w:pPr>
        <w:pStyle w:val="TextBody"/>
        <w:bidi w:val="0"/>
        <w:spacing w:before="240" w:after="0"/>
        <w:jc w:val="left"/>
        <w:rPr>
          <w:rFonts w:ascii="Times New Roman" w:hAnsi="Times New Roman"/>
          <w:sz w:val="20"/>
        </w:rPr>
      </w:pPr>
      <w:r>
        <w:rPr>
          <w:rFonts w:ascii="Times New Roman;serif" w:hAnsi="Times New Roman;serif"/>
          <w:b w:val="false"/>
          <w:i/>
          <w:sz w:val="20"/>
        </w:rPr>
        <w:t>Dividend yield</w:t>
      </w:r>
      <w:r>
        <w:rPr>
          <w:rFonts w:ascii="Times New Roman" w:hAnsi="Times New Roman"/>
          <w:sz w:val="20"/>
        </w:rPr>
        <w:t>—</w:t>
      </w:r>
      <w:r>
        <w:rPr>
          <w:rFonts w:ascii="Times New Roman;serif" w:hAnsi="Times New Roman;serif"/>
          <w:b w:val="false"/>
          <w:sz w:val="20"/>
        </w:rPr>
        <w:t>The Company has never paid dividends on its common stock and has no plans to pay dividends on its common stock. Therefore, the Company used an expected dividend yield of zero.</w:t>
      </w:r>
    </w:p>
    <w:p>
      <w:pPr>
        <w:pStyle w:val="TextBody"/>
        <w:bidi w:val="0"/>
        <w:spacing w:before="160" w:after="0"/>
        <w:jc w:val="left"/>
        <w:rPr>
          <w:rFonts w:ascii="Times New Roman;serif" w:hAnsi="Times New Roman;serif"/>
          <w:b w:val="false"/>
          <w:i/>
          <w:sz w:val="20"/>
        </w:rPr>
      </w:pPr>
      <w:r>
        <w:rPr>
          <w:rFonts w:ascii="Times New Roman;serif" w:hAnsi="Times New Roman;serif"/>
          <w:b w:val="false"/>
          <w:i/>
          <w:sz w:val="20"/>
        </w:rPr>
        <w:t>Recent Accounting Pronouncements</w:t>
      </w:r>
    </w:p>
    <w:p>
      <w:pPr>
        <w:pStyle w:val="TextBody"/>
        <w:bidi w:val="0"/>
        <w:spacing w:before="160" w:after="0"/>
        <w:jc w:val="left"/>
        <w:rPr>
          <w:rFonts w:ascii="Times New Roman" w:hAnsi="Times New Roman"/>
          <w:sz w:val="20"/>
        </w:rPr>
      </w:pPr>
      <w:r>
        <w:rPr>
          <w:rFonts w:ascii="Times New Roman;serif" w:hAnsi="Times New Roman;serif"/>
          <w:b w:val="false"/>
          <w:sz w:val="20"/>
        </w:rPr>
        <w:t xml:space="preserve">Changes to GAAP are established by the Financial Accounting Standards Board (“FASB”) in the form of accounting standards updates (“ASU”). There have been no recent accounting pronouncements, changes in accounting pronouncements or recently adopted accounting guidance during the three months ended June 30, 2023 that are of significance or potential significance to the Company. </w:t>
        <w:br/>
        <w:br/>
      </w:r>
      <w:r>
        <w:rPr>
          <w:rFonts w:ascii="Times New Roman" w:hAnsi="Times New Roman"/>
          <w:sz w:val="20"/>
        </w:rPr>
        <w:t> </w:t>
      </w:r>
    </w:p>
    <w:p>
      <w:pPr>
        <w:pStyle w:val="TextBody"/>
        <w:bidi w:val="0"/>
        <w:spacing w:before="0" w:after="0"/>
        <w:jc w:val="left"/>
        <w:rPr/>
      </w:pPr>
      <w:r>
        <w:rPr/>
        <w:t>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18</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val="false"/>
          <w:sz w:val="20"/>
        </w:rPr>
        <w:br/>
        <w:br/>
      </w:r>
      <w:r>
        <w:rPr>
          <w:rFonts w:ascii="Times New Roman;serif" w:hAnsi="Times New Roman;serif"/>
          <w:b w:val="false"/>
          <w:i/>
          <w:sz w:val="20"/>
        </w:rPr>
        <w:t>Emerging Growth Company Status</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pStyle w:val="TextBody"/>
        <w:bidi w:val="0"/>
        <w:spacing w:before="160" w:after="0"/>
        <w:jc w:val="left"/>
        <w:rPr>
          <w:rFonts w:ascii="Times New Roman;serif" w:hAnsi="Times New Roman;serif"/>
          <w:b/>
          <w:sz w:val="20"/>
        </w:rPr>
      </w:pPr>
      <w:r>
        <w:rPr>
          <w:rFonts w:ascii="Times New Roman;serif" w:hAnsi="Times New Roman;serif"/>
          <w:b/>
          <w:sz w:val="20"/>
        </w:rPr>
        <w:t>Note 3 – Short-Term Investments</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Short-term investments, principally U.S. Treasury bills, are available-for-sale and consisted of the following (in thousands):</w:t>
      </w:r>
    </w:p>
    <w:p>
      <w:pPr>
        <w:pStyle w:val="TextBody"/>
        <w:bidi w:val="0"/>
        <w:spacing w:before="0" w:after="0"/>
        <w:jc w:val="left"/>
        <w:rPr/>
      </w:pPr>
      <w:r>
        <w:rPr/>
        <w:t> </w:t>
      </w:r>
    </w:p>
    <w:tbl>
      <w:tblPr>
        <w:tblW w:w="8142" w:type="dxa"/>
        <w:jc w:val="left"/>
        <w:tblInd w:w="0" w:type="dxa"/>
        <w:tblLayout w:type="fixed"/>
        <w:tblCellMar>
          <w:top w:w="28" w:type="dxa"/>
          <w:left w:w="28" w:type="dxa"/>
          <w:bottom w:w="28" w:type="dxa"/>
          <w:right w:w="28" w:type="dxa"/>
        </w:tblCellMar>
      </w:tblPr>
      <w:tblGrid>
        <w:gridCol w:w="2011"/>
        <w:gridCol w:w="146"/>
        <w:gridCol w:w="301"/>
        <w:gridCol w:w="1124"/>
        <w:gridCol w:w="146"/>
        <w:gridCol w:w="146"/>
        <w:gridCol w:w="662"/>
        <w:gridCol w:w="1183"/>
        <w:gridCol w:w="166"/>
        <w:gridCol w:w="146"/>
        <w:gridCol w:w="408"/>
        <w:gridCol w:w="1512"/>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 2023</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 Net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3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0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138,340</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8142" w:type="dxa"/>
        <w:jc w:val="left"/>
        <w:tblInd w:w="0" w:type="dxa"/>
        <w:tblLayout w:type="fixed"/>
        <w:tblCellMar>
          <w:top w:w="28" w:type="dxa"/>
          <w:left w:w="28" w:type="dxa"/>
          <w:bottom w:w="28" w:type="dxa"/>
          <w:right w:w="28" w:type="dxa"/>
        </w:tblCellMar>
      </w:tblPr>
      <w:tblGrid>
        <w:gridCol w:w="2011"/>
        <w:gridCol w:w="146"/>
        <w:gridCol w:w="338"/>
        <w:gridCol w:w="1087"/>
        <w:gridCol w:w="146"/>
        <w:gridCol w:w="146"/>
        <w:gridCol w:w="662"/>
        <w:gridCol w:w="1183"/>
        <w:gridCol w:w="166"/>
        <w:gridCol w:w="146"/>
        <w:gridCol w:w="455"/>
        <w:gridCol w:w="1465"/>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94"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Amortized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Unrealized Loss, Net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9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Estimated 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3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93,968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160"/>
        <w:jc w:val="left"/>
        <w:rPr>
          <w:rFonts w:ascii="Times New Roman" w:hAnsi="Times New Roman"/>
          <w:sz w:val="20"/>
        </w:rPr>
      </w:pPr>
      <w:r>
        <w:rPr>
          <w:rFonts w:ascii="Times New Roman;serif" w:hAnsi="Times New Roman;serif"/>
          <w:b w:val="false"/>
          <w:sz w:val="20"/>
        </w:rPr>
        <w:t>All available-for-sale securities held as of June 30, 2023 and December 31, 2022</w:t>
      </w:r>
      <w:r>
        <w:rPr>
          <w:rFonts w:ascii="Times New Roman" w:hAnsi="Times New Roman"/>
          <w:sz w:val="20"/>
        </w:rPr>
        <w:t xml:space="preserve"> </w:t>
      </w:r>
      <w:r>
        <w:rPr>
          <w:rFonts w:ascii="Times New Roman;serif" w:hAnsi="Times New Roman;serif"/>
          <w:b w:val="false"/>
          <w:sz w:val="20"/>
        </w:rPr>
        <w:t>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pStyle w:val="TextBody"/>
        <w:bidi w:val="0"/>
        <w:spacing w:before="160" w:after="0"/>
        <w:jc w:val="left"/>
        <w:rPr>
          <w:rFonts w:ascii="Times New Roman;serif" w:hAnsi="Times New Roman;serif"/>
          <w:b/>
          <w:sz w:val="20"/>
        </w:rPr>
      </w:pPr>
      <w:r>
        <w:rPr>
          <w:rFonts w:ascii="Times New Roman;serif" w:hAnsi="Times New Roman;serif"/>
          <w:b/>
          <w:sz w:val="20"/>
        </w:rPr>
        <w:t>Note 4 – Inventories</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Inventories consisted of the following (in thousands):</w:t>
      </w:r>
    </w:p>
    <w:tbl>
      <w:tblPr>
        <w:tblW w:w="6732" w:type="dxa"/>
        <w:jc w:val="left"/>
        <w:tblInd w:w="0" w:type="dxa"/>
        <w:tblLayout w:type="fixed"/>
        <w:tblCellMar>
          <w:top w:w="28" w:type="dxa"/>
          <w:left w:w="28" w:type="dxa"/>
          <w:bottom w:w="28" w:type="dxa"/>
          <w:right w:w="28" w:type="dxa"/>
        </w:tblCellMar>
      </w:tblPr>
      <w:tblGrid>
        <w:gridCol w:w="3916"/>
        <w:gridCol w:w="146"/>
        <w:gridCol w:w="211"/>
        <w:gridCol w:w="676"/>
        <w:gridCol w:w="166"/>
        <w:gridCol w:w="146"/>
        <w:gridCol w:w="299"/>
        <w:gridCol w:w="961"/>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211" w:type="dxa"/>
            <w:tcBorders/>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Finished goods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7,757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6,408</w:t>
            </w:r>
          </w:p>
        </w:tc>
        <w:tc>
          <w:tcPr>
            <w:tcW w:w="2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Raw materials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6,494</w:t>
            </w:r>
          </w:p>
        </w:tc>
        <w:tc>
          <w:tcPr>
            <w:tcW w:w="2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Work-in-process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2,567</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18,344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15,469</w:t>
            </w:r>
          </w:p>
        </w:tc>
        <w:tc>
          <w:tcPr>
            <w:tcW w:w="211" w:type="dxa"/>
            <w:tcBorders/>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reserve for excess and obsolete inventory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9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14,835</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60"/>
        <w:jc w:val="left"/>
        <w:rPr>
          <w:rFonts w:ascii="Times New Roman" w:hAnsi="Times New Roman"/>
          <w:sz w:val="20"/>
        </w:rPr>
      </w:pPr>
      <w:r>
        <w:rPr>
          <w:rFonts w:ascii="Times New Roman;serif" w:hAnsi="Times New Roman;serif"/>
          <w:b w:val="false"/>
          <w:sz w:val="20"/>
        </w:rPr>
        <w:t>At June 30, 2023 and December 31, 2022, finished goods included $5.4</w:t>
      </w:r>
      <w:r>
        <w:rPr>
          <w:rFonts w:ascii="Times New Roman" w:hAnsi="Times New Roman"/>
          <w:sz w:val="20"/>
        </w:rPr>
        <w:t xml:space="preserve"> </w:t>
      </w:r>
      <w:r>
        <w:rPr>
          <w:rFonts w:ascii="Times New Roman;serif" w:hAnsi="Times New Roman;serif"/>
          <w:b w:val="false"/>
          <w:sz w:val="20"/>
        </w:rPr>
        <w:t>million and $2.8</w:t>
      </w:r>
      <w:r>
        <w:rPr>
          <w:rFonts w:ascii="Times New Roman" w:hAnsi="Times New Roman"/>
          <w:sz w:val="20"/>
        </w:rPr>
        <w:t xml:space="preserve"> </w:t>
      </w:r>
      <w:r>
        <w:rPr>
          <w:rFonts w:ascii="Times New Roman;serif" w:hAnsi="Times New Roman;serif"/>
          <w:b w:val="false"/>
          <w:sz w:val="20"/>
        </w:rPr>
        <w:t>million of inventory held on consignment at customer sites, respectively.</w:t>
      </w:r>
    </w:p>
    <w:p>
      <w:pPr>
        <w:pStyle w:val="TextBody"/>
        <w:bidi w:val="0"/>
        <w:spacing w:before="0" w:after="120"/>
        <w:jc w:val="left"/>
        <w:rPr>
          <w:rFonts w:ascii="Times New Roman;serif" w:hAnsi="Times New Roman;serif"/>
          <w:b/>
          <w:sz w:val="20"/>
        </w:rPr>
      </w:pPr>
      <w:r>
        <w:rPr>
          <w:rFonts w:ascii="Times New Roman;serif" w:hAnsi="Times New Roman;serif"/>
          <w:b/>
          <w:sz w:val="20"/>
        </w:rPr>
        <w:t>Note 5 – Fair Value Measurements</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table and disclosures for the periods presented below (in thousands) present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tbl>
      <w:tblPr>
        <w:tblW w:w="6003" w:type="dxa"/>
        <w:jc w:val="left"/>
        <w:tblInd w:w="0" w:type="dxa"/>
        <w:tblLayout w:type="fixed"/>
        <w:tblCellMar>
          <w:top w:w="28" w:type="dxa"/>
          <w:left w:w="28" w:type="dxa"/>
          <w:bottom w:w="28" w:type="dxa"/>
          <w:right w:w="28" w:type="dxa"/>
        </w:tblCellMar>
      </w:tblPr>
      <w:tblGrid>
        <w:gridCol w:w="2116"/>
        <w:gridCol w:w="146"/>
        <w:gridCol w:w="211"/>
        <w:gridCol w:w="571"/>
        <w:gridCol w:w="146"/>
        <w:gridCol w:w="146"/>
        <w:gridCol w:w="211"/>
        <w:gridCol w:w="781"/>
        <w:gridCol w:w="146"/>
        <w:gridCol w:w="146"/>
        <w:gridCol w:w="211"/>
        <w:gridCol w:w="781"/>
        <w:gridCol w:w="3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50"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June 30, 2023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I</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II</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391" w:type="dxa"/>
            <w:tcBorders/>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5,391</w:t>
            </w:r>
          </w:p>
        </w:tc>
        <w:tc>
          <w:tcPr>
            <w:tcW w:w="3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138,340</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11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 at fair value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5,391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143,731</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19</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5698" w:type="dxa"/>
        <w:jc w:val="left"/>
        <w:tblInd w:w="0" w:type="dxa"/>
        <w:tblLayout w:type="fixed"/>
        <w:tblCellMar>
          <w:top w:w="28" w:type="dxa"/>
          <w:left w:w="28" w:type="dxa"/>
          <w:bottom w:w="28" w:type="dxa"/>
          <w:right w:w="28" w:type="dxa"/>
        </w:tblCellMar>
      </w:tblPr>
      <w:tblGrid>
        <w:gridCol w:w="2116"/>
        <w:gridCol w:w="146"/>
        <w:gridCol w:w="211"/>
        <w:gridCol w:w="571"/>
        <w:gridCol w:w="146"/>
        <w:gridCol w:w="146"/>
        <w:gridCol w:w="211"/>
        <w:gridCol w:w="676"/>
        <w:gridCol w:w="146"/>
        <w:gridCol w:w="146"/>
        <w:gridCol w:w="211"/>
        <w:gridCol w:w="781"/>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45"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As of 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I</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Level II</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Money market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8,909</w:t>
            </w:r>
          </w:p>
        </w:tc>
        <w:tc>
          <w:tcPr>
            <w:tcW w:w="191" w:type="dxa"/>
            <w:tcBorders/>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U.S. Treasury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93,968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 at fair value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8,909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93,968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102,877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160"/>
        <w:jc w:val="left"/>
        <w:rPr>
          <w:rFonts w:ascii="Times New Roman;serif" w:hAnsi="Times New Roman;serif"/>
          <w:b/>
          <w:sz w:val="20"/>
        </w:rPr>
      </w:pPr>
      <w:r>
        <w:rPr>
          <w:rFonts w:ascii="Times New Roman;serif" w:hAnsi="Times New Roman;serif"/>
          <w:b/>
          <w:sz w:val="20"/>
        </w:rPr>
        <w:t>Note 6 – Term Loans</w:t>
      </w:r>
    </w:p>
    <w:p>
      <w:pPr>
        <w:pStyle w:val="TextBody"/>
        <w:bidi w:val="0"/>
        <w:spacing w:before="0" w:after="0"/>
        <w:jc w:val="left"/>
        <w:rPr>
          <w:rFonts w:ascii="Times New Roman;serif" w:hAnsi="Times New Roman;serif"/>
          <w:b/>
          <w:i/>
          <w:sz w:val="20"/>
        </w:rPr>
      </w:pPr>
      <w:r>
        <w:rPr>
          <w:rFonts w:ascii="Times New Roman;serif" w:hAnsi="Times New Roman;serif"/>
          <w:b/>
          <w:i/>
          <w:sz w:val="20"/>
        </w:rPr>
        <w:t>Refinancing and Payoff of Oxford Debt</w:t>
      </w:r>
    </w:p>
    <w:p>
      <w:pPr>
        <w:pStyle w:val="TextBody"/>
        <w:bidi w:val="0"/>
        <w:spacing w:before="120" w:after="160"/>
        <w:jc w:val="left"/>
        <w:rPr>
          <w:rFonts w:ascii="Times New Roman" w:hAnsi="Times New Roman"/>
          <w:sz w:val="20"/>
        </w:rPr>
      </w:pPr>
      <w:r>
        <w:rPr>
          <w:rFonts w:ascii="Times New Roman;serif" w:hAnsi="Times New Roman;serif"/>
          <w:b w:val="false"/>
          <w:sz w:val="20"/>
        </w:rPr>
        <w:t>On October 29, 2020, the Company and Oxford Finance LLC (“Oxford”), as collateral agent, and certain lenders (“Lenders”) entered into that certain Loan and Security Agreement, as amended by that certain Consent and First Amendment to Loan and Security Agreement, dated as of July 6, 2021, and that certain Second Amendment to Loan and Security Agreement, dated as of May 3, 2022 (the “May 2022 LSA”), pursuant to which the Lenders provided to us certain loans in accordance with the terms and conditions of the May 2022 LSA (such loans collectively, the “May 2022 Term Loan”).</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On June 30, 2023, the Company entered into a new Loan and Security Agreement (the “June 2023 LSA”) with Oxford as collateral agent and the lenders party thereto, pursuant to which the Company borrowed $20.0</w:t>
      </w:r>
      <w:r>
        <w:rPr>
          <w:rFonts w:ascii="Times New Roman" w:hAnsi="Times New Roman"/>
          <w:sz w:val="20"/>
        </w:rPr>
        <w:t xml:space="preserve"> </w:t>
      </w:r>
      <w:r>
        <w:rPr>
          <w:rFonts w:ascii="Times New Roman;serif" w:hAnsi="Times New Roman;serif"/>
          <w:b w:val="false"/>
          <w:sz w:val="20"/>
        </w:rPr>
        <w:t>million in aggregate Term A Loans (the “Term A Loans”). On that same date, the Company prepaid the May 2022 Term Loan in full using a combination of cash, primarily comprised of $19.4</w:t>
      </w:r>
      <w:r>
        <w:rPr>
          <w:rFonts w:ascii="Times New Roman" w:hAnsi="Times New Roman"/>
          <w:sz w:val="20"/>
        </w:rPr>
        <w:t xml:space="preserve"> </w:t>
      </w:r>
      <w:r>
        <w:rPr>
          <w:rFonts w:ascii="Times New Roman;serif" w:hAnsi="Times New Roman;serif"/>
          <w:b w:val="false"/>
          <w:sz w:val="20"/>
        </w:rPr>
        <w:t>million of net cash raised under the ATM Facility during the quarter ended June 30, 2023, $20.0</w:t>
      </w:r>
      <w:r>
        <w:rPr>
          <w:rFonts w:ascii="Times New Roman" w:hAnsi="Times New Roman"/>
          <w:sz w:val="20"/>
        </w:rPr>
        <w:t xml:space="preserve"> </w:t>
      </w:r>
      <w:r>
        <w:rPr>
          <w:rFonts w:ascii="Times New Roman;serif" w:hAnsi="Times New Roman;serif"/>
          <w:b w:val="false"/>
          <w:sz w:val="20"/>
        </w:rPr>
        <w:t>million in Term A Loans and $1.7</w:t>
      </w:r>
      <w:r>
        <w:rPr>
          <w:rFonts w:ascii="Times New Roman" w:hAnsi="Times New Roman"/>
          <w:sz w:val="20"/>
        </w:rPr>
        <w:t xml:space="preserve"> </w:t>
      </w:r>
      <w:r>
        <w:rPr>
          <w:rFonts w:ascii="Times New Roman;serif" w:hAnsi="Times New Roman;serif"/>
          <w:b w:val="false"/>
          <w:sz w:val="20"/>
        </w:rPr>
        <w:t>million in cash reserves.</w:t>
      </w:r>
    </w:p>
    <w:p>
      <w:pPr>
        <w:pStyle w:val="TextBody"/>
        <w:bidi w:val="0"/>
        <w:spacing w:before="120" w:after="160"/>
        <w:jc w:val="left"/>
        <w:rPr>
          <w:rFonts w:ascii="Times New Roman" w:hAnsi="Times New Roman"/>
          <w:sz w:val="20"/>
        </w:rPr>
      </w:pPr>
      <w:r>
        <w:rPr>
          <w:rFonts w:ascii="Times New Roman;serif" w:hAnsi="Times New Roman;serif"/>
          <w:b w:val="false"/>
          <w:sz w:val="20"/>
        </w:rPr>
        <w:t>On August 4, 2023, the Company prepaid the Term A Loans in full, including accrued interest and fees, using $11.9</w:t>
      </w:r>
      <w:r>
        <w:rPr>
          <w:rFonts w:ascii="Times New Roman" w:hAnsi="Times New Roman"/>
          <w:sz w:val="20"/>
        </w:rPr>
        <w:t xml:space="preserve"> </w:t>
      </w:r>
      <w:r>
        <w:rPr>
          <w:rFonts w:ascii="Times New Roman;serif" w:hAnsi="Times New Roman;serif"/>
          <w:b w:val="false"/>
          <w:sz w:val="20"/>
        </w:rPr>
        <w:t>million of cash, net, raised under the ATM Facility subsequent to June 30, 2023 and $9.3</w:t>
      </w:r>
      <w:r>
        <w:rPr>
          <w:rFonts w:ascii="Times New Roman" w:hAnsi="Times New Roman"/>
          <w:sz w:val="20"/>
        </w:rPr>
        <w:t xml:space="preserve"> </w:t>
      </w:r>
      <w:r>
        <w:rPr>
          <w:rFonts w:ascii="Times New Roman;serif" w:hAnsi="Times New Roman;serif"/>
          <w:b w:val="false"/>
          <w:sz w:val="20"/>
        </w:rPr>
        <w:t>million in cash reserves.</w:t>
      </w:r>
    </w:p>
    <w:p>
      <w:pPr>
        <w:pStyle w:val="TextBody"/>
        <w:bidi w:val="0"/>
        <w:spacing w:before="0" w:after="0"/>
        <w:jc w:val="left"/>
        <w:rPr>
          <w:rFonts w:ascii="Times New Roman;serif" w:hAnsi="Times New Roman;serif"/>
          <w:b/>
          <w:i/>
          <w:sz w:val="20"/>
        </w:rPr>
      </w:pPr>
      <w:r>
        <w:rPr>
          <w:rFonts w:ascii="Times New Roman;serif" w:hAnsi="Times New Roman;serif"/>
          <w:b/>
          <w:i/>
          <w:sz w:val="20"/>
        </w:rPr>
        <w:t>New Loan and Security Agreement</w:t>
      </w:r>
    </w:p>
    <w:p>
      <w:pPr>
        <w:pStyle w:val="TextBody"/>
        <w:bidi w:val="0"/>
        <w:spacing w:before="120" w:after="160"/>
        <w:jc w:val="left"/>
        <w:rPr>
          <w:rFonts w:ascii="Times New Roman" w:hAnsi="Times New Roman"/>
          <w:sz w:val="20"/>
        </w:rPr>
      </w:pPr>
      <w:r>
        <w:rPr>
          <w:rFonts w:ascii="Times New Roman;serif" w:hAnsi="Times New Roman;serif"/>
          <w:b w:val="false"/>
          <w:sz w:val="20"/>
        </w:rPr>
        <w:t>Under the June 2023 LSA, the Company may borrow additional term loans of up to $40.0</w:t>
      </w:r>
      <w:r>
        <w:rPr>
          <w:rFonts w:ascii="Times New Roman" w:hAnsi="Times New Roman"/>
          <w:sz w:val="20"/>
        </w:rPr>
        <w:t xml:space="preserve"> </w:t>
      </w:r>
      <w:r>
        <w:rPr>
          <w:rFonts w:ascii="Times New Roman;serif" w:hAnsi="Times New Roman;serif"/>
          <w:b w:val="false"/>
          <w:sz w:val="20"/>
        </w:rPr>
        <w:t>million in aggregate principal, in four tranches and subject to the Company achieving certain revenue milestones and satisfying customary conditions precedent (each a “Term Loan” and together with the Term A Loans, the “Loans”). For each such additional tranche of Term Loans, an unused term loan commitment fee equal to 1.00% of the total earned amount of such additional tranche will be due and payable on the earliest to occur of (a) the expiration of the draw period for such additional tranche, (b) the acceleration of any Term Loan during the draw period for such additional tranche or (c) the voluntary or mandatory prepayment of all of the Term Loans during the draw period for such additional tranche (including in each case, as a result of an event of default as defined in the June 2023 LSA during the draw period for such additional tranche).</w:t>
      </w:r>
    </w:p>
    <w:p>
      <w:pPr>
        <w:pStyle w:val="TextBody"/>
        <w:bidi w:val="0"/>
        <w:spacing w:before="120" w:after="160"/>
        <w:jc w:val="left"/>
        <w:rPr>
          <w:rFonts w:ascii="Times New Roman" w:hAnsi="Times New Roman"/>
          <w:sz w:val="20"/>
        </w:rPr>
      </w:pPr>
      <w:r>
        <w:rPr>
          <w:rFonts w:ascii="Times New Roman;serif" w:hAnsi="Times New Roman;serif"/>
          <w:b w:val="false"/>
          <w:sz w:val="20"/>
        </w:rPr>
        <w:t>Each Loan bears interest at a floating per annum rate equal to (a) the greater of (i) the 1-Month Term SOFR on the last business day of the month that immediately precedes the month in which the interest will accrue and (ii) 5.15%, plus (b) 6.35%; provided, in no event will the interest rate for any Loan be less than 11.50% per annum.</w:t>
      </w:r>
      <w:r>
        <w:rPr>
          <w:rFonts w:ascii="Times New Roman" w:hAnsi="Times New Roman"/>
          <w:sz w:val="20"/>
        </w:rPr>
        <w:t xml:space="preserve"> </w:t>
      </w:r>
      <w:r>
        <w:rPr>
          <w:rFonts w:ascii="Times New Roman;serif" w:hAnsi="Times New Roman;serif"/>
          <w:b w:val="false"/>
          <w:sz w:val="20"/>
        </w:rPr>
        <w:t>Upon any event of default as defined in the June 2023 LSA, the interest rate will increase to 5.0% above the applicable interest rate.</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Loans mature on June 1, 2028. Principal repayment will commence on August 1, 2026 in equal monthly installments of the outstanding Loan balance through the maturity date. If the Company is in compliance with its revenue covenant in the June 2023 LSA for each quarterly measuring date from June 30, 2023 through July 1, 2026 and if it has not elected to pledge its intellectual property as collateral security for the Loans before August 1, 2026, then principal repayment will begin on August 1, 2027.</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Loans and June 2023 LSA are secured by substantially all of the Company’s personal property other than the Company’s intellectual property. The Company also entered into a negative pledge arrangement with the collateral agent and lenders where the Company agreed not to encumber any of its intellectual property.</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 may elect to prepay the outstanding Loans, in whole but not in part, at any time. After August 31, 2024, the Company may also elect to prepay part of the outstanding Loans. Upon a voluntary or mandatory</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20</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prepayment of the Loans, the Company is required to pay the lenders’ expenses and all accrued but unpaid interest on the Loans through the prepayment date.</w:t>
      </w:r>
    </w:p>
    <w:p>
      <w:pPr>
        <w:pStyle w:val="TextBody"/>
        <w:bidi w:val="0"/>
        <w:spacing w:before="120" w:after="160"/>
        <w:jc w:val="left"/>
        <w:rPr>
          <w:rFonts w:ascii="Times New Roman" w:hAnsi="Times New Roman"/>
          <w:sz w:val="20"/>
        </w:rPr>
      </w:pPr>
      <w:r>
        <w:rPr>
          <w:rFonts w:ascii="Times New Roman;serif" w:hAnsi="Times New Roman;serif"/>
          <w:b w:val="false"/>
          <w:sz w:val="20"/>
        </w:rPr>
        <w:t>A final payment fee (“Final Payment Fee”) equal to 5.0% of the original principal amount of the Loans advanced will be due at the earlier of the maturity date, acceleration of the Loans, or a voluntary or mandatory prepayment of the Loans (including as a result of an event of default as defined in the June 2023 LSA). The Company paid $0.1</w:t>
      </w:r>
      <w:r>
        <w:rPr>
          <w:rFonts w:ascii="Times New Roman" w:hAnsi="Times New Roman"/>
          <w:sz w:val="20"/>
        </w:rPr>
        <w:t xml:space="preserve"> </w:t>
      </w:r>
      <w:r>
        <w:rPr>
          <w:rFonts w:ascii="Times New Roman;serif" w:hAnsi="Times New Roman;serif"/>
          <w:b w:val="false"/>
          <w:sz w:val="20"/>
        </w:rPr>
        <w:t>million in closing costs that are directly attributable to execution of the June 2023 LSA transaction. The Final Payment Fee and closing costs were accreted to the carrying value of the debt as a debt premium and are being amortized to interest expense over the life of the loan using the effective interest method.</w:t>
      </w:r>
    </w:p>
    <w:p>
      <w:pPr>
        <w:pStyle w:val="TextBody"/>
        <w:bidi w:val="0"/>
        <w:spacing w:before="120" w:after="160"/>
        <w:jc w:val="left"/>
        <w:rPr>
          <w:rFonts w:ascii="Times New Roman" w:hAnsi="Times New Roman"/>
          <w:sz w:val="20"/>
        </w:rPr>
      </w:pPr>
      <w:r>
        <w:rPr>
          <w:rFonts w:ascii="Times New Roman;serif" w:hAnsi="Times New Roman;serif"/>
          <w:b w:val="false"/>
          <w:sz w:val="20"/>
        </w:rPr>
        <w:t>The June 2023 LSA includes customary representations and covenants that, subject to exceptions and qualifications, restrict the Company’s ability to do the following things: engage in mergers, acquisitions, and asset sales; transact with affiliates; undergo a change in control; engage in businesses that are not related to the Company’s existing business; add or change business locations; incur additional indebtedness; incur additional liens; make loans and investments; declare dividends or redeem or repurchase equity interests; and make certain amendments or payments in respect of any subordinated debt. In addition, the June 2023 LSA contains customary affirmative covenants, including covenants regarding the payment of taxes and other obligations, maintenance of insurance, maintenance of the Company’s bank accounts, protection of the Company’s intellectual property, reporting requirements, compliance with applicable laws and regulations, and formation or acquisition of new subsidiaries. The June 2023 LSA also contains a performance to plan revenue covenant, unless the Company elects to grant a first priority security interest in its intellectual property to secure the Loans and Company’s obligations under the June 2023 LSA. The Company refers to its $60.0</w:t>
      </w:r>
      <w:r>
        <w:rPr>
          <w:rFonts w:ascii="Times New Roman" w:hAnsi="Times New Roman"/>
          <w:sz w:val="20"/>
        </w:rPr>
        <w:t xml:space="preserve"> </w:t>
      </w:r>
      <w:r>
        <w:rPr>
          <w:rFonts w:ascii="Times New Roman;serif" w:hAnsi="Times New Roman;serif"/>
          <w:b w:val="false"/>
          <w:sz w:val="20"/>
        </w:rPr>
        <w:t>million June 2023 LSA as its credit facility. The June 2023 LSA was recorded as a debt modification.</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Upon the occurrence and during the continuance of an event of default, the lenders may declare all outstanding principal, interest and other amounts under the June 2023 LSA immediately due and payable and may exercise the other rights and remedies provided for under the June 2023 LSA and related loan documents. The events of default under the June 2023 LSA include, subject to grace periods in certain instances, payment defaults, breaches of covenants or representations and warranties, a material adverse change as defined in the June 2023 LSA and with respect to certain governmental approvals, material judgments and attachments, bankruptcy and insolvency events with respect to the Company and its subsidiaries, defaults under other material indebtedness or subordinated debt, and delisting of the Company’s shares from the Nasdaq Global Market or a similar stock exchange.</w:t>
      </w:r>
    </w:p>
    <w:p>
      <w:pPr>
        <w:pStyle w:val="TextBody"/>
        <w:bidi w:val="0"/>
        <w:spacing w:before="0" w:after="0"/>
        <w:jc w:val="left"/>
        <w:rPr>
          <w:rFonts w:ascii="Times New Roman;serif" w:hAnsi="Times New Roman;serif"/>
          <w:b/>
          <w:i/>
          <w:sz w:val="20"/>
        </w:rPr>
      </w:pPr>
      <w:r>
        <w:rPr>
          <w:rFonts w:ascii="Times New Roman;serif" w:hAnsi="Times New Roman;serif"/>
          <w:b/>
          <w:i/>
          <w:sz w:val="20"/>
        </w:rPr>
        <w:t>May 2022 Term Loan</w:t>
      </w:r>
    </w:p>
    <w:p>
      <w:pPr>
        <w:pStyle w:val="TextBody"/>
        <w:bidi w:val="0"/>
        <w:spacing w:before="120" w:after="160"/>
        <w:jc w:val="left"/>
        <w:rPr>
          <w:rFonts w:ascii="Times New Roman" w:hAnsi="Times New Roman"/>
          <w:sz w:val="20"/>
        </w:rPr>
      </w:pPr>
      <w:r>
        <w:rPr>
          <w:rFonts w:ascii="Times New Roman;serif" w:hAnsi="Times New Roman;serif"/>
          <w:b w:val="false"/>
          <w:sz w:val="20"/>
        </w:rPr>
        <w:t>On May 3, 2022, the Company entered into the May 2022 Term Loan. The May 2022 Term Loan increased the loan and security agreement to $60.0</w:t>
      </w:r>
      <w:r>
        <w:rPr>
          <w:rFonts w:ascii="Times New Roman" w:hAnsi="Times New Roman"/>
          <w:sz w:val="20"/>
        </w:rPr>
        <w:t xml:space="preserve"> </w:t>
      </w:r>
      <w:r>
        <w:rPr>
          <w:rFonts w:ascii="Times New Roman;serif" w:hAnsi="Times New Roman;serif"/>
          <w:b w:val="false"/>
          <w:sz w:val="20"/>
        </w:rPr>
        <w:t>million, of which $40.0</w:t>
      </w:r>
      <w:r>
        <w:rPr>
          <w:rFonts w:ascii="Times New Roman" w:hAnsi="Times New Roman"/>
          <w:sz w:val="20"/>
        </w:rPr>
        <w:t xml:space="preserve"> </w:t>
      </w:r>
      <w:r>
        <w:rPr>
          <w:rFonts w:ascii="Times New Roman;serif" w:hAnsi="Times New Roman;serif"/>
          <w:b w:val="false"/>
          <w:sz w:val="20"/>
        </w:rPr>
        <w:t>million was fully funded as of May 3, 2022 from the original term loan. Under the May 2022 Term Loan, the Company could have borrowed an additional amount of up to $10.0</w:t>
      </w:r>
      <w:r>
        <w:rPr>
          <w:rFonts w:ascii="Times New Roman" w:hAnsi="Times New Roman"/>
          <w:sz w:val="20"/>
        </w:rPr>
        <w:t xml:space="preserve"> </w:t>
      </w:r>
      <w:r>
        <w:rPr>
          <w:rFonts w:ascii="Times New Roman;serif" w:hAnsi="Times New Roman;serif"/>
          <w:b w:val="false"/>
          <w:sz w:val="20"/>
        </w:rPr>
        <w:t>million through June 30, 2023, upon satisfaction of the applicable drawdown conditions and achievement of sufficient trailing twelve-month sales as provided in the agreement for the measurement period ending March 31, 2023. Subject to the terms and conditions of the May 2022 Term Loan, the Company could have borrowed an additional amount of up to $10.0</w:t>
      </w:r>
      <w:r>
        <w:rPr>
          <w:rFonts w:ascii="Times New Roman" w:hAnsi="Times New Roman"/>
          <w:sz w:val="20"/>
        </w:rPr>
        <w:t xml:space="preserve"> </w:t>
      </w:r>
      <w:r>
        <w:rPr>
          <w:rFonts w:ascii="Times New Roman;serif" w:hAnsi="Times New Roman;serif"/>
          <w:b w:val="false"/>
          <w:sz w:val="20"/>
        </w:rPr>
        <w:t>million through September 30, 2023, upon satisfaction of the applicable drawdown conditions and achievement of sufficient trailing twelve-month sales as provided in the agreement for the measurement period ending June 30, 2023. The May 2022 Term Loan bears interest at a rate per annum equal to the greater of (i) 9.25% or (ii) 1-Month Term Secured Overnight Financing Rate (“SOFR”) (or, if greater, 0.16%) plus an applicable margin of 9.09%. If there was an event of default under the May 2022 Term Loan additional interest of 5.0% applies.</w:t>
      </w:r>
      <w:r>
        <w:rPr>
          <w:rFonts w:ascii="Times New Roman" w:hAnsi="Times New Roman"/>
          <w:sz w:val="20"/>
        </w:rPr>
        <w:t xml:space="preserve"> </w:t>
      </w:r>
      <w:r>
        <w:rPr>
          <w:rFonts w:ascii="Times New Roman;serif" w:hAnsi="Times New Roman;serif"/>
          <w:b w:val="false"/>
          <w:sz w:val="20"/>
        </w:rPr>
        <w:t>The May 2022 Term Loan extended the maturity date of the loan and security agreement, which was due to expire on October 1, 2025, to February 1, 2027. The May 2022 Term Loan was recorded as a debt modification.</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May 2022 Term Loan was secured by substantially all of the Company's personal property other than its intellectual property, but includes any accounts receivable, other amounts owed and any proceeds of intellectual property. The Company also entered into a negative pledge arrangement with the collateral agent and lenders where the Company agreed not to encumber any of its intellectual property. The May 2022 Term Loan also included certain customary representations and warranties, affirmative and negative covenants, and events of default, including a financial performance-to-plan covenant that required the Company to achieve certain minimum net sales, measured on a trailing twelve-month basis.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21</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 w:hAnsi="Times New Roman"/>
          <w:sz w:val="20"/>
        </w:rPr>
      </w:pPr>
      <w:r>
        <w:rPr>
          <w:rFonts w:ascii="Times New Roman;serif" w:hAnsi="Times New Roman;serif"/>
          <w:b w:val="false"/>
          <w:sz w:val="20"/>
        </w:rPr>
        <w:t>The May 2022 Term Loan required 35 months of interest-only payments, followed by 22-months of principal and accrued interest payments. If the Company was in compliance with its performance-to-plan covenant through April 1, 2025 and had not provided an IP lien election notice before May 1, 2025, the interest-only period would have been extended by 12 months, and the amortization period would have been reduced to ten months. Payments were due on the first day of each month in arrears. All unpaid amounts under the May 2022 Term Loan were to mature on February 1, 2027.</w:t>
      </w:r>
      <w:r>
        <w:rPr>
          <w:rFonts w:ascii="Times New Roman" w:hAnsi="Times New Roman"/>
          <w:sz w:val="20"/>
        </w:rPr>
        <w:t xml:space="preserve"> </w:t>
      </w:r>
      <w:r>
        <w:rPr>
          <w:rFonts w:ascii="Times New Roman;serif" w:hAnsi="Times New Roman;serif"/>
          <w:b w:val="false"/>
          <w:sz w:val="20"/>
        </w:rPr>
        <w:t>The Company could have elected to prepay the loans under the credit facility at any time in full or in part; however, the Company could have elected to prepay the loans in part once, in an amount not less than $5.0</w:t>
      </w:r>
      <w:r>
        <w:rPr>
          <w:rFonts w:ascii="Times New Roman" w:hAnsi="Times New Roman"/>
          <w:sz w:val="20"/>
        </w:rPr>
        <w:t xml:space="preserve"> </w:t>
      </w:r>
      <w:r>
        <w:rPr>
          <w:rFonts w:ascii="Times New Roman;serif" w:hAnsi="Times New Roman;serif"/>
          <w:b w:val="false"/>
          <w:sz w:val="20"/>
        </w:rPr>
        <w:t xml:space="preserve">million. Any amounts prepaid may not be subsequently reborrowed. Under the May 2022 Term Loan, a final payment (“Final Payment”) would have been due at the earlier of the maturity date, acceleration of the loans, or a voluntary or mandatory prepayment of the loans, in an amount equal to (a) if the Final Payment is due on or after January 1, 2022 through and including October 31, 2022, three percent (3.00%) of the original principal amount of the loans (or, in the case of a partial prepayment, the amount of principal to be prepaid), (b) if the Final Payment is due on or after November 1, 2022 through and including October 31, 2023, four percent (4.00%) of the original principal amount of the loans (or, in the case of a partial prepayment, the amount of principal to be prepaid) and (c) if the Final Payment is due on or after November 1, 2023, five percent (5.00%) of the original principal amount of the loans (or, in the case of a partial prepayment, the amount of principal to be prepaid). The Company paid $0.1 million in loan amendment fees and other closing costs that are directly attributable to execution of the May 2022 Term Loan transaction. These issuance costs are recorded as a discount to the carrying amount of the debt and are being amortized, along with the unaccreted portion of the Final Payment and unamortized debt issuance costs from the original Term Loan, to interest expense over the expected term of the debt using the effective interest method.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As of June 30, 2023 and December 31, 2022, the Company was in compliance with the June 2023 LSA and May 2022 Term Loan covenants, respectively.</w:t>
      </w:r>
    </w:p>
    <w:p>
      <w:pPr>
        <w:pStyle w:val="TextBody"/>
        <w:bidi w:val="0"/>
        <w:spacing w:before="120" w:after="160"/>
        <w:jc w:val="left"/>
        <w:rPr>
          <w:rFonts w:ascii="Times New Roman" w:hAnsi="Times New Roman"/>
          <w:sz w:val="20"/>
        </w:rPr>
      </w:pPr>
      <w:r>
        <w:rPr>
          <w:rFonts w:ascii="Times New Roman;serif" w:hAnsi="Times New Roman;serif"/>
          <w:b w:val="false"/>
          <w:sz w:val="20"/>
        </w:rPr>
        <w:t>For the three and six months ended June 30, 2023 and 2022 the cash interest paid and effective interest rate on the June 2023 LSA and May 2022 Term Loan were as follows:</w:t>
      </w:r>
      <w:r>
        <w:rPr>
          <w:rFonts w:ascii="Times New Roman" w:hAnsi="Times New Roman"/>
          <w:sz w:val="20"/>
        </w:rPr>
        <w:t xml:space="preserve"> </w:t>
      </w:r>
    </w:p>
    <w:tbl>
      <w:tblPr>
        <w:tblW w:w="9307" w:type="dxa"/>
        <w:jc w:val="left"/>
        <w:tblInd w:w="0" w:type="dxa"/>
        <w:tblLayout w:type="fixed"/>
        <w:tblCellMar>
          <w:top w:w="28" w:type="dxa"/>
          <w:left w:w="28" w:type="dxa"/>
          <w:bottom w:w="28" w:type="dxa"/>
          <w:right w:w="28" w:type="dxa"/>
        </w:tblCellMar>
      </w:tblPr>
      <w:tblGrid>
        <w:gridCol w:w="1846"/>
        <w:gridCol w:w="281"/>
        <w:gridCol w:w="1100"/>
        <w:gridCol w:w="522"/>
        <w:gridCol w:w="281"/>
        <w:gridCol w:w="1100"/>
        <w:gridCol w:w="271"/>
        <w:gridCol w:w="146"/>
        <w:gridCol w:w="260"/>
        <w:gridCol w:w="1020"/>
        <w:gridCol w:w="484"/>
        <w:gridCol w:w="260"/>
        <w:gridCol w:w="1020"/>
        <w:gridCol w:w="716"/>
      </w:tblGrid>
      <w:tr>
        <w:trPr/>
        <w:tc>
          <w:tcPr>
            <w:tcW w:w="18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3284"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Three Months Ended June 30,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044"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pPr>
            <w:r>
              <w:rPr/>
              <w:t> </w:t>
            </w:r>
          </w:p>
        </w:tc>
        <w:tc>
          <w:tcPr>
            <w:tcW w:w="13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5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3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4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center"/>
              <w:rPr/>
            </w:pPr>
            <w:r>
              <w:rPr/>
              <w:t> </w:t>
            </w:r>
          </w:p>
        </w:tc>
      </w:tr>
      <w:tr>
        <w:trPr/>
        <w:tc>
          <w:tcPr>
            <w:tcW w:w="18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Cash interest paid</w:t>
            </w:r>
          </w:p>
        </w:tc>
        <w:tc>
          <w:tcPr>
            <w:tcW w:w="281"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14.07</w:t>
            </w:r>
          </w:p>
        </w:tc>
        <w:tc>
          <w:tcPr>
            <w:tcW w:w="5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1"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9.86</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13.85</w:t>
            </w:r>
          </w:p>
        </w:tc>
        <w:tc>
          <w:tcPr>
            <w:tcW w:w="4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0"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9.52</w:t>
            </w:r>
          </w:p>
        </w:tc>
        <w:tc>
          <w:tcPr>
            <w:tcW w:w="71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184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Effective interest rate</w:t>
            </w:r>
          </w:p>
        </w:tc>
        <w:tc>
          <w:tcPr>
            <w:tcW w:w="281"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15.48</w:t>
            </w:r>
          </w:p>
        </w:tc>
        <w:tc>
          <w:tcPr>
            <w:tcW w:w="52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81" w:type="dxa"/>
            <w:tcBorders/>
            <w:vAlign w:val="center"/>
          </w:tcPr>
          <w:p>
            <w:pPr>
              <w:pStyle w:val="TableContents"/>
              <w:bidi w:val="0"/>
              <w:spacing w:before="0" w:after="0"/>
              <w:ind w:left="0" w:right="0" w:hanging="0"/>
              <w:jc w:val="left"/>
              <w:rPr/>
            </w:pPr>
            <w:r>
              <w:rPr/>
              <w:t> </w:t>
            </w:r>
          </w:p>
        </w:tc>
        <w:tc>
          <w:tcPr>
            <w:tcW w:w="110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11.50</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48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0"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11.05</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160"/>
        <w:jc w:val="left"/>
        <w:rPr>
          <w:rFonts w:ascii="Times New Roman" w:hAnsi="Times New Roman"/>
          <w:sz w:val="20"/>
        </w:rPr>
      </w:pPr>
      <w:r>
        <w:rPr>
          <w:rFonts w:ascii="Times New Roman;serif" w:hAnsi="Times New Roman;serif"/>
          <w:b w:val="false"/>
          <w:sz w:val="20"/>
        </w:rPr>
        <w:t>As of June 30, 2023 future principal payments due under the June 2023 LSA were as follows (in thousands):</w:t>
      </w:r>
      <w:r>
        <w:rPr>
          <w:rFonts w:ascii="Times New Roman" w:hAnsi="Times New Roman"/>
          <w:sz w:val="20"/>
        </w:rPr>
        <w:t xml:space="preserve"> </w:t>
      </w:r>
    </w:p>
    <w:p>
      <w:pPr>
        <w:pStyle w:val="TextBody"/>
        <w:bidi w:val="0"/>
        <w:spacing w:before="0" w:after="0"/>
        <w:jc w:val="left"/>
        <w:rPr/>
      </w:pPr>
      <w:r>
        <w:rPr/>
        <w:t> </w:t>
      </w:r>
    </w:p>
    <w:tbl>
      <w:tblPr>
        <w:tblW w:w="5259" w:type="dxa"/>
        <w:jc w:val="left"/>
        <w:tblInd w:w="0" w:type="dxa"/>
        <w:tblLayout w:type="fixed"/>
        <w:tblCellMar>
          <w:top w:w="28" w:type="dxa"/>
          <w:left w:w="28" w:type="dxa"/>
          <w:bottom w:w="28" w:type="dxa"/>
          <w:right w:w="28" w:type="dxa"/>
        </w:tblCellMar>
      </w:tblPr>
      <w:tblGrid>
        <w:gridCol w:w="3781"/>
        <w:gridCol w:w="211"/>
        <w:gridCol w:w="676"/>
        <w:gridCol w:w="591"/>
      </w:tblGrid>
      <w:tr>
        <w:trPr/>
        <w:tc>
          <w:tcPr>
            <w:tcW w:w="3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Year Ended December 31,</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center"/>
              <w:rPr/>
            </w:pPr>
            <w:r>
              <w:rPr/>
              <w:t> </w:t>
            </w:r>
          </w:p>
        </w:tc>
      </w:tr>
      <w:tr>
        <w:trPr/>
        <w:tc>
          <w:tcPr>
            <w:tcW w:w="3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2023 (remainder)</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3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2024</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3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2025</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3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2026</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4,348</w:t>
            </w:r>
          </w:p>
        </w:tc>
        <w:tc>
          <w:tcPr>
            <w:tcW w:w="591" w:type="dxa"/>
            <w:tcBorders/>
            <w:vAlign w:val="center"/>
          </w:tcPr>
          <w:p>
            <w:pPr>
              <w:pStyle w:val="TableContents"/>
              <w:bidi w:val="0"/>
              <w:spacing w:before="0" w:after="0"/>
              <w:ind w:left="0" w:right="0" w:firstLine="400"/>
              <w:jc w:val="left"/>
              <w:rPr/>
            </w:pPr>
            <w:r>
              <w:rPr/>
              <w:t> </w:t>
            </w:r>
          </w:p>
        </w:tc>
      </w:tr>
      <w:tr>
        <w:trPr/>
        <w:tc>
          <w:tcPr>
            <w:tcW w:w="3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2027</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10,435</w:t>
            </w:r>
          </w:p>
        </w:tc>
        <w:tc>
          <w:tcPr>
            <w:tcW w:w="591" w:type="dxa"/>
            <w:tcBorders/>
            <w:vAlign w:val="center"/>
          </w:tcPr>
          <w:p>
            <w:pPr>
              <w:pStyle w:val="TableContents"/>
              <w:bidi w:val="0"/>
              <w:spacing w:before="0" w:after="0"/>
              <w:ind w:left="0" w:right="0" w:firstLine="400"/>
              <w:jc w:val="left"/>
              <w:rPr/>
            </w:pPr>
            <w:r>
              <w:rPr/>
              <w:t> </w:t>
            </w:r>
          </w:p>
        </w:tc>
      </w:tr>
      <w:tr>
        <w:trPr/>
        <w:tc>
          <w:tcPr>
            <w:tcW w:w="378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2028</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591" w:type="dxa"/>
            <w:tcBorders/>
            <w:vAlign w:val="center"/>
          </w:tcPr>
          <w:p>
            <w:pPr>
              <w:pStyle w:val="TableContents"/>
              <w:bidi w:val="0"/>
              <w:spacing w:before="0" w:after="0"/>
              <w:ind w:left="0" w:right="0" w:firstLine="200"/>
              <w:jc w:val="left"/>
              <w:rPr/>
            </w:pPr>
            <w:r>
              <w:rPr/>
              <w:t> </w:t>
            </w:r>
          </w:p>
        </w:tc>
      </w:tr>
      <w:tr>
        <w:trPr/>
        <w:tc>
          <w:tcPr>
            <w:tcW w:w="378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exit fee and unamortized issuance costs</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7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Term loan, net</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19,589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See Note 10 - Subsequent Events for further information.</w:t>
      </w:r>
    </w:p>
    <w:p>
      <w:pPr>
        <w:pStyle w:val="TextBody"/>
        <w:bidi w:val="0"/>
        <w:spacing w:before="120" w:after="160"/>
        <w:jc w:val="left"/>
        <w:rPr>
          <w:rFonts w:ascii="Times New Roman;serif" w:hAnsi="Times New Roman;serif"/>
          <w:b/>
          <w:sz w:val="20"/>
        </w:rPr>
      </w:pPr>
      <w:r>
        <w:rPr>
          <w:rFonts w:ascii="Times New Roman;serif" w:hAnsi="Times New Roman;serif"/>
          <w:b/>
          <w:sz w:val="20"/>
        </w:rPr>
        <w:t>Note 7 – Stock-Based Compensation Expense</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Company has three equity incentive compensation plans: the 2006 Plan, the 2015 Plan and the 2021 Plan.</w:t>
      </w:r>
    </w:p>
    <w:p>
      <w:pPr>
        <w:pStyle w:val="TextBody"/>
        <w:bidi w:val="0"/>
        <w:spacing w:before="0" w:after="0"/>
        <w:jc w:val="left"/>
        <w:rPr>
          <w:rFonts w:ascii="Times New Roman;serif" w:hAnsi="Times New Roman;serif"/>
          <w:b/>
          <w:i/>
          <w:sz w:val="20"/>
        </w:rPr>
      </w:pPr>
      <w:r>
        <w:rPr>
          <w:rFonts w:ascii="Times New Roman;serif" w:hAnsi="Times New Roman;serif"/>
          <w:b/>
          <w:i/>
          <w:sz w:val="20"/>
        </w:rPr>
        <w:t>2006 Plan</w:t>
      </w:r>
    </w:p>
    <w:p>
      <w:pPr>
        <w:pStyle w:val="TextBody"/>
        <w:bidi w:val="0"/>
        <w:spacing w:before="120" w:after="160"/>
        <w:jc w:val="left"/>
        <w:rPr>
          <w:rFonts w:ascii="Times New Roman" w:hAnsi="Times New Roman"/>
          <w:sz w:val="20"/>
        </w:rPr>
      </w:pPr>
      <w:r>
        <w:rPr>
          <w:rFonts w:ascii="Times New Roman;serif" w:hAnsi="Times New Roman;serif"/>
          <w:b w:val="false"/>
          <w:sz w:val="20"/>
        </w:rPr>
        <w:t>The 2006 Plan was originally adopted by the Board and approved by the Company’s stockholders in 2006. The 2006 Plan was terminated in 2015 in connection with the adoption of the 2015 Plan and as a result no new awards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22</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may be issued under the 2006 Plan. However, the 2006 Plan will continue to govern the terms and conditions of the outstanding awards previously granted under the 2006 Plan.</w:t>
      </w:r>
    </w:p>
    <w:p>
      <w:pPr>
        <w:pStyle w:val="TextBody"/>
        <w:bidi w:val="0"/>
        <w:spacing w:before="0" w:after="0"/>
        <w:jc w:val="left"/>
        <w:rPr>
          <w:rFonts w:ascii="Times New Roman;serif" w:hAnsi="Times New Roman;serif"/>
          <w:b/>
          <w:i/>
          <w:sz w:val="20"/>
        </w:rPr>
      </w:pPr>
      <w:r>
        <w:rPr>
          <w:rFonts w:ascii="Times New Roman;serif" w:hAnsi="Times New Roman;serif"/>
          <w:b/>
          <w:i/>
          <w:sz w:val="20"/>
        </w:rPr>
        <w:t>2015 Plan</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2015 Plan was originally adopted by the Board and approved by the Company’s stockholders in 2015. The 2015 Plan was most recently amended in March 2021. In July 2021, upon completion of the IPO, the 2015 Plan terminated immediately prior to effectiveness of the 2021 Plan with respect to the grant of future awards. However, the 2015 Plan will continue to govern the terms and conditions of the outstanding awards previously granted under the 2015 Plan.</w:t>
      </w:r>
    </w:p>
    <w:p>
      <w:pPr>
        <w:pStyle w:val="TextBody"/>
        <w:bidi w:val="0"/>
        <w:spacing w:before="0" w:after="0"/>
        <w:jc w:val="left"/>
        <w:rPr>
          <w:rFonts w:ascii="Times New Roman;serif" w:hAnsi="Times New Roman;serif"/>
          <w:b/>
          <w:i/>
          <w:sz w:val="20"/>
        </w:rPr>
      </w:pPr>
      <w:r>
        <w:rPr>
          <w:rFonts w:ascii="Times New Roman;serif" w:hAnsi="Times New Roman;serif"/>
          <w:b/>
          <w:i/>
          <w:sz w:val="20"/>
        </w:rPr>
        <w:t>2021 Plan</w:t>
      </w:r>
    </w:p>
    <w:p>
      <w:pPr>
        <w:pStyle w:val="TextBody"/>
        <w:bidi w:val="0"/>
        <w:spacing w:before="120" w:after="160"/>
        <w:jc w:val="left"/>
        <w:rPr>
          <w:rFonts w:ascii="Times New Roman" w:hAnsi="Times New Roman"/>
          <w:sz w:val="20"/>
        </w:rPr>
      </w:pPr>
      <w:r>
        <w:rPr>
          <w:rFonts w:ascii="Times New Roman;serif" w:hAnsi="Times New Roman;serif"/>
          <w:b w:val="false"/>
          <w:sz w:val="20"/>
        </w:rPr>
        <w:t>On July 28, 2021, the 2021 Plan was adopted and approved by the Board and stockholders prior to the IPO and became effective on the business day immediately prior to the effective date of the Company’s IPO registration statement.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 consultants. The number of shares of the Company’s common stock originally available for issuance under the 2021 Plan was equal to 2,420,135</w:t>
      </w:r>
      <w:r>
        <w:rPr>
          <w:rFonts w:ascii="Times New Roman" w:hAnsi="Times New Roman"/>
          <w:sz w:val="20"/>
        </w:rPr>
        <w:t xml:space="preserve"> </w:t>
      </w:r>
      <w:r>
        <w:rPr>
          <w:rFonts w:ascii="Times New Roman;serif" w:hAnsi="Times New Roman;serif"/>
          <w:b w:val="false"/>
          <w:sz w:val="20"/>
        </w:rPr>
        <w:t>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equal to 4,569,530</w:t>
      </w:r>
      <w:r>
        <w:rPr>
          <w:rFonts w:ascii="Times New Roman" w:hAnsi="Times New Roman"/>
          <w:sz w:val="20"/>
        </w:rPr>
        <w:t xml:space="preserve"> </w:t>
      </w:r>
      <w:r>
        <w:rPr>
          <w:rFonts w:ascii="Times New Roman;serif" w:hAnsi="Times New Roman;serif"/>
          <w:b w:val="false"/>
          <w:sz w:val="20"/>
        </w:rPr>
        <w:t>shares of common stock.</w:t>
      </w:r>
    </w:p>
    <w:p>
      <w:pPr>
        <w:pStyle w:val="TextBody"/>
        <w:bidi w:val="0"/>
        <w:spacing w:before="0" w:after="0"/>
        <w:jc w:val="left"/>
        <w:rPr>
          <w:rFonts w:ascii="Times New Roman;serif" w:hAnsi="Times New Roman;serif"/>
          <w:b/>
          <w:i/>
          <w:sz w:val="20"/>
        </w:rPr>
      </w:pPr>
      <w:r>
        <w:rPr>
          <w:rFonts w:ascii="Times New Roman;serif" w:hAnsi="Times New Roman;serif"/>
          <w:b/>
          <w:i/>
          <w:sz w:val="20"/>
        </w:rPr>
        <w:t>Evergreen provision</w:t>
      </w:r>
    </w:p>
    <w:p>
      <w:pPr>
        <w:pStyle w:val="TextBody"/>
        <w:bidi w:val="0"/>
        <w:spacing w:before="120" w:after="160"/>
        <w:jc w:val="left"/>
        <w:rPr>
          <w:rFonts w:ascii="Times New Roman" w:hAnsi="Times New Roman"/>
          <w:sz w:val="20"/>
        </w:rPr>
      </w:pPr>
      <w:r>
        <w:rPr>
          <w:rFonts w:ascii="Times New Roman;serif" w:hAnsi="Times New Roman;serif"/>
          <w:b w:val="false"/>
          <w:sz w:val="20"/>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w:t>
      </w:r>
      <w:r>
        <w:rPr>
          <w:rFonts w:ascii="Times New Roman" w:hAnsi="Times New Roman"/>
          <w:sz w:val="20"/>
        </w:rPr>
        <w:t xml:space="preserve"> </w:t>
      </w:r>
      <w:r>
        <w:rPr>
          <w:rFonts w:ascii="Times New Roman;serif" w:hAnsi="Times New Roman;serif"/>
          <w:b w:val="false"/>
          <w:sz w:val="20"/>
        </w:rPr>
        <w:t>shares of our common stock; (ii) 4% of the outstanding shares of our common stock on the last day of the immediately preceding fiscal year; or (iii) such lesser number of shares of our common stock as the administrator may determine. The 2021 Plan is administered by the Board. On January 1, 2022, the number of shares available under the 2021 Plan increased by 1,094,670</w:t>
      </w:r>
      <w:r>
        <w:rPr>
          <w:rFonts w:ascii="Times New Roman" w:hAnsi="Times New Roman"/>
          <w:sz w:val="20"/>
        </w:rPr>
        <w:t xml:space="preserve"> </w:t>
      </w:r>
      <w:r>
        <w:rPr>
          <w:rFonts w:ascii="Times New Roman;serif" w:hAnsi="Times New Roman;serif"/>
          <w:b w:val="false"/>
          <w:sz w:val="20"/>
        </w:rPr>
        <w:t>shares of common stock pursuant to this feature. On January 1, 2023, the number of shares available under the 2021 Plan further increased by 1,130,735</w:t>
      </w:r>
      <w:r>
        <w:rPr>
          <w:rFonts w:ascii="Times New Roman" w:hAnsi="Times New Roman"/>
          <w:sz w:val="20"/>
        </w:rPr>
        <w:t xml:space="preserve"> </w:t>
      </w:r>
      <w:r>
        <w:rPr>
          <w:rFonts w:ascii="Times New Roman;serif" w:hAnsi="Times New Roman;serif"/>
          <w:b w:val="false"/>
          <w:sz w:val="20"/>
        </w:rPr>
        <w:t>shares of common stock pursuant to this feature. As of June 30, 2023, the number of shares of the Company’s common stock available for future issuance under the 2021 Plan was equal to 431,050</w:t>
      </w:r>
      <w:r>
        <w:rPr>
          <w:rFonts w:ascii="Times New Roman" w:hAnsi="Times New Roman"/>
          <w:sz w:val="20"/>
        </w:rPr>
        <w:t xml:space="preserve"> </w:t>
      </w:r>
      <w:r>
        <w:rPr>
          <w:rFonts w:ascii="Times New Roman;serif" w:hAnsi="Times New Roman;serif"/>
          <w:b w:val="false"/>
          <w:sz w:val="20"/>
        </w:rPr>
        <w:t>shares of common stock</w:t>
      </w:r>
      <w:r>
        <w:rPr>
          <w:rFonts w:ascii="Times New Roman" w:hAnsi="Times New Roman"/>
          <w:sz w:val="20"/>
        </w:rPr>
        <w:t xml:space="preserve"> </w:t>
      </w:r>
    </w:p>
    <w:p>
      <w:pPr>
        <w:pStyle w:val="TextBody"/>
        <w:bidi w:val="0"/>
        <w:spacing w:before="0" w:after="0"/>
        <w:jc w:val="left"/>
        <w:rPr>
          <w:rFonts w:ascii="Times New Roman;serif" w:hAnsi="Times New Roman;serif"/>
          <w:b/>
          <w:i/>
          <w:sz w:val="20"/>
        </w:rPr>
      </w:pPr>
      <w:r>
        <w:rPr>
          <w:rFonts w:ascii="Times New Roman;serif" w:hAnsi="Times New Roman;serif"/>
          <w:b/>
          <w:i/>
          <w:sz w:val="20"/>
        </w:rPr>
        <w:t>2021 ESPP</w:t>
      </w:r>
    </w:p>
    <w:p>
      <w:pPr>
        <w:pStyle w:val="TextBody"/>
        <w:bidi w:val="0"/>
        <w:spacing w:before="120" w:after="160"/>
        <w:jc w:val="left"/>
        <w:rPr>
          <w:rFonts w:ascii="Times New Roman" w:hAnsi="Times New Roman"/>
          <w:sz w:val="20"/>
        </w:rPr>
      </w:pPr>
      <w:r>
        <w:rPr>
          <w:rFonts w:ascii="Times New Roman;serif" w:hAnsi="Times New Roman;serif"/>
          <w:b w:val="false"/>
          <w:sz w:val="20"/>
        </w:rPr>
        <w:t>On July 28, 2021, the Board and stockholders adopted and approved the 2021 ESPP. As of June 30, 2023, the number of shares of the Company’s common stock available for future issuance under the 2021 ESPP was equal to 614,472</w:t>
      </w:r>
      <w:r>
        <w:rPr>
          <w:rFonts w:ascii="Times New Roman" w:hAnsi="Times New Roman"/>
          <w:sz w:val="20"/>
        </w:rPr>
        <w:t xml:space="preserve"> </w:t>
      </w:r>
      <w:r>
        <w:rPr>
          <w:rFonts w:ascii="Times New Roman;serif" w:hAnsi="Times New Roman;serif"/>
          <w:b w:val="false"/>
          <w:sz w:val="20"/>
        </w:rPr>
        <w:t>shares of common stock.</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 The initial purchase period began on November 1, 2021.</w:t>
      </w:r>
    </w:p>
    <w:p>
      <w:pPr>
        <w:pStyle w:val="TextBody"/>
        <w:bidi w:val="0"/>
        <w:spacing w:before="120" w:after="160"/>
        <w:jc w:val="left"/>
        <w:rPr>
          <w:rFonts w:ascii="Times New Roman" w:hAnsi="Times New Roman"/>
          <w:sz w:val="20"/>
        </w:rPr>
      </w:pPr>
      <w:r>
        <w:rPr>
          <w:rFonts w:ascii="Times New Roman;serif" w:hAnsi="Times New Roman;serif"/>
          <w:b w:val="false"/>
          <w:sz w:val="20"/>
        </w:rPr>
        <w:br/>
      </w:r>
      <w:r>
        <w:rPr>
          <w:rFonts w:ascii="Times New Roman;serif" w:hAnsi="Times New Roman;serif"/>
          <w:b/>
          <w:i/>
          <w:sz w:val="20"/>
        </w:rPr>
        <w:t>Evergreen provision</w:t>
      </w:r>
    </w:p>
    <w:p>
      <w:pPr>
        <w:pStyle w:val="TextBody"/>
        <w:bidi w:val="0"/>
        <w:spacing w:before="120" w:after="160"/>
        <w:jc w:val="left"/>
        <w:rPr>
          <w:rFonts w:ascii="Times New Roman" w:hAnsi="Times New Roman"/>
          <w:sz w:val="20"/>
        </w:rPr>
      </w:pPr>
      <w:r>
        <w:rPr>
          <w:rFonts w:ascii="Times New Roman;serif" w:hAnsi="Times New Roman;serif"/>
          <w:b w:val="false"/>
          <w:sz w:val="20"/>
        </w:rPr>
        <w:t>The number of common shares reserved for issuance under the 2021 ESPP plan will be increased automatically on the first day of each fiscal year beginning with the 2022 fiscal year, by a number equal to the least of: (i) 1,452,081</w:t>
      </w:r>
      <w:r>
        <w:rPr>
          <w:rFonts w:ascii="Times New Roman" w:hAnsi="Times New Roman"/>
          <w:sz w:val="20"/>
        </w:rPr>
        <w:t xml:space="preserve"> </w:t>
      </w:r>
      <w:r>
        <w:rPr>
          <w:rFonts w:ascii="Times New Roman;serif" w:hAnsi="Times New Roman;serif"/>
          <w:b w:val="false"/>
          <w:sz w:val="20"/>
        </w:rPr>
        <w:t>shares; (ii) 1% of the outstanding shares of our common stock on the last day of the immediately preceding fiscal year; or (iii) such other amount as the administrator may determine. The 2021 ESPP is administered by the Board. On January 1, 2022, the number of shares available under the 2021 ESPP increased by 273,667</w:t>
      </w:r>
      <w:r>
        <w:rPr>
          <w:rFonts w:ascii="Times New Roman" w:hAnsi="Times New Roman"/>
          <w:sz w:val="20"/>
        </w:rPr>
        <w:t xml:space="preserve"> </w:t>
      </w:r>
      <w:r>
        <w:rPr>
          <w:rFonts w:ascii="Times New Roman;serif" w:hAnsi="Times New Roman;serif"/>
          <w:b w:val="false"/>
          <w:sz w:val="20"/>
        </w:rPr>
        <w:t>shares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23</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of common stock pursuant to this feature. No additional shares were reserved for issuance on January 1, 2023 pursuant to this feature.</w:t>
      </w:r>
    </w:p>
    <w:p>
      <w:pPr>
        <w:pStyle w:val="TextBody"/>
        <w:bidi w:val="0"/>
        <w:spacing w:before="0" w:after="0"/>
        <w:jc w:val="left"/>
        <w:rPr>
          <w:rFonts w:ascii="Times New Roman;serif" w:hAnsi="Times New Roman;serif"/>
          <w:b/>
          <w:i/>
          <w:sz w:val="20"/>
        </w:rPr>
      </w:pPr>
      <w:r>
        <w:rPr>
          <w:rFonts w:ascii="Times New Roman;serif" w:hAnsi="Times New Roman;serif"/>
          <w:b/>
          <w:i/>
          <w:sz w:val="20"/>
        </w:rPr>
        <w:t>Stock-Based Compensation Expense</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pStyle w:val="TextBody"/>
        <w:bidi w:val="0"/>
        <w:spacing w:before="120" w:after="160"/>
        <w:jc w:val="left"/>
        <w:rPr>
          <w:rFonts w:ascii="Times New Roman" w:hAnsi="Times New Roman"/>
          <w:sz w:val="20"/>
        </w:rPr>
      </w:pPr>
      <w:r>
        <w:rPr>
          <w:rFonts w:ascii="Times New Roman;serif" w:hAnsi="Times New Roman;serif"/>
          <w:b w:val="false"/>
          <w:sz w:val="20"/>
        </w:rPr>
        <w:t>Stock option awards are granted with an exercise price of no less than 100% of estimated fair market value on the date of grant. Time based awards generally vest over four years</w:t>
      </w:r>
      <w:r>
        <w:rPr>
          <w:rFonts w:ascii="Times New Roman;serif" w:hAnsi="Times New Roman;serif"/>
          <w:sz w:val="20"/>
        </w:rPr>
        <w:t xml:space="preserve"> </w:t>
      </w:r>
      <w:r>
        <w:rPr>
          <w:rFonts w:ascii="Times New Roman;serif" w:hAnsi="Times New Roman;serif"/>
          <w:b w:val="false"/>
          <w:sz w:val="20"/>
        </w:rPr>
        <w:t>as follows, subject to the optionee’s continuing service: (i) one fourth of the total number of shares vest and become exercisable on the one-year anniversary; 1/48th of the total number of shares subject to the option vest and become exercisable on each monthly anniversary thereafter for the remaining three years, or (ii) 1/48th of the total number of shares subject to the option vest and become exercisable each month over four years.</w:t>
        <w:br/>
      </w:r>
      <w:r>
        <w:rPr>
          <w:rFonts w:ascii="Times New Roman" w:hAnsi="Times New Roman"/>
          <w:sz w:val="20"/>
        </w:rPr>
        <w:t> </w:t>
      </w:r>
    </w:p>
    <w:p>
      <w:pPr>
        <w:pStyle w:val="TextBody"/>
        <w:bidi w:val="0"/>
        <w:spacing w:before="120" w:after="160"/>
        <w:jc w:val="left"/>
        <w:rPr>
          <w:rFonts w:ascii="Times New Roman" w:hAnsi="Times New Roman"/>
          <w:sz w:val="20"/>
        </w:rPr>
      </w:pPr>
      <w:r>
        <w:rPr>
          <w:rFonts w:ascii="Times New Roman;serif" w:hAnsi="Times New Roman;serif"/>
          <w:b w:val="false"/>
          <w:sz w:val="20"/>
        </w:rPr>
        <w:t>A summary of the stock option activities related to the Equity Plans for the</w:t>
      </w:r>
      <w:r>
        <w:rPr>
          <w:rFonts w:ascii="Times New Roman" w:hAnsi="Times New Roman"/>
          <w:sz w:val="20"/>
        </w:rPr>
        <w:t xml:space="preserve"> </w:t>
      </w:r>
      <w:r>
        <w:rPr>
          <w:rFonts w:ascii="Times New Roman;serif" w:hAnsi="Times New Roman;serif"/>
          <w:b w:val="false"/>
          <w:sz w:val="20"/>
        </w:rPr>
        <w:t>six months ended June 30, 2023 is presented below:</w:t>
      </w:r>
    </w:p>
    <w:p>
      <w:pPr>
        <w:pStyle w:val="TextBody"/>
        <w:bidi w:val="0"/>
        <w:spacing w:before="0" w:after="0"/>
        <w:jc w:val="left"/>
        <w:rPr/>
      </w:pPr>
      <w:r>
        <w:rPr/>
        <w:t> </w:t>
      </w:r>
    </w:p>
    <w:tbl>
      <w:tblPr>
        <w:tblW w:w="8194" w:type="dxa"/>
        <w:jc w:val="left"/>
        <w:tblInd w:w="0" w:type="dxa"/>
        <w:tblLayout w:type="fixed"/>
        <w:tblCellMar>
          <w:top w:w="28" w:type="dxa"/>
          <w:left w:w="28" w:type="dxa"/>
          <w:bottom w:w="28" w:type="dxa"/>
          <w:right w:w="28" w:type="dxa"/>
        </w:tblCellMar>
      </w:tblPr>
      <w:tblGrid>
        <w:gridCol w:w="3491"/>
        <w:gridCol w:w="146"/>
        <w:gridCol w:w="146"/>
        <w:gridCol w:w="225"/>
        <w:gridCol w:w="1275"/>
        <w:gridCol w:w="166"/>
        <w:gridCol w:w="146"/>
        <w:gridCol w:w="220"/>
        <w:gridCol w:w="576"/>
        <w:gridCol w:w="146"/>
        <w:gridCol w:w="146"/>
        <w:gridCol w:w="339"/>
        <w:gridCol w:w="981"/>
        <w:gridCol w:w="191"/>
      </w:tblGrid>
      <w:tr>
        <w:trPr/>
        <w:tc>
          <w:tcPr>
            <w:tcW w:w="3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 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3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Avg</w:t>
              <w:br/>
              <w:t>Remaining</w:t>
              <w:br/>
              <w:t>Contractual Life</w:t>
              <w:br/>
              <w:t>(Years)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9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Options outstanding as of December 31, 2022</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6,339,558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6.48</w:t>
            </w:r>
          </w:p>
        </w:tc>
        <w:tc>
          <w:tcPr>
            <w:tcW w:w="191" w:type="dxa"/>
            <w:tcBorders/>
            <w:vAlign w:val="center"/>
          </w:tcPr>
          <w:p>
            <w:pPr>
              <w:pStyle w:val="TableContents"/>
              <w:bidi w:val="0"/>
              <w:spacing w:before="0" w:after="0"/>
              <w:ind w:left="0" w:right="0" w:hanging="0"/>
              <w:jc w:val="left"/>
              <w:rPr/>
            </w:pPr>
            <w:r>
              <w:rPr/>
              <w:t> </w:t>
            </w:r>
          </w:p>
        </w:tc>
      </w:tr>
      <w:tr>
        <w:trPr/>
        <w:tc>
          <w:tcPr>
            <w:tcW w:w="34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Granted</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1,315,591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4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(415,456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4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(88,582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4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Expired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(62,392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2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34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Options outstanding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7,088,719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6.84</w:t>
            </w:r>
          </w:p>
        </w:tc>
        <w:tc>
          <w:tcPr>
            <w:tcW w:w="191" w:type="dxa"/>
            <w:tcBorders/>
            <w:vAlign w:val="center"/>
          </w:tcPr>
          <w:p>
            <w:pPr>
              <w:pStyle w:val="TableContents"/>
              <w:bidi w:val="0"/>
              <w:spacing w:before="0" w:after="0"/>
              <w:ind w:left="0" w:right="0" w:hanging="0"/>
              <w:jc w:val="left"/>
              <w:rPr/>
            </w:pPr>
            <w:r>
              <w:rPr/>
              <w:t> </w:t>
            </w:r>
          </w:p>
        </w:tc>
      </w:tr>
      <w:tr>
        <w:trPr/>
        <w:tc>
          <w:tcPr>
            <w:tcW w:w="349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Exercisable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4,016,925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7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8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5.30</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160"/>
        <w:jc w:val="left"/>
        <w:rPr>
          <w:rFonts w:ascii="Times New Roman" w:hAnsi="Times New Roman"/>
          <w:sz w:val="20"/>
        </w:rPr>
      </w:pPr>
      <w:r>
        <w:rPr>
          <w:rFonts w:ascii="Times New Roman;serif" w:hAnsi="Times New Roman;serif"/>
          <w:b w:val="false"/>
          <w:sz w:val="20"/>
        </w:rPr>
        <w:t>As of June 30, 2023 and December 31, 2022</w:t>
      </w:r>
      <w:r>
        <w:rPr>
          <w:rFonts w:ascii="Times New Roman" w:hAnsi="Times New Roman"/>
          <w:sz w:val="20"/>
        </w:rPr>
        <w:t xml:space="preserve"> </w:t>
      </w:r>
      <w:r>
        <w:rPr>
          <w:rFonts w:ascii="Times New Roman;serif" w:hAnsi="Times New Roman;serif"/>
          <w:b w:val="false"/>
          <w:sz w:val="20"/>
        </w:rPr>
        <w:t>the intrinsic value of options vested was $70.5</w:t>
      </w:r>
      <w:r>
        <w:rPr>
          <w:rFonts w:ascii="Times New Roman" w:hAnsi="Times New Roman"/>
          <w:sz w:val="20"/>
        </w:rPr>
        <w:t xml:space="preserve"> </w:t>
      </w:r>
      <w:r>
        <w:rPr>
          <w:rFonts w:ascii="Times New Roman;serif" w:hAnsi="Times New Roman;serif"/>
          <w:b w:val="false"/>
          <w:sz w:val="20"/>
        </w:rPr>
        <w:t>million and $15.9</w:t>
      </w:r>
      <w:r>
        <w:rPr>
          <w:rFonts w:ascii="Times New Roman" w:hAnsi="Times New Roman"/>
          <w:sz w:val="20"/>
        </w:rPr>
        <w:t xml:space="preserve"> </w:t>
      </w:r>
      <w:r>
        <w:rPr>
          <w:rFonts w:ascii="Times New Roman;serif" w:hAnsi="Times New Roman;serif"/>
          <w:b w:val="false"/>
          <w:sz w:val="20"/>
        </w:rPr>
        <w:t>million, respectively, and of all options outstanding was $114.7</w:t>
      </w:r>
      <w:r>
        <w:rPr>
          <w:rFonts w:ascii="Times New Roman" w:hAnsi="Times New Roman"/>
          <w:sz w:val="20"/>
        </w:rPr>
        <w:t xml:space="preserve"> </w:t>
      </w:r>
      <w:r>
        <w:rPr>
          <w:rFonts w:ascii="Times New Roman;serif" w:hAnsi="Times New Roman;serif"/>
          <w:b w:val="false"/>
          <w:sz w:val="20"/>
        </w:rPr>
        <w:t>million and $16.4</w:t>
      </w:r>
      <w:r>
        <w:rPr>
          <w:rFonts w:ascii="Times New Roman" w:hAnsi="Times New Roman"/>
          <w:sz w:val="20"/>
        </w:rPr>
        <w:t xml:space="preserve"> </w:t>
      </w:r>
      <w:r>
        <w:rPr>
          <w:rFonts w:ascii="Times New Roman;serif" w:hAnsi="Times New Roman;serif"/>
          <w:b w:val="false"/>
          <w:sz w:val="20"/>
        </w:rPr>
        <w:t>million, respectively. During the six months ended June 30, 2023 and 2022, the total cash received from the exercise of stock options was $3.4</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respectively. The total fair value less strike price of these options was $5.2</w:t>
      </w:r>
      <w:r>
        <w:rPr>
          <w:rFonts w:ascii="Times New Roman" w:hAnsi="Times New Roman"/>
          <w:sz w:val="20"/>
        </w:rPr>
        <w:t xml:space="preserve"> </w:t>
      </w:r>
      <w:r>
        <w:rPr>
          <w:rFonts w:ascii="Times New Roman;serif" w:hAnsi="Times New Roman;serif"/>
          <w:b w:val="false"/>
          <w:sz w:val="20"/>
        </w:rPr>
        <w:t>million and $1.2</w:t>
      </w:r>
      <w:r>
        <w:rPr>
          <w:rFonts w:ascii="Times New Roman" w:hAnsi="Times New Roman"/>
          <w:sz w:val="20"/>
        </w:rPr>
        <w:t xml:space="preserve"> </w:t>
      </w:r>
      <w:r>
        <w:rPr>
          <w:rFonts w:ascii="Times New Roman;serif" w:hAnsi="Times New Roman;serif"/>
          <w:b w:val="false"/>
          <w:sz w:val="20"/>
        </w:rPr>
        <w:t>million, respectively.</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A summary of non-vested restricted stock unit activities for the six months ended June 30, 2023 is as follows:</w:t>
      </w:r>
    </w:p>
    <w:tbl>
      <w:tblPr>
        <w:tblW w:w="5138" w:type="dxa"/>
        <w:jc w:val="left"/>
        <w:tblInd w:w="0" w:type="dxa"/>
        <w:tblLayout w:type="fixed"/>
        <w:tblCellMar>
          <w:top w:w="28" w:type="dxa"/>
          <w:left w:w="28" w:type="dxa"/>
          <w:bottom w:w="28" w:type="dxa"/>
          <w:right w:w="28" w:type="dxa"/>
        </w:tblCellMar>
      </w:tblPr>
      <w:tblGrid>
        <w:gridCol w:w="2501"/>
        <w:gridCol w:w="146"/>
        <w:gridCol w:w="146"/>
        <w:gridCol w:w="146"/>
        <w:gridCol w:w="751"/>
        <w:gridCol w:w="166"/>
        <w:gridCol w:w="146"/>
        <w:gridCol w:w="261"/>
        <w:gridCol w:w="684"/>
        <w:gridCol w:w="191"/>
      </w:tblGrid>
      <w:tr>
        <w:trPr/>
        <w:tc>
          <w:tcPr>
            <w:tcW w:w="2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91" w:type="dxa"/>
            <w:tcBorders/>
            <w:vAlign w:val="center"/>
          </w:tcPr>
          <w:p>
            <w:pPr>
              <w:pStyle w:val="TableContents"/>
              <w:bidi w:val="0"/>
              <w:spacing w:before="0" w:after="0"/>
              <w:ind w:left="0" w:right="0" w:hanging="0"/>
              <w:jc w:val="center"/>
              <w:rPr/>
            </w:pPr>
            <w:r>
              <w:rPr/>
              <w:t> </w:t>
            </w:r>
          </w:p>
        </w:tc>
      </w:tr>
      <w:tr>
        <w:trPr/>
        <w:tc>
          <w:tcPr>
            <w:tcW w:w="2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91" w:type="dxa"/>
            <w:tcBorders/>
            <w:vAlign w:val="center"/>
          </w:tcPr>
          <w:p>
            <w:pPr>
              <w:pStyle w:val="TableContents"/>
              <w:bidi w:val="0"/>
              <w:spacing w:before="0" w:after="0"/>
              <w:ind w:left="0" w:right="0" w:hanging="0"/>
              <w:jc w:val="center"/>
              <w:rPr/>
            </w:pPr>
            <w:r>
              <w:rPr/>
              <w:t> </w:t>
            </w:r>
          </w:p>
        </w:tc>
      </w:tr>
      <w:tr>
        <w:trPr/>
        <w:tc>
          <w:tcPr>
            <w:tcW w:w="2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9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191" w:type="dxa"/>
            <w:tcBorders/>
            <w:vAlign w:val="center"/>
          </w:tcPr>
          <w:p>
            <w:pPr>
              <w:pStyle w:val="TableContents"/>
              <w:bidi w:val="0"/>
              <w:spacing w:before="0" w:after="0"/>
              <w:ind w:left="0" w:right="0" w:hanging="0"/>
              <w:jc w:val="center"/>
              <w:rPr/>
            </w:pPr>
            <w:r>
              <w:rPr/>
              <w:t> </w:t>
            </w:r>
          </w:p>
        </w:tc>
      </w:tr>
      <w:tr>
        <w:trPr/>
        <w:tc>
          <w:tcPr>
            <w:tcW w:w="2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8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9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5"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501" w:type="dxa"/>
            <w:tcBorders/>
            <w:vAlign w:val="center"/>
          </w:tcPr>
          <w:p>
            <w:pPr>
              <w:pStyle w:val="TableContents"/>
              <w:bidi w:val="0"/>
              <w:spacing w:before="0" w:after="0"/>
              <w:ind w:left="0" w:right="0" w:firstLine="100"/>
              <w:jc w:val="left"/>
              <w:rPr>
                <w:rFonts w:ascii="Times New Roman;serif" w:hAnsi="Times New Roman;serif"/>
                <w:b w:val="false"/>
                <w:sz w:val="18"/>
              </w:rPr>
            </w:pPr>
            <w:r>
              <w:rPr>
                <w:rFonts w:ascii="Times New Roman;serif" w:hAnsi="Times New Roman;serif"/>
                <w:b w:val="false"/>
                <w:sz w:val="18"/>
              </w:rPr>
              <w:t>Unvested at December 31, 2022</w:t>
            </w:r>
          </w:p>
        </w:tc>
        <w:tc>
          <w:tcPr>
            <w:tcW w:w="146" w:type="dxa"/>
            <w:tcBorders/>
            <w:vAlign w:val="center"/>
          </w:tcPr>
          <w:p>
            <w:pPr>
              <w:pStyle w:val="TableContents"/>
              <w:bidi w:val="0"/>
              <w:spacing w:before="0" w:after="0"/>
              <w:ind w:left="1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492,862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15.08</w:t>
            </w:r>
          </w:p>
        </w:tc>
        <w:tc>
          <w:tcPr>
            <w:tcW w:w="191" w:type="dxa"/>
            <w:tcBorders/>
            <w:vAlign w:val="center"/>
          </w:tcPr>
          <w:p>
            <w:pPr>
              <w:pStyle w:val="TableContents"/>
              <w:bidi w:val="0"/>
              <w:spacing w:before="0" w:after="0"/>
              <w:ind w:left="0" w:right="0" w:hanging="0"/>
              <w:jc w:val="left"/>
              <w:rPr/>
            </w:pPr>
            <w:r>
              <w:rPr/>
              <w:t> </w:t>
            </w:r>
          </w:p>
        </w:tc>
      </w:tr>
      <w:tr>
        <w:trPr/>
        <w:tc>
          <w:tcPr>
            <w:tcW w:w="25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Granted</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430,926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16.00</w:t>
            </w:r>
          </w:p>
        </w:tc>
        <w:tc>
          <w:tcPr>
            <w:tcW w:w="191" w:type="dxa"/>
            <w:tcBorders/>
            <w:vAlign w:val="center"/>
          </w:tcPr>
          <w:p>
            <w:pPr>
              <w:pStyle w:val="TableContents"/>
              <w:bidi w:val="0"/>
              <w:spacing w:before="0" w:after="0"/>
              <w:ind w:left="0" w:right="0" w:hanging="0"/>
              <w:jc w:val="left"/>
              <w:rPr/>
            </w:pPr>
            <w:r>
              <w:rPr/>
              <w:t> </w:t>
            </w:r>
          </w:p>
        </w:tc>
      </w:tr>
      <w:tr>
        <w:trPr/>
        <w:tc>
          <w:tcPr>
            <w:tcW w:w="25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Vested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(144,234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14.43</w:t>
            </w:r>
          </w:p>
        </w:tc>
        <w:tc>
          <w:tcPr>
            <w:tcW w:w="191" w:type="dxa"/>
            <w:tcBorders/>
            <w:vAlign w:val="center"/>
          </w:tcPr>
          <w:p>
            <w:pPr>
              <w:pStyle w:val="TableContents"/>
              <w:bidi w:val="0"/>
              <w:spacing w:before="0" w:after="0"/>
              <w:ind w:left="0" w:right="0" w:hanging="0"/>
              <w:jc w:val="left"/>
              <w:rPr/>
            </w:pPr>
            <w:r>
              <w:rPr/>
              <w:t> </w:t>
            </w:r>
          </w:p>
        </w:tc>
      </w:tr>
      <w:tr>
        <w:trPr/>
        <w:tc>
          <w:tcPr>
            <w:tcW w:w="25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Forfeited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(6,105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15.12</w:t>
            </w:r>
          </w:p>
        </w:tc>
        <w:tc>
          <w:tcPr>
            <w:tcW w:w="191" w:type="dxa"/>
            <w:tcBorders/>
            <w:vAlign w:val="center"/>
          </w:tcPr>
          <w:p>
            <w:pPr>
              <w:pStyle w:val="TableContents"/>
              <w:bidi w:val="0"/>
              <w:spacing w:before="0" w:after="0"/>
              <w:ind w:left="0" w:right="0" w:hanging="0"/>
              <w:jc w:val="left"/>
              <w:rPr/>
            </w:pPr>
            <w:r>
              <w:rPr/>
              <w:t> </w:t>
            </w:r>
          </w:p>
        </w:tc>
      </w:tr>
      <w:tr>
        <w:trPr/>
        <w:tc>
          <w:tcPr>
            <w:tcW w:w="250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Unvested at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773,449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15.72</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24</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Stock-based compensation expense was classified in the accompanying condensed consolidated statements of operations and comprehensive income (loss) as follows (in thousands):</w:t>
      </w:r>
    </w:p>
    <w:tbl>
      <w:tblPr>
        <w:tblW w:w="7917" w:type="dxa"/>
        <w:jc w:val="left"/>
        <w:tblInd w:w="0" w:type="dxa"/>
        <w:tblLayout w:type="fixed"/>
        <w:tblCellMar>
          <w:top w:w="28" w:type="dxa"/>
          <w:left w:w="28" w:type="dxa"/>
          <w:bottom w:w="28" w:type="dxa"/>
          <w:right w:w="28" w:type="dxa"/>
        </w:tblCellMar>
      </w:tblPr>
      <w:tblGrid>
        <w:gridCol w:w="2956"/>
        <w:gridCol w:w="146"/>
        <w:gridCol w:w="257"/>
        <w:gridCol w:w="697"/>
        <w:gridCol w:w="178"/>
        <w:gridCol w:w="178"/>
        <w:gridCol w:w="257"/>
        <w:gridCol w:w="697"/>
        <w:gridCol w:w="146"/>
        <w:gridCol w:w="146"/>
        <w:gridCol w:w="235"/>
        <w:gridCol w:w="637"/>
        <w:gridCol w:w="162"/>
        <w:gridCol w:w="162"/>
        <w:gridCol w:w="235"/>
        <w:gridCol w:w="637"/>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8"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2" w:type="dxa"/>
            <w:tcBorders/>
            <w:vAlign w:val="center"/>
          </w:tcPr>
          <w:p>
            <w:pPr>
              <w:pStyle w:val="TableContents"/>
              <w:bidi w:val="0"/>
              <w:spacing w:before="0" w:after="0"/>
              <w:ind w:left="0" w:right="0" w:hanging="0"/>
              <w:jc w:val="left"/>
              <w:rPr/>
            </w:pPr>
            <w:r>
              <w:rPr/>
              <w:t> </w:t>
            </w:r>
          </w:p>
        </w:tc>
        <w:tc>
          <w:tcPr>
            <w:tcW w:w="8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1,021</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1,823</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1,566</w:t>
            </w:r>
          </w:p>
        </w:tc>
        <w:tc>
          <w:tcPr>
            <w:tcW w:w="19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2,639</w:t>
            </w:r>
          </w:p>
        </w:tc>
        <w:tc>
          <w:tcPr>
            <w:tcW w:w="178"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vAlign w:val="center"/>
          </w:tcPr>
          <w:p>
            <w:pPr>
              <w:pStyle w:val="TableContents"/>
              <w:bidi w:val="0"/>
              <w:spacing w:before="0" w:after="0"/>
              <w:ind w:left="0" w:right="0" w:hanging="0"/>
              <w:jc w:val="left"/>
              <w:rPr/>
            </w:pPr>
            <w:r>
              <w:rPr/>
              <w:t> </w:t>
            </w:r>
          </w:p>
        </w:tc>
        <w:tc>
          <w:tcPr>
            <w:tcW w:w="69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4,910</w:t>
            </w:r>
          </w:p>
        </w:tc>
        <w:tc>
          <w:tcPr>
            <w:tcW w:w="162" w:type="dxa"/>
            <w:tcBorders/>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6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3,520</w:t>
            </w:r>
          </w:p>
        </w:tc>
        <w:tc>
          <w:tcPr>
            <w:tcW w:w="191" w:type="dxa"/>
            <w:tcBorders/>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goods sold</w:t>
            </w:r>
          </w:p>
        </w:tc>
        <w:tc>
          <w:tcPr>
            <w:tcW w:w="146"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w:t>
            </w:r>
          </w:p>
        </w:tc>
        <w:tc>
          <w:tcPr>
            <w:tcW w:w="16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5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3,955</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25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2,904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7,250</w:t>
            </w:r>
          </w:p>
        </w:tc>
        <w:tc>
          <w:tcPr>
            <w:tcW w:w="16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2" w:type="dxa"/>
            <w:tcBorders/>
            <w:vAlign w:val="center"/>
          </w:tcPr>
          <w:p>
            <w:pPr>
              <w:pStyle w:val="TableContents"/>
              <w:bidi w:val="0"/>
              <w:spacing w:before="0" w:after="0"/>
              <w:ind w:left="0" w:right="0" w:hanging="0"/>
              <w:jc w:val="left"/>
              <w:rPr/>
            </w:pPr>
            <w:r>
              <w:rPr/>
              <w:t> </w:t>
            </w:r>
          </w:p>
        </w:tc>
        <w:tc>
          <w:tcPr>
            <w:tcW w:w="2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5,553</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160"/>
        <w:jc w:val="left"/>
        <w:rPr>
          <w:rFonts w:ascii="Times New Roman" w:hAnsi="Times New Roman"/>
          <w:sz w:val="20"/>
        </w:rPr>
      </w:pPr>
      <w:r>
        <w:rPr>
          <w:rFonts w:ascii="Times New Roman;serif" w:hAnsi="Times New Roman;serif"/>
          <w:b w:val="false"/>
          <w:sz w:val="20"/>
        </w:rPr>
        <w:t>As of June 30, 2023 and December 31, 2022, there were 3,071,794</w:t>
      </w:r>
      <w:r>
        <w:rPr>
          <w:rFonts w:ascii="Times New Roman" w:hAnsi="Times New Roman"/>
          <w:sz w:val="20"/>
        </w:rPr>
        <w:t xml:space="preserve"> </w:t>
      </w:r>
      <w:r>
        <w:rPr>
          <w:rFonts w:ascii="Times New Roman;serif" w:hAnsi="Times New Roman;serif"/>
          <w:b w:val="false"/>
          <w:sz w:val="20"/>
        </w:rPr>
        <w:t>and 2,447,687</w:t>
      </w:r>
      <w:r>
        <w:rPr>
          <w:rFonts w:ascii="Times New Roman" w:hAnsi="Times New Roman"/>
          <w:sz w:val="20"/>
        </w:rPr>
        <w:t xml:space="preserve"> </w:t>
      </w:r>
      <w:r>
        <w:rPr>
          <w:rFonts w:ascii="Times New Roman;serif" w:hAnsi="Times New Roman;serif"/>
          <w:b w:val="false"/>
          <w:sz w:val="20"/>
        </w:rPr>
        <w:t>unvested options, respectively. As of June 30, 2023 and December 31, 2022, total unrecognized expense related to unvested stock options was approximately $25.9</w:t>
      </w:r>
      <w:r>
        <w:rPr>
          <w:rFonts w:ascii="Times New Roman" w:hAnsi="Times New Roman"/>
          <w:sz w:val="20"/>
        </w:rPr>
        <w:t xml:space="preserve"> </w:t>
      </w:r>
      <w:r>
        <w:rPr>
          <w:rFonts w:ascii="Times New Roman;serif" w:hAnsi="Times New Roman;serif"/>
          <w:b w:val="false"/>
          <w:sz w:val="20"/>
        </w:rPr>
        <w:t>million and $19.1</w:t>
      </w:r>
      <w:r>
        <w:rPr>
          <w:rFonts w:ascii="Times New Roman" w:hAnsi="Times New Roman"/>
          <w:sz w:val="20"/>
        </w:rPr>
        <w:t xml:space="preserve"> </w:t>
      </w:r>
      <w:r>
        <w:rPr>
          <w:rFonts w:ascii="Times New Roman;serif" w:hAnsi="Times New Roman;serif"/>
          <w:b w:val="false"/>
          <w:sz w:val="20"/>
        </w:rPr>
        <w:t>million, respectively. Amounts are expected to be recognized over a weighted average period of approximately 2.7</w:t>
      </w:r>
      <w:r>
        <w:rPr>
          <w:rFonts w:ascii="Times New Roman" w:hAnsi="Times New Roman"/>
          <w:sz w:val="20"/>
        </w:rPr>
        <w:t xml:space="preserve"> </w:t>
      </w:r>
      <w:r>
        <w:rPr>
          <w:rFonts w:ascii="Times New Roman;serif" w:hAnsi="Times New Roman;serif"/>
          <w:b w:val="false"/>
          <w:sz w:val="20"/>
        </w:rPr>
        <w:t>and 2.6</w:t>
      </w:r>
      <w:r>
        <w:rPr>
          <w:rFonts w:ascii="Times New Roman" w:hAnsi="Times New Roman"/>
          <w:sz w:val="20"/>
        </w:rPr>
        <w:t xml:space="preserve"> </w:t>
      </w:r>
      <w:r>
        <w:rPr>
          <w:rFonts w:ascii="Times New Roman;serif" w:hAnsi="Times New Roman;serif"/>
          <w:b w:val="false"/>
          <w:sz w:val="20"/>
        </w:rPr>
        <w:t>years, respectively.</w:t>
      </w:r>
    </w:p>
    <w:p>
      <w:pPr>
        <w:pStyle w:val="TextBody"/>
        <w:bidi w:val="0"/>
        <w:spacing w:before="120" w:after="160"/>
        <w:jc w:val="left"/>
        <w:rPr>
          <w:rFonts w:ascii="Times New Roman" w:hAnsi="Times New Roman"/>
          <w:sz w:val="20"/>
        </w:rPr>
      </w:pPr>
      <w:r>
        <w:rPr>
          <w:rFonts w:ascii="Times New Roman;serif" w:hAnsi="Times New Roman;serif"/>
          <w:b w:val="false"/>
          <w:sz w:val="20"/>
        </w:rPr>
        <w:t>As of June 30, 2023, and December 31, 2022</w:t>
      </w:r>
      <w:r>
        <w:rPr>
          <w:rFonts w:ascii="Times New Roman" w:hAnsi="Times New Roman"/>
          <w:sz w:val="20"/>
        </w:rPr>
        <w:t xml:space="preserve"> </w:t>
      </w:r>
      <w:r>
        <w:rPr>
          <w:rFonts w:ascii="Times New Roman;serif" w:hAnsi="Times New Roman;serif"/>
          <w:b w:val="false"/>
          <w:sz w:val="20"/>
        </w:rPr>
        <w:t>, total unrecognized expense related to non-vested restricted stock units was approximately $10.9</w:t>
      </w:r>
      <w:r>
        <w:rPr>
          <w:rFonts w:ascii="Times New Roman" w:hAnsi="Times New Roman"/>
          <w:sz w:val="20"/>
        </w:rPr>
        <w:t xml:space="preserve"> </w:t>
      </w:r>
      <w:r>
        <w:rPr>
          <w:rFonts w:ascii="Times New Roman;serif" w:hAnsi="Times New Roman;serif"/>
          <w:b w:val="false"/>
          <w:sz w:val="20"/>
        </w:rPr>
        <w:t>million and $6.1</w:t>
      </w:r>
      <w:r>
        <w:rPr>
          <w:rFonts w:ascii="Times New Roman" w:hAnsi="Times New Roman"/>
          <w:sz w:val="20"/>
        </w:rPr>
        <w:t xml:space="preserve"> </w:t>
      </w:r>
      <w:r>
        <w:rPr>
          <w:rFonts w:ascii="Times New Roman;serif" w:hAnsi="Times New Roman;serif"/>
          <w:b w:val="false"/>
          <w:sz w:val="20"/>
        </w:rPr>
        <w:t>million, respectively. The unrecognized compensation cost is expected to be recognized over a weighted average period of 2.8</w:t>
      </w:r>
      <w:r>
        <w:rPr>
          <w:rFonts w:ascii="Times New Roman" w:hAnsi="Times New Roman"/>
          <w:sz w:val="20"/>
        </w:rPr>
        <w:t xml:space="preserve"> </w:t>
      </w:r>
      <w:r>
        <w:rPr>
          <w:rFonts w:ascii="Times New Roman;serif" w:hAnsi="Times New Roman;serif"/>
          <w:b w:val="false"/>
          <w:sz w:val="20"/>
        </w:rPr>
        <w:t>years and 2.3 years, respectively.</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following table presents the range and weighted-average assumptions, used in the Black-Scholes option pricing model to determine the fair value of stock options:</w:t>
      </w:r>
    </w:p>
    <w:tbl>
      <w:tblPr>
        <w:tblW w:w="8674" w:type="dxa"/>
        <w:jc w:val="left"/>
        <w:tblInd w:w="0" w:type="dxa"/>
        <w:tblLayout w:type="fixed"/>
        <w:tblCellMar>
          <w:top w:w="28" w:type="dxa"/>
          <w:left w:w="28" w:type="dxa"/>
          <w:bottom w:w="28" w:type="dxa"/>
          <w:right w:w="28" w:type="dxa"/>
        </w:tblCellMar>
      </w:tblPr>
      <w:tblGrid>
        <w:gridCol w:w="2131"/>
        <w:gridCol w:w="146"/>
        <w:gridCol w:w="1501"/>
        <w:gridCol w:w="146"/>
        <w:gridCol w:w="1456"/>
        <w:gridCol w:w="146"/>
        <w:gridCol w:w="1501"/>
        <w:gridCol w:w="146"/>
        <w:gridCol w:w="150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97" w:type="dxa"/>
            <w:gridSpan w:val="7"/>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03"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4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r>
      <w:tr>
        <w:trPr/>
        <w:tc>
          <w:tcPr>
            <w:tcW w:w="21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Range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64.9% to 65.7%</w:t>
            </w:r>
          </w:p>
        </w:tc>
        <w:tc>
          <w:tcPr>
            <w:tcW w:w="1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65.1%</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62.4% to 63.4%</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62.7%</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3.4% to 4.2%</w:t>
            </w:r>
          </w:p>
        </w:tc>
        <w:tc>
          <w:tcPr>
            <w:tcW w:w="1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2.0% to 3.0%</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2.2%</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(in years)</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6.0</w:t>
            </w:r>
            <w:r>
              <w:rPr>
                <w:rFonts w:ascii="Times New Roman" w:hAnsi="Times New Roman"/>
                <w:sz w:val="20"/>
              </w:rPr>
              <w:t> </w:t>
            </w:r>
            <w:r>
              <w:rPr>
                <w:rFonts w:ascii="Times New Roman;serif" w:hAnsi="Times New Roman;serif"/>
                <w:b w:val="false"/>
                <w:sz w:val="20"/>
              </w:rPr>
              <w:t>to 10.0 years</w:t>
            </w:r>
          </w:p>
        </w:tc>
        <w:tc>
          <w:tcPr>
            <w:tcW w:w="1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6.0</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6.0</w:t>
            </w:r>
            <w:r>
              <w:rPr>
                <w:rFonts w:ascii="Times New Roman" w:hAnsi="Times New Roman"/>
                <w:sz w:val="20"/>
              </w:rPr>
              <w:t> </w:t>
            </w:r>
            <w:r>
              <w:rPr>
                <w:rFonts w:ascii="Times New Roman;serif" w:hAnsi="Times New Roman;serif"/>
                <w:b w:val="false"/>
                <w:sz w:val="20"/>
              </w:rPr>
              <w:t>to 10.0</w:t>
            </w:r>
            <w:r>
              <w:rPr>
                <w:rFonts w:ascii="Times New Roman" w:hAnsi="Times New Roman"/>
                <w:sz w:val="20"/>
              </w:rPr>
              <w:t> </w:t>
            </w:r>
            <w:r>
              <w:rPr>
                <w:rFonts w:ascii="Times New Roman;serif" w:hAnsi="Times New Roman;serif"/>
                <w:b w:val="false"/>
                <w:sz w:val="20"/>
              </w:rPr>
              <w:t>years</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6.1</w:t>
            </w:r>
            <w:r>
              <w:rPr>
                <w:rFonts w:ascii="Times New Roman" w:hAnsi="Times New Roman"/>
                <w:sz w:val="20"/>
              </w:rPr>
              <w:t> </w:t>
            </w:r>
            <w:r>
              <w:rPr>
                <w:rFonts w:ascii="Times New Roman;serif" w:hAnsi="Times New Roman;serif"/>
                <w:b w:val="false"/>
                <w:sz w:val="20"/>
              </w:rPr>
              <w:t>years</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dividend yield</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c>
          <w:tcPr>
            <w:tcW w:w="1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w:t>
            </w:r>
          </w:p>
        </w:tc>
      </w:tr>
      <w:tr>
        <w:trPr/>
        <w:tc>
          <w:tcPr>
            <w:tcW w:w="21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 date fair value</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$12.91</w:t>
            </w:r>
            <w:r>
              <w:rPr>
                <w:rFonts w:ascii="Times New Roman" w:hAnsi="Times New Roman"/>
                <w:sz w:val="20"/>
              </w:rPr>
              <w:t> </w:t>
            </w:r>
            <w:r>
              <w:rPr>
                <w:rFonts w:ascii="Times New Roman;serif" w:hAnsi="Times New Roman;serif"/>
                <w:b w:val="false"/>
                <w:sz w:val="20"/>
              </w:rPr>
              <w:t>to $28.80</w:t>
            </w:r>
          </w:p>
        </w:tc>
        <w:tc>
          <w:tcPr>
            <w:tcW w:w="146" w:type="dxa"/>
            <w:tcBorders/>
            <w:vAlign w:val="center"/>
          </w:tcPr>
          <w:p>
            <w:pPr>
              <w:pStyle w:val="TableContents"/>
              <w:bidi w:val="0"/>
              <w:spacing w:before="0" w:after="0"/>
              <w:ind w:left="0" w:right="0" w:hanging="0"/>
              <w:jc w:val="left"/>
              <w:rPr/>
            </w:pPr>
            <w:r>
              <w:rPr/>
              <w:t> </w:t>
            </w:r>
          </w:p>
        </w:tc>
        <w:tc>
          <w:tcPr>
            <w:tcW w:w="14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$15.26</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$10.74</w:t>
            </w:r>
            <w:r>
              <w:rPr>
                <w:rFonts w:ascii="Times New Roman" w:hAnsi="Times New Roman"/>
                <w:sz w:val="20"/>
              </w:rPr>
              <w:t> </w:t>
            </w:r>
            <w:r>
              <w:rPr>
                <w:rFonts w:ascii="Times New Roman;serif" w:hAnsi="Times New Roman;serif"/>
                <w:b w:val="false"/>
                <w:sz w:val="20"/>
              </w:rPr>
              <w:t>to $12.85</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$12.32</w:t>
            </w:r>
          </w:p>
        </w:tc>
      </w:tr>
    </w:tbl>
    <w:p>
      <w:pPr>
        <w:pStyle w:val="TextBody"/>
        <w:bidi w:val="0"/>
        <w:spacing w:before="120" w:after="160"/>
        <w:jc w:val="left"/>
        <w:rPr>
          <w:rFonts w:ascii="Times New Roman;serif" w:hAnsi="Times New Roman;serif"/>
          <w:b/>
          <w:i/>
          <w:sz w:val="20"/>
        </w:rPr>
      </w:pPr>
      <w:r>
        <w:rPr>
          <w:rFonts w:ascii="Times New Roman;serif" w:hAnsi="Times New Roman;serif"/>
          <w:b/>
          <w:i/>
          <w:sz w:val="20"/>
        </w:rPr>
        <w:t>Common Stock</w:t>
      </w:r>
    </w:p>
    <w:p>
      <w:pPr>
        <w:pStyle w:val="TextBody"/>
        <w:bidi w:val="0"/>
        <w:spacing w:before="120" w:after="160"/>
        <w:jc w:val="left"/>
        <w:rPr>
          <w:rFonts w:ascii="Times New Roman" w:hAnsi="Times New Roman"/>
          <w:sz w:val="20"/>
        </w:rPr>
      </w:pPr>
      <w:r>
        <w:rPr>
          <w:rFonts w:ascii="Times New Roman;serif" w:hAnsi="Times New Roman;serif"/>
          <w:b w:val="false"/>
          <w:sz w:val="20"/>
        </w:rPr>
        <w:t>Each share of common stock is entitled to one vote. Common stock reserved for future issuance under the Equity Plans, 2021 ESPP and the ATM offering consisted of the following:</w:t>
      </w:r>
      <w:r>
        <w:rPr>
          <w:rFonts w:ascii="Times New Roman" w:hAnsi="Times New Roman"/>
          <w:sz w:val="20"/>
        </w:rPr>
        <w:t xml:space="preserve"> </w:t>
      </w:r>
    </w:p>
    <w:tbl>
      <w:tblPr>
        <w:tblW w:w="8685" w:type="dxa"/>
        <w:jc w:val="left"/>
        <w:tblInd w:w="0" w:type="dxa"/>
        <w:tblLayout w:type="fixed"/>
        <w:tblCellMar>
          <w:top w:w="28" w:type="dxa"/>
          <w:left w:w="28" w:type="dxa"/>
          <w:bottom w:w="28" w:type="dxa"/>
          <w:right w:w="28" w:type="dxa"/>
        </w:tblCellMar>
      </w:tblPr>
      <w:tblGrid>
        <w:gridCol w:w="5056"/>
        <w:gridCol w:w="146"/>
        <w:gridCol w:w="172"/>
        <w:gridCol w:w="1103"/>
        <w:gridCol w:w="146"/>
        <w:gridCol w:w="146"/>
        <w:gridCol w:w="213"/>
        <w:gridCol w:w="151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0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issued and outstanding under the Equity Plans</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7,088,719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6,339,558</w:t>
            </w:r>
          </w:p>
        </w:tc>
        <w:tc>
          <w:tcPr>
            <w:tcW w:w="191" w:type="dxa"/>
            <w:tcBorders/>
            <w:vAlign w:val="center"/>
          </w:tcPr>
          <w:p>
            <w:pPr>
              <w:pStyle w:val="TableContents"/>
              <w:bidi w:val="0"/>
              <w:spacing w:before="0" w:after="0"/>
              <w:ind w:left="0" w:right="0" w:hanging="0"/>
              <w:jc w:val="left"/>
              <w:rPr/>
            </w:pPr>
            <w:r>
              <w:rPr/>
              <w:t> </w:t>
            </w:r>
          </w:p>
        </w:tc>
      </w:tr>
      <w:tr>
        <w:trPr/>
        <w:tc>
          <w:tcPr>
            <w:tcW w:w="50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future issuance under the Equity Plans</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865,122</w:t>
            </w:r>
          </w:p>
        </w:tc>
        <w:tc>
          <w:tcPr>
            <w:tcW w:w="191" w:type="dxa"/>
            <w:tcBorders/>
            <w:vAlign w:val="center"/>
          </w:tcPr>
          <w:p>
            <w:pPr>
              <w:pStyle w:val="TableContents"/>
              <w:bidi w:val="0"/>
              <w:spacing w:before="0" w:after="0"/>
              <w:ind w:left="0" w:right="0" w:hanging="0"/>
              <w:jc w:val="left"/>
              <w:rPr/>
            </w:pPr>
            <w:r>
              <w:rPr/>
              <w:t> </w:t>
            </w:r>
          </w:p>
        </w:tc>
      </w:tr>
      <w:tr>
        <w:trPr/>
        <w:tc>
          <w:tcPr>
            <w:tcW w:w="50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 issued under the 2021 Plan</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773,449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492,862</w:t>
            </w:r>
          </w:p>
        </w:tc>
        <w:tc>
          <w:tcPr>
            <w:tcW w:w="191" w:type="dxa"/>
            <w:tcBorders/>
            <w:vAlign w:val="center"/>
          </w:tcPr>
          <w:p>
            <w:pPr>
              <w:pStyle w:val="TableContents"/>
              <w:bidi w:val="0"/>
              <w:spacing w:before="0" w:after="0"/>
              <w:ind w:left="0" w:right="0" w:hanging="0"/>
              <w:jc w:val="left"/>
              <w:rPr/>
            </w:pPr>
            <w:r>
              <w:rPr/>
              <w:t> </w:t>
            </w:r>
          </w:p>
        </w:tc>
      </w:tr>
      <w:tr>
        <w:trPr/>
        <w:tc>
          <w:tcPr>
            <w:tcW w:w="50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Shares available for future issuance under 2021 ESPP</w:t>
            </w:r>
          </w:p>
        </w:tc>
        <w:tc>
          <w:tcPr>
            <w:tcW w:w="146" w:type="dxa"/>
            <w:tcBorders/>
            <w:vAlign w:val="center"/>
          </w:tcPr>
          <w:p>
            <w:pPr>
              <w:pStyle w:val="TableContents"/>
              <w:bidi w:val="0"/>
              <w:spacing w:before="0" w:after="0"/>
              <w:ind w:left="0" w:right="0" w:hanging="0"/>
              <w:jc w:val="left"/>
              <w:rPr/>
            </w:pPr>
            <w:r>
              <w:rPr/>
              <w:t> </w:t>
            </w:r>
          </w:p>
        </w:tc>
        <w:tc>
          <w:tcPr>
            <w:tcW w:w="172" w:type="dxa"/>
            <w:tcBorders/>
            <w:vAlign w:val="center"/>
          </w:tcPr>
          <w:p>
            <w:pPr>
              <w:pStyle w:val="TableContents"/>
              <w:bidi w:val="0"/>
              <w:spacing w:before="0" w:after="0"/>
              <w:ind w:left="0" w:right="0" w:hanging="0"/>
              <w:jc w:val="left"/>
              <w:rPr/>
            </w:pPr>
            <w:r>
              <w:rPr/>
              <w:t> </w:t>
            </w:r>
          </w:p>
        </w:tc>
        <w:tc>
          <w:tcPr>
            <w:tcW w:w="110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614,472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151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664,976</w:t>
            </w:r>
          </w:p>
        </w:tc>
        <w:tc>
          <w:tcPr>
            <w:tcW w:w="191" w:type="dxa"/>
            <w:tcBorders/>
            <w:vAlign w:val="center"/>
          </w:tcPr>
          <w:p>
            <w:pPr>
              <w:pStyle w:val="TableContents"/>
              <w:bidi w:val="0"/>
              <w:spacing w:before="0" w:after="0"/>
              <w:ind w:left="0" w:right="0" w:hanging="0"/>
              <w:jc w:val="left"/>
              <w:rPr/>
            </w:pPr>
            <w:r>
              <w:rPr/>
              <w:t> </w:t>
            </w:r>
          </w:p>
        </w:tc>
      </w:tr>
      <w:tr>
        <w:trPr/>
        <w:tc>
          <w:tcPr>
            <w:tcW w:w="5056"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 xml:space="preserve">Shares available for future sale under the ATM offering </w:t>
            </w:r>
            <w:r>
              <w:rPr>
                <w:rFonts w:ascii="Times New Roman;serif" w:hAnsi="Times New Roman;serif"/>
                <w:b w:val="false"/>
                <w:sz w:val="13"/>
              </w:rPr>
              <w:t>(1)</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427,892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3,454,064</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0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shares of common stock reserved</w:t>
            </w:r>
          </w:p>
        </w:tc>
        <w:tc>
          <w:tcPr>
            <w:tcW w:w="146" w:type="dxa"/>
            <w:tcBorders/>
            <w:vAlign w:val="center"/>
          </w:tcPr>
          <w:p>
            <w:pPr>
              <w:pStyle w:val="TableContents"/>
              <w:bidi w:val="0"/>
              <w:spacing w:before="0" w:after="0"/>
              <w:ind w:left="0" w:right="0" w:hanging="0"/>
              <w:jc w:val="left"/>
              <w:rPr/>
            </w:pPr>
            <w:r>
              <w:rPr/>
              <w:t> </w:t>
            </w:r>
          </w:p>
        </w:tc>
        <w:tc>
          <w:tcPr>
            <w:tcW w:w="1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0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9,335,582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11,816,582</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160"/>
        <w:jc w:val="left"/>
        <w:rPr>
          <w:rFonts w:ascii="Times New Roman" w:hAnsi="Times New Roman"/>
          <w:sz w:val="20"/>
        </w:rPr>
      </w:pPr>
      <w:r>
        <w:rPr>
          <w:rFonts w:ascii="Times New Roman;serif" w:hAnsi="Times New Roman;serif"/>
          <w:b w:val="false"/>
          <w:sz w:val="13"/>
        </w:rPr>
        <w:t>(1)</w:t>
      </w:r>
      <w:r>
        <w:rPr>
          <w:rFonts w:ascii="Times New Roman" w:hAnsi="Times New Roman"/>
          <w:sz w:val="20"/>
        </w:rPr>
        <w:t xml:space="preserve"> </w:t>
      </w:r>
      <w:r>
        <w:rPr>
          <w:rFonts w:ascii="Times New Roman;serif" w:hAnsi="Times New Roman;serif"/>
          <w:b w:val="false"/>
          <w:sz w:val="20"/>
        </w:rPr>
        <w:t>Based on the closing stock price of $28.80</w:t>
      </w:r>
      <w:r>
        <w:rPr>
          <w:rFonts w:ascii="Times New Roman" w:hAnsi="Times New Roman"/>
          <w:sz w:val="20"/>
        </w:rPr>
        <w:t xml:space="preserve"> </w:t>
      </w:r>
      <w:r>
        <w:rPr>
          <w:rFonts w:ascii="Times New Roman;serif" w:hAnsi="Times New Roman;serif"/>
          <w:b w:val="false"/>
          <w:sz w:val="20"/>
        </w:rPr>
        <w:t>as reported on the Nasdaq Global Market on June 30, 2023.</w:t>
      </w:r>
    </w:p>
    <w:p>
      <w:pPr>
        <w:pStyle w:val="TextBody"/>
        <w:bidi w:val="0"/>
        <w:spacing w:before="240" w:after="120"/>
        <w:jc w:val="left"/>
        <w:rPr>
          <w:rFonts w:ascii="Times New Roman;serif" w:hAnsi="Times New Roman;serif"/>
          <w:b/>
          <w:sz w:val="20"/>
        </w:rPr>
      </w:pPr>
      <w:r>
        <w:rPr>
          <w:rFonts w:ascii="Times New Roman;serif" w:hAnsi="Times New Roman;serif"/>
          <w:b/>
          <w:sz w:val="20"/>
        </w:rPr>
        <w:t>Note 8 – Leases</w:t>
      </w:r>
    </w:p>
    <w:p>
      <w:pPr>
        <w:pStyle w:val="TextBody"/>
        <w:bidi w:val="0"/>
        <w:spacing w:before="120" w:after="160"/>
        <w:jc w:val="left"/>
        <w:rPr>
          <w:rFonts w:ascii="Times New Roman" w:hAnsi="Times New Roman"/>
          <w:sz w:val="20"/>
        </w:rPr>
      </w:pPr>
      <w:r>
        <w:rPr>
          <w:rFonts w:ascii="Times New Roman;serif" w:hAnsi="Times New Roman;serif"/>
          <w:b w:val="false"/>
          <w:sz w:val="20"/>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r>
        <w:rPr>
          <w:rFonts w:ascii="Times New Roman" w:hAnsi="Times New Roman"/>
          <w:sz w:val="20"/>
        </w:rPr>
        <w:t xml:space="preserve"> </w:t>
      </w:r>
    </w:p>
    <w:p>
      <w:pPr>
        <w:pStyle w:val="TextBody"/>
        <w:bidi w:val="0"/>
        <w:spacing w:before="120" w:after="160"/>
        <w:jc w:val="left"/>
        <w:rPr>
          <w:rFonts w:ascii="Times New Roman" w:hAnsi="Times New Roman"/>
          <w:sz w:val="20"/>
        </w:rPr>
      </w:pPr>
      <w:r>
        <w:rPr>
          <w:rFonts w:ascii="Times New Roman;serif" w:hAnsi="Times New Roman;serif"/>
          <w:b w:val="false"/>
          <w:sz w:val="20"/>
        </w:rPr>
        <w:t>As of June 30, 2023</w:t>
      </w:r>
      <w:r>
        <w:rPr>
          <w:rFonts w:ascii="Times New Roman" w:hAnsi="Times New Roman"/>
          <w:sz w:val="20"/>
        </w:rPr>
        <w:t xml:space="preserve"> </w:t>
      </w:r>
      <w:r>
        <w:rPr>
          <w:rFonts w:ascii="Times New Roman;serif" w:hAnsi="Times New Roman;serif"/>
          <w:b w:val="false"/>
          <w:sz w:val="20"/>
        </w:rPr>
        <w:t>the Company held four</w:t>
      </w:r>
      <w:r>
        <w:rPr>
          <w:rFonts w:ascii="Times New Roman" w:hAnsi="Times New Roman"/>
          <w:sz w:val="20"/>
        </w:rPr>
        <w:t xml:space="preserve"> </w:t>
      </w:r>
      <w:r>
        <w:rPr>
          <w:rFonts w:ascii="Times New Roman;serif" w:hAnsi="Times New Roman;serif"/>
          <w:b w:val="false"/>
          <w:sz w:val="20"/>
        </w:rPr>
        <w:t>leases for office, manufacturing and warehouse facilities in Aliso Viejo, California. The four leases are for approximately 121,000</w:t>
      </w:r>
      <w:r>
        <w:rPr>
          <w:rFonts w:ascii="Times New Roman" w:hAnsi="Times New Roman"/>
          <w:sz w:val="20"/>
        </w:rPr>
        <w:t xml:space="preserve"> </w:t>
      </w:r>
      <w:r>
        <w:rPr>
          <w:rFonts w:ascii="Times New Roman;serif" w:hAnsi="Times New Roman;serif"/>
          <w:b w:val="false"/>
          <w:sz w:val="20"/>
        </w:rPr>
        <w:t>square feet in the aggregate and expire between August 31, 2024</w:t>
      </w:r>
      <w:r>
        <w:rPr>
          <w:rFonts w:ascii="Times New Roman" w:hAnsi="Times New Roman"/>
          <w:sz w:val="20"/>
        </w:rPr>
        <w:t xml:space="preserve"> </w:t>
      </w:r>
      <w:r>
        <w:rPr>
          <w:rFonts w:ascii="Times New Roman;serif" w:hAnsi="Times New Roman;serif"/>
          <w:b w:val="false"/>
          <w:sz w:val="20"/>
        </w:rPr>
        <w:t>and January 31, 2026. For one of the facilities operating leases, the lessor provided $900,000</w:t>
      </w:r>
      <w:r>
        <w:rPr>
          <w:rFonts w:ascii="Times New Roman" w:hAnsi="Times New Roman"/>
          <w:sz w:val="20"/>
        </w:rPr>
        <w:t xml:space="preserve"> </w:t>
      </w:r>
      <w:r>
        <w:rPr>
          <w:rFonts w:ascii="Times New Roman;serif" w:hAnsi="Times New Roman;serif"/>
          <w:b w:val="false"/>
          <w:sz w:val="20"/>
        </w:rPr>
        <w:t>in tenant allowances.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25</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160"/>
        <w:jc w:val="left"/>
        <w:rPr>
          <w:rFonts w:ascii="Times New Roman" w:hAnsi="Times New Roman"/>
          <w:sz w:val="20"/>
        </w:rPr>
      </w:pPr>
      <w:r>
        <w:rPr>
          <w:rFonts w:ascii="Times New Roman;serif" w:hAnsi="Times New Roman;serif"/>
          <w:b w:val="false"/>
          <w:sz w:val="20"/>
        </w:rPr>
        <w:t>On April 4, 2022, the Company entered into a thirty-four-month</w:t>
      </w:r>
      <w:r>
        <w:rPr>
          <w:rFonts w:ascii="Times New Roman" w:hAnsi="Times New Roman"/>
          <w:sz w:val="20"/>
        </w:rPr>
        <w:t xml:space="preserve"> </w:t>
      </w:r>
      <w:r>
        <w:rPr>
          <w:rFonts w:ascii="Times New Roman;serif" w:hAnsi="Times New Roman;serif"/>
          <w:b w:val="false"/>
          <w:sz w:val="20"/>
        </w:rPr>
        <w:t>sublease agreement for a portion of the 5 Columbia Building, in Aliso Viejo, CA. The sublease commencement date was June 13, 2022 and will expire on March 31, 2025. The base rent receivable is $11,410</w:t>
      </w:r>
      <w:r>
        <w:rPr>
          <w:rFonts w:ascii="Times New Roman" w:hAnsi="Times New Roman"/>
          <w:sz w:val="20"/>
        </w:rPr>
        <w:t xml:space="preserve"> </w:t>
      </w:r>
      <w:r>
        <w:rPr>
          <w:rFonts w:ascii="Times New Roman;serif" w:hAnsi="Times New Roman;serif"/>
          <w:b w:val="false"/>
          <w:sz w:val="20"/>
        </w:rPr>
        <w:t>per month. On January 4, 2023 the Company entered into a second amendment to the sublease agreement adjusting the base rent receivable to $5,319</w:t>
      </w:r>
      <w:r>
        <w:rPr>
          <w:rFonts w:ascii="Times New Roman" w:hAnsi="Times New Roman"/>
          <w:sz w:val="20"/>
        </w:rPr>
        <w:t xml:space="preserve"> </w:t>
      </w:r>
      <w:r>
        <w:rPr>
          <w:rFonts w:ascii="Times New Roman;serif" w:hAnsi="Times New Roman;serif"/>
          <w:b w:val="false"/>
          <w:sz w:val="20"/>
        </w:rPr>
        <w:t>per month.</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following table presents the lease balances within the Condensed Consolidated Balance Sheets as of June 30, 2023 and December 31, 2022 (in thousands):</w:t>
      </w:r>
    </w:p>
    <w:tbl>
      <w:tblPr>
        <w:tblW w:w="7817" w:type="dxa"/>
        <w:jc w:val="left"/>
        <w:tblInd w:w="0" w:type="dxa"/>
        <w:tblLayout w:type="fixed"/>
        <w:tblCellMar>
          <w:top w:w="28" w:type="dxa"/>
          <w:left w:w="28" w:type="dxa"/>
          <w:bottom w:w="28" w:type="dxa"/>
          <w:right w:w="28" w:type="dxa"/>
        </w:tblCellMar>
      </w:tblPr>
      <w:tblGrid>
        <w:gridCol w:w="1831"/>
        <w:gridCol w:w="146"/>
        <w:gridCol w:w="2941"/>
        <w:gridCol w:w="146"/>
        <w:gridCol w:w="218"/>
        <w:gridCol w:w="592"/>
        <w:gridCol w:w="146"/>
        <w:gridCol w:w="146"/>
        <w:gridCol w:w="339"/>
        <w:gridCol w:w="921"/>
        <w:gridCol w:w="3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391" w:type="dxa"/>
            <w:tcBorders/>
            <w:vAlign w:val="center"/>
          </w:tcPr>
          <w:p>
            <w:pPr>
              <w:pStyle w:val="TableContents"/>
              <w:bidi w:val="0"/>
              <w:spacing w:before="0" w:after="0"/>
              <w:ind w:left="0" w:right="0" w:hanging="0"/>
              <w:jc w:val="center"/>
              <w:rPr/>
            </w:pPr>
            <w:r>
              <w:rPr/>
              <w:t> </w:t>
            </w:r>
          </w:p>
        </w:tc>
      </w:tr>
      <w:tr>
        <w:trPr/>
        <w:tc>
          <w:tcPr>
            <w:tcW w:w="1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Leases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9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8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leases right-of-use assets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3,943</w:t>
            </w:r>
          </w:p>
        </w:tc>
        <w:tc>
          <w:tcPr>
            <w:tcW w:w="3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assets</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3,258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4,149</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1,818</w:t>
            </w:r>
          </w:p>
        </w:tc>
        <w:tc>
          <w:tcPr>
            <w:tcW w:w="391" w:type="dxa"/>
            <w:tcBorders/>
            <w:vAlign w:val="center"/>
          </w:tcPr>
          <w:p>
            <w:pPr>
              <w:pStyle w:val="TableContents"/>
              <w:bidi w:val="0"/>
              <w:spacing w:before="0" w:after="0"/>
              <w:ind w:left="0" w:right="0" w:firstLine="200"/>
              <w:jc w:val="left"/>
              <w:rPr/>
            </w:pPr>
            <w:r>
              <w:rPr/>
              <w:t> </w:t>
            </w:r>
          </w:p>
        </w:tc>
      </w:tr>
      <w:tr>
        <w:trPr/>
        <w:tc>
          <w:tcPr>
            <w:tcW w:w="18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 liabilities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391" w:type="dxa"/>
            <w:tcBorders/>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left"/>
              <w:rPr/>
            </w:pPr>
            <w:r>
              <w:rPr/>
              <w:t> </w:t>
            </w:r>
          </w:p>
        </w:tc>
        <w:tc>
          <w:tcPr>
            <w:tcW w:w="391" w:type="dxa"/>
            <w:tcBorders/>
            <w:vAlign w:val="center"/>
          </w:tcPr>
          <w:p>
            <w:pPr>
              <w:pStyle w:val="TableContents"/>
              <w:bidi w:val="0"/>
              <w:spacing w:before="0" w:after="0"/>
              <w:ind w:left="0" w:right="0" w:firstLine="200"/>
              <w:jc w:val="left"/>
              <w:rPr/>
            </w:pPr>
            <w:r>
              <w:rPr/>
              <w:t> </w:t>
            </w:r>
          </w:p>
        </w:tc>
      </w:tr>
      <w:tr>
        <w:trPr/>
        <w:tc>
          <w:tcPr>
            <w:tcW w:w="18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lease liabilities</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2,813</w:t>
            </w:r>
          </w:p>
        </w:tc>
        <w:tc>
          <w:tcPr>
            <w:tcW w:w="391" w:type="dxa"/>
            <w:tcBorders/>
            <w:vAlign w:val="center"/>
          </w:tcPr>
          <w:p>
            <w:pPr>
              <w:pStyle w:val="TableContents"/>
              <w:bidi w:val="0"/>
              <w:spacing w:before="0" w:after="0"/>
              <w:ind w:left="0" w:right="0" w:firstLine="200"/>
              <w:jc w:val="left"/>
              <w:rPr/>
            </w:pPr>
            <w:r>
              <w:rPr/>
              <w:t> </w:t>
            </w:r>
          </w:p>
        </w:tc>
      </w:tr>
      <w:tr>
        <w:trPr/>
        <w:tc>
          <w:tcPr>
            <w:tcW w:w="18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Long-term lease liabilities</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3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8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29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4,826</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For the three and six months ended June 30, 2023 and 2022, the components of operating and finance lease expenses were as follows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04"/>
        <w:gridCol w:w="146"/>
        <w:gridCol w:w="2837"/>
        <w:gridCol w:w="146"/>
        <w:gridCol w:w="346"/>
        <w:gridCol w:w="692"/>
        <w:gridCol w:w="239"/>
        <w:gridCol w:w="239"/>
        <w:gridCol w:w="346"/>
        <w:gridCol w:w="692"/>
        <w:gridCol w:w="146"/>
        <w:gridCol w:w="146"/>
        <w:gridCol w:w="316"/>
        <w:gridCol w:w="631"/>
        <w:gridCol w:w="218"/>
        <w:gridCol w:w="218"/>
        <w:gridCol w:w="316"/>
        <w:gridCol w:w="631"/>
        <w:gridCol w:w="196"/>
      </w:tblGrid>
      <w:tr>
        <w:trPr/>
        <w:tc>
          <w:tcPr>
            <w:tcW w:w="1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3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5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30"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Lease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3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39" w:type="dxa"/>
            <w:tcBorders/>
            <w:vAlign w:val="center"/>
          </w:tcPr>
          <w:p>
            <w:pPr>
              <w:pStyle w:val="TableContents"/>
              <w:bidi w:val="0"/>
              <w:spacing w:before="0" w:after="0"/>
              <w:ind w:left="0" w:right="0" w:hanging="0"/>
              <w:jc w:val="left"/>
              <w:rPr/>
            </w:pPr>
            <w:r>
              <w:rPr/>
              <w:t> </w:t>
            </w:r>
          </w:p>
        </w:tc>
        <w:tc>
          <w:tcPr>
            <w:tcW w:w="10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8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r>
      <w:tr>
        <w:trPr/>
        <w:tc>
          <w:tcPr>
            <w:tcW w:w="1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cost</w:t>
            </w:r>
          </w:p>
        </w:tc>
        <w:tc>
          <w:tcPr>
            <w:tcW w:w="146" w:type="dxa"/>
            <w:tcBorders/>
            <w:vAlign w:val="center"/>
          </w:tcPr>
          <w:p>
            <w:pPr>
              <w:pStyle w:val="TableContents"/>
              <w:bidi w:val="0"/>
              <w:spacing w:before="0" w:after="0"/>
              <w:ind w:left="0" w:right="0" w:hanging="0"/>
              <w:jc w:val="left"/>
              <w:rPr/>
            </w:pPr>
            <w:r>
              <w:rPr/>
              <w:t> </w:t>
            </w:r>
          </w:p>
        </w:tc>
        <w:tc>
          <w:tcPr>
            <w:tcW w:w="28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39"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6" w:type="dxa"/>
            <w:tcBorders/>
            <w:vAlign w:val="center"/>
          </w:tcPr>
          <w:p>
            <w:pPr>
              <w:pStyle w:val="TableContents"/>
              <w:bidi w:val="0"/>
              <w:spacing w:before="0" w:after="0"/>
              <w:ind w:left="0" w:right="0" w:hanging="0"/>
              <w:jc w:val="left"/>
              <w:rPr/>
            </w:pPr>
            <w:r>
              <w:rPr/>
              <w:t> </w:t>
            </w:r>
          </w:p>
        </w:tc>
      </w:tr>
      <w:tr>
        <w:trPr/>
        <w:tc>
          <w:tcPr>
            <w:tcW w:w="17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8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239"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w:t>
            </w:r>
          </w:p>
        </w:tc>
        <w:tc>
          <w:tcPr>
            <w:tcW w:w="196" w:type="dxa"/>
            <w:tcBorders/>
            <w:vAlign w:val="center"/>
          </w:tcPr>
          <w:p>
            <w:pPr>
              <w:pStyle w:val="TableContents"/>
              <w:bidi w:val="0"/>
              <w:spacing w:before="0" w:after="0"/>
              <w:ind w:left="0" w:right="0" w:hanging="0"/>
              <w:jc w:val="left"/>
              <w:rPr/>
            </w:pPr>
            <w:r>
              <w:rPr/>
              <w:t> </w:t>
            </w:r>
          </w:p>
        </w:tc>
      </w:tr>
      <w:tr>
        <w:trPr/>
        <w:tc>
          <w:tcPr>
            <w:tcW w:w="17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8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w:t>
            </w:r>
          </w:p>
        </w:tc>
        <w:tc>
          <w:tcPr>
            <w:tcW w:w="239"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833</w:t>
            </w:r>
          </w:p>
        </w:tc>
        <w:tc>
          <w:tcPr>
            <w:tcW w:w="196" w:type="dxa"/>
            <w:tcBorders/>
            <w:vAlign w:val="center"/>
          </w:tcPr>
          <w:p>
            <w:pPr>
              <w:pStyle w:val="TableContents"/>
              <w:bidi w:val="0"/>
              <w:spacing w:before="0" w:after="0"/>
              <w:ind w:left="0" w:right="0" w:hanging="0"/>
              <w:jc w:val="left"/>
              <w:rPr/>
            </w:pPr>
            <w:r>
              <w:rPr/>
              <w:t> </w:t>
            </w:r>
          </w:p>
        </w:tc>
      </w:tr>
      <w:tr>
        <w:trPr/>
        <w:tc>
          <w:tcPr>
            <w:tcW w:w="170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r>
      <w:tr>
        <w:trPr/>
        <w:tc>
          <w:tcPr>
            <w:tcW w:w="1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cost</w:t>
            </w:r>
          </w:p>
        </w:tc>
        <w:tc>
          <w:tcPr>
            <w:tcW w:w="146" w:type="dxa"/>
            <w:tcBorders/>
            <w:vAlign w:val="center"/>
          </w:tcPr>
          <w:p>
            <w:pPr>
              <w:pStyle w:val="TableContents"/>
              <w:bidi w:val="0"/>
              <w:spacing w:before="0" w:after="0"/>
              <w:ind w:left="0" w:right="0" w:hanging="0"/>
              <w:jc w:val="left"/>
              <w:rPr/>
            </w:pPr>
            <w:r>
              <w:rPr/>
              <w:t> </w:t>
            </w:r>
          </w:p>
        </w:tc>
        <w:tc>
          <w:tcPr>
            <w:tcW w:w="28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39"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196" w:type="dxa"/>
            <w:tcBorders/>
            <w:vAlign w:val="center"/>
          </w:tcPr>
          <w:p>
            <w:pPr>
              <w:pStyle w:val="TableContents"/>
              <w:bidi w:val="0"/>
              <w:spacing w:before="0" w:after="0"/>
              <w:ind w:left="0" w:right="0" w:hanging="0"/>
              <w:jc w:val="left"/>
              <w:rPr/>
            </w:pPr>
            <w:r>
              <w:rPr/>
              <w:t> </w:t>
            </w:r>
          </w:p>
        </w:tc>
      </w:tr>
      <w:tr>
        <w:trPr/>
        <w:tc>
          <w:tcPr>
            <w:tcW w:w="17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8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39"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96" w:type="dxa"/>
            <w:tcBorders/>
            <w:vAlign w:val="center"/>
          </w:tcPr>
          <w:p>
            <w:pPr>
              <w:pStyle w:val="TableContents"/>
              <w:bidi w:val="0"/>
              <w:spacing w:before="0" w:after="0"/>
              <w:ind w:left="0" w:right="0" w:hanging="0"/>
              <w:jc w:val="left"/>
              <w:rPr/>
            </w:pPr>
            <w:r>
              <w:rPr/>
              <w:t> </w:t>
            </w:r>
          </w:p>
        </w:tc>
      </w:tr>
      <w:tr>
        <w:trPr/>
        <w:tc>
          <w:tcPr>
            <w:tcW w:w="1704"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83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1038"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r>
      <w:tr>
        <w:trPr/>
        <w:tc>
          <w:tcPr>
            <w:tcW w:w="170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cost</w:t>
            </w:r>
          </w:p>
        </w:tc>
        <w:tc>
          <w:tcPr>
            <w:tcW w:w="146" w:type="dxa"/>
            <w:tcBorders/>
            <w:vAlign w:val="center"/>
          </w:tcPr>
          <w:p>
            <w:pPr>
              <w:pStyle w:val="TableContents"/>
              <w:bidi w:val="0"/>
              <w:spacing w:before="0" w:after="0"/>
              <w:ind w:left="0" w:right="0" w:hanging="0"/>
              <w:jc w:val="left"/>
              <w:rPr/>
            </w:pPr>
            <w:r>
              <w:rPr/>
              <w:t> </w:t>
            </w:r>
          </w:p>
        </w:tc>
        <w:tc>
          <w:tcPr>
            <w:tcW w:w="283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39"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69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18"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6" w:type="dxa"/>
            <w:tcBorders/>
            <w:vAlign w:val="center"/>
          </w:tcPr>
          <w:p>
            <w:pPr>
              <w:pStyle w:val="TableContents"/>
              <w:bidi w:val="0"/>
              <w:spacing w:before="0" w:after="0"/>
              <w:ind w:left="0" w:right="0" w:hanging="0"/>
              <w:jc w:val="left"/>
              <w:rPr/>
            </w:pPr>
            <w:r>
              <w:rPr/>
              <w:t> </w:t>
            </w:r>
          </w:p>
        </w:tc>
      </w:tr>
    </w:tbl>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Maturities of the Company’s operating and finance lease liabilities as of June 30, 2023 were as follows (in thousands):</w:t>
      </w:r>
    </w:p>
    <w:p>
      <w:pPr>
        <w:pStyle w:val="TextBody"/>
        <w:bidi w:val="0"/>
        <w:spacing w:before="0" w:after="0"/>
        <w:jc w:val="left"/>
        <w:rPr/>
      </w:pPr>
      <w:r>
        <w:rPr/>
        <w:t>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26</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5132" w:type="dxa"/>
        <w:jc w:val="left"/>
        <w:tblInd w:w="0" w:type="dxa"/>
        <w:tblLayout w:type="fixed"/>
        <w:tblCellMar>
          <w:top w:w="28" w:type="dxa"/>
          <w:left w:w="28" w:type="dxa"/>
          <w:bottom w:w="28" w:type="dxa"/>
          <w:right w:w="28" w:type="dxa"/>
        </w:tblCellMar>
      </w:tblPr>
      <w:tblGrid>
        <w:gridCol w:w="2326"/>
        <w:gridCol w:w="146"/>
        <w:gridCol w:w="263"/>
        <w:gridCol w:w="713"/>
        <w:gridCol w:w="166"/>
        <w:gridCol w:w="146"/>
        <w:gridCol w:w="295"/>
        <w:gridCol w:w="486"/>
        <w:gridCol w:w="5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76"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Operating</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Finance</w:t>
            </w:r>
          </w:p>
        </w:tc>
        <w:tc>
          <w:tcPr>
            <w:tcW w:w="591" w:type="dxa"/>
            <w:tcBorders/>
            <w:vAlign w:val="center"/>
          </w:tcPr>
          <w:p>
            <w:pPr>
              <w:pStyle w:val="TableContents"/>
              <w:bidi w:val="0"/>
              <w:spacing w:before="0" w:after="0"/>
              <w:ind w:left="0" w:right="0" w:hanging="0"/>
              <w:jc w:val="center"/>
              <w:rPr/>
            </w:pPr>
            <w:r>
              <w:rPr/>
              <w:t> </w:t>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Year Ended December 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Leases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Leases</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center"/>
              <w:rPr/>
            </w:pPr>
            <w:r>
              <w:rPr/>
              <w:t> </w:t>
            </w:r>
          </w:p>
        </w:tc>
      </w:tr>
      <w:tr>
        <w:trPr/>
        <w:tc>
          <w:tcPr>
            <w:tcW w:w="23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2023 (remainder)</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591" w:type="dxa"/>
            <w:tcBorders/>
            <w:vAlign w:val="center"/>
          </w:tcPr>
          <w:p>
            <w:pPr>
              <w:pStyle w:val="TableContents"/>
              <w:bidi w:val="0"/>
              <w:spacing w:before="0" w:after="0"/>
              <w:ind w:left="0" w:right="0" w:firstLine="400"/>
              <w:jc w:val="left"/>
              <w:rPr/>
            </w:pPr>
            <w:r>
              <w:rPr/>
              <w:t> </w:t>
            </w:r>
          </w:p>
        </w:tc>
      </w:tr>
      <w:tr>
        <w:trPr/>
        <w:tc>
          <w:tcPr>
            <w:tcW w:w="23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591" w:type="dxa"/>
            <w:tcBorders/>
            <w:vAlign w:val="center"/>
          </w:tcPr>
          <w:p>
            <w:pPr>
              <w:pStyle w:val="TableContents"/>
              <w:bidi w:val="0"/>
              <w:spacing w:before="0" w:after="0"/>
              <w:ind w:left="0" w:right="0" w:firstLine="400"/>
              <w:jc w:val="left"/>
              <w:rPr/>
            </w:pPr>
            <w:r>
              <w:rPr/>
              <w:t> </w:t>
            </w:r>
          </w:p>
        </w:tc>
      </w:tr>
      <w:tr>
        <w:trPr/>
        <w:tc>
          <w:tcPr>
            <w:tcW w:w="23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23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23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400"/>
              <w:jc w:val="left"/>
              <w:rPr/>
            </w:pPr>
            <w:r>
              <w:rPr/>
              <w:t> </w:t>
            </w:r>
          </w:p>
        </w:tc>
      </w:tr>
      <w:tr>
        <w:trPr/>
        <w:tc>
          <w:tcPr>
            <w:tcW w:w="232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 </w:t>
            </w:r>
          </w:p>
        </w:tc>
        <w:tc>
          <w:tcPr>
            <w:tcW w:w="7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pPr>
            <w:r>
              <w:rPr/>
              <w:t> </w:t>
            </w:r>
          </w:p>
        </w:tc>
        <w:tc>
          <w:tcPr>
            <w:tcW w:w="48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591" w:type="dxa"/>
            <w:tcBorders/>
            <w:vAlign w:val="center"/>
          </w:tcPr>
          <w:p>
            <w:pPr>
              <w:pStyle w:val="TableContents"/>
              <w:bidi w:val="0"/>
              <w:spacing w:before="0" w:after="0"/>
              <w:ind w:left="0" w:right="0" w:firstLine="200"/>
              <w:jc w:val="left"/>
              <w:rPr/>
            </w:pPr>
            <w:r>
              <w:rPr/>
              <w:t> </w:t>
            </w:r>
          </w:p>
        </w:tc>
      </w:tr>
      <w:tr>
        <w:trPr/>
        <w:tc>
          <w:tcPr>
            <w:tcW w:w="232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lease liabilities</w:t>
            </w:r>
          </w:p>
        </w:tc>
        <w:tc>
          <w:tcPr>
            <w:tcW w:w="146" w:type="dxa"/>
            <w:tcBorders/>
            <w:vAlign w:val="center"/>
          </w:tcPr>
          <w:p>
            <w:pPr>
              <w:pStyle w:val="TableContents"/>
              <w:bidi w:val="0"/>
              <w:spacing w:before="0" w:after="0"/>
              <w:ind w:left="0" w:right="0" w:hanging="0"/>
              <w:jc w:val="left"/>
              <w:rPr/>
            </w:pPr>
            <w:r>
              <w:rPr/>
              <w:t> </w:t>
            </w:r>
          </w:p>
        </w:tc>
        <w:tc>
          <w:tcPr>
            <w:tcW w:w="26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weighted average remaining lease term and weighted average discount rate used to determine lease liabilities related to the Company’s operating and finance leases as of June 30, 2023 and December 31, 2022 were:</w:t>
      </w:r>
    </w:p>
    <w:tbl>
      <w:tblPr>
        <w:tblW w:w="7050" w:type="dxa"/>
        <w:jc w:val="left"/>
        <w:tblInd w:w="0" w:type="dxa"/>
        <w:tblLayout w:type="fixed"/>
        <w:tblCellMar>
          <w:top w:w="28" w:type="dxa"/>
          <w:left w:w="28" w:type="dxa"/>
          <w:bottom w:w="28" w:type="dxa"/>
          <w:right w:w="28" w:type="dxa"/>
        </w:tblCellMar>
      </w:tblPr>
      <w:tblGrid>
        <w:gridCol w:w="3901"/>
        <w:gridCol w:w="146"/>
        <w:gridCol w:w="193"/>
        <w:gridCol w:w="617"/>
        <w:gridCol w:w="271"/>
        <w:gridCol w:w="146"/>
        <w:gridCol w:w="300"/>
        <w:gridCol w:w="960"/>
        <w:gridCol w:w="5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June 30,</w:t>
            </w:r>
          </w:p>
        </w:tc>
        <w:tc>
          <w:tcPr>
            <w:tcW w:w="2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516" w:type="dxa"/>
            <w:tcBorders/>
            <w:vAlign w:val="center"/>
          </w:tcPr>
          <w:p>
            <w:pPr>
              <w:pStyle w:val="TableContents"/>
              <w:bidi w:val="0"/>
              <w:spacing w:before="0" w:after="0"/>
              <w:ind w:left="0" w:right="0" w:hanging="0"/>
              <w:jc w:val="center"/>
              <w:rPr/>
            </w:pPr>
            <w:r>
              <w:rPr/>
              <w:t> </w:t>
            </w:r>
          </w:p>
        </w:tc>
      </w:tr>
      <w:tr>
        <w:trPr/>
        <w:tc>
          <w:tcPr>
            <w:tcW w:w="39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Lease Term and Discount Rate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remaining lease term (years)</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pPr>
            <w:r>
              <w:rPr/>
              <w:t> </w:t>
            </w:r>
          </w:p>
        </w:tc>
      </w:tr>
      <w:tr>
        <w:trPr/>
        <w:tc>
          <w:tcPr>
            <w:tcW w:w="39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2.07</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516" w:type="dxa"/>
            <w:tcBorders/>
            <w:vAlign w:val="center"/>
          </w:tcPr>
          <w:p>
            <w:pPr>
              <w:pStyle w:val="TableContents"/>
              <w:bidi w:val="0"/>
              <w:spacing w:before="0" w:after="0"/>
              <w:ind w:left="0" w:right="0" w:firstLine="200"/>
              <w:jc w:val="left"/>
              <w:rPr/>
            </w:pPr>
            <w:r>
              <w:rPr/>
              <w:t> </w:t>
            </w:r>
          </w:p>
        </w:tc>
      </w:tr>
      <w:tr>
        <w:trPr/>
        <w:tc>
          <w:tcPr>
            <w:tcW w:w="39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0.60</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w:t>
            </w:r>
          </w:p>
        </w:tc>
        <w:tc>
          <w:tcPr>
            <w:tcW w:w="516" w:type="dxa"/>
            <w:tcBorders/>
            <w:vAlign w:val="center"/>
          </w:tcPr>
          <w:p>
            <w:pPr>
              <w:pStyle w:val="TableContents"/>
              <w:bidi w:val="0"/>
              <w:spacing w:before="0" w:after="0"/>
              <w:ind w:left="0" w:right="0" w:hanging="0"/>
              <w:jc w:val="left"/>
              <w:rPr/>
            </w:pPr>
            <w:r>
              <w:rPr/>
              <w:t> </w:t>
            </w:r>
          </w:p>
        </w:tc>
      </w:tr>
      <w:tr>
        <w:trPr/>
        <w:tc>
          <w:tcPr>
            <w:tcW w:w="39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vAlign w:val="center"/>
          </w:tcPr>
          <w:p>
            <w:pPr>
              <w:pStyle w:val="TableContents"/>
              <w:bidi w:val="0"/>
              <w:spacing w:before="0" w:after="0"/>
              <w:ind w:left="0" w:right="0" w:hanging="0"/>
              <w:jc w:val="left"/>
              <w:rPr/>
            </w:pPr>
            <w:r>
              <w:rPr/>
              <w:t> </w:t>
            </w:r>
          </w:p>
        </w:tc>
        <w:tc>
          <w:tcPr>
            <w:tcW w:w="810"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firstLine="200"/>
              <w:jc w:val="left"/>
              <w:rPr/>
            </w:pPr>
            <w:r>
              <w:rPr/>
              <w:t> </w:t>
            </w:r>
          </w:p>
        </w:tc>
      </w:tr>
      <w:tr>
        <w:trPr/>
        <w:tc>
          <w:tcPr>
            <w:tcW w:w="39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w:t>
            </w:r>
          </w:p>
        </w:tc>
        <w:tc>
          <w:tcPr>
            <w:tcW w:w="51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90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leases</w:t>
            </w:r>
          </w:p>
        </w:tc>
        <w:tc>
          <w:tcPr>
            <w:tcW w:w="146" w:type="dxa"/>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pPr>
            <w:r>
              <w:rPr/>
              <w:t> </w:t>
            </w:r>
          </w:p>
        </w:tc>
        <w:tc>
          <w:tcPr>
            <w:tcW w:w="96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sz w:val="20"/>
        </w:rPr>
      </w:pPr>
      <w:r>
        <w:rPr>
          <w:rFonts w:ascii="Times New Roman;serif" w:hAnsi="Times New Roman;serif"/>
          <w:b/>
          <w:sz w:val="20"/>
        </w:rPr>
        <w:t>Note 9 – Commitments and Contingencies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Letter of credit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 standby letter of credit, expiring September 30, 2024, issued by a financial institution as required security for one operating lease. The aggregate amount of the letter of credit was $260,000</w:t>
      </w:r>
      <w:r>
        <w:rPr>
          <w:rFonts w:ascii="Times New Roman" w:hAnsi="Times New Roman"/>
          <w:sz w:val="20"/>
        </w:rPr>
        <w:t xml:space="preserve"> </w:t>
      </w:r>
      <w:r>
        <w:rPr>
          <w:rFonts w:ascii="Times New Roman;serif" w:hAnsi="Times New Roman;serif"/>
          <w:b w:val="false"/>
          <w:sz w:val="20"/>
        </w:rPr>
        <w:t>as of June 30, 2023 and December 31, 2022.</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Legal Matters</w:t>
      </w:r>
    </w:p>
    <w:p>
      <w:pPr>
        <w:pStyle w:val="TextBody"/>
        <w:bidi w:val="0"/>
        <w:spacing w:before="120" w:after="0"/>
        <w:jc w:val="left"/>
        <w:rPr>
          <w:rFonts w:ascii="Times New Roman" w:hAnsi="Times New Roman"/>
          <w:sz w:val="20"/>
        </w:rPr>
      </w:pPr>
      <w:r>
        <w:rPr>
          <w:rFonts w:ascii="Times New Roman;serif" w:hAnsi="Times New Roman;serif"/>
          <w:b w:val="false"/>
          <w:sz w:val="20"/>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 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June 30, 2023 and December 31, 2022, there were no</w:t>
      </w:r>
      <w:r>
        <w:rPr>
          <w:rFonts w:ascii="Times New Roman" w:hAnsi="Times New Roman"/>
          <w:sz w:val="20"/>
        </w:rPr>
        <w:t xml:space="preserve"> </w:t>
      </w:r>
      <w:r>
        <w:rPr>
          <w:rFonts w:ascii="Times New Roman;serif" w:hAnsi="Times New Roman;serif"/>
          <w:b w:val="false"/>
          <w:sz w:val="20"/>
        </w:rPr>
        <w:t>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pStyle w:val="TextBody"/>
        <w:bidi w:val="0"/>
        <w:spacing w:before="120" w:after="0"/>
        <w:jc w:val="left"/>
        <w:rPr/>
      </w:pPr>
      <w:r>
        <w:rPr/>
        <w:t> </w:t>
      </w:r>
    </w:p>
    <w:p>
      <w:pPr>
        <w:pStyle w:val="TextBody"/>
        <w:bidi w:val="0"/>
        <w:spacing w:before="40" w:after="0"/>
        <w:jc w:val="left"/>
        <w:rPr>
          <w:rFonts w:ascii="Times New Roman;serif" w:hAnsi="Times New Roman;serif"/>
          <w:b/>
          <w:sz w:val="20"/>
        </w:rPr>
      </w:pPr>
      <w:r>
        <w:rPr>
          <w:rFonts w:ascii="Times New Roman;serif" w:hAnsi="Times New Roman;serif"/>
          <w:b/>
          <w:sz w:val="20"/>
        </w:rPr>
        <w:t>Note 10 – Subsequent Events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June 2023 LSA repayment</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4, 2023, the Company repaid its outstanding June 2023 LSA of $20.0</w:t>
      </w:r>
      <w:r>
        <w:rPr>
          <w:rFonts w:ascii="Times New Roman" w:hAnsi="Times New Roman"/>
          <w:sz w:val="20"/>
        </w:rPr>
        <w:t xml:space="preserve"> </w:t>
      </w:r>
      <w:r>
        <w:rPr>
          <w:rFonts w:ascii="Times New Roman;serif" w:hAnsi="Times New Roman;serif"/>
          <w:b w:val="false"/>
          <w:sz w:val="20"/>
        </w:rPr>
        <w:t>million early which included outstanding accrued interest of approximately $0.2</w:t>
      </w:r>
      <w:r>
        <w:rPr>
          <w:rFonts w:ascii="Times New Roman" w:hAnsi="Times New Roman"/>
          <w:sz w:val="20"/>
        </w:rPr>
        <w:t xml:space="preserve"> </w:t>
      </w:r>
      <w:r>
        <w:rPr>
          <w:rFonts w:ascii="Times New Roman;serif" w:hAnsi="Times New Roman;serif"/>
          <w:b w:val="false"/>
          <w:sz w:val="20"/>
        </w:rPr>
        <w:t>million, and approximately $1.0</w:t>
      </w:r>
      <w:r>
        <w:rPr>
          <w:rFonts w:ascii="Times New Roman" w:hAnsi="Times New Roman"/>
          <w:sz w:val="20"/>
        </w:rPr>
        <w:t xml:space="preserve"> </w:t>
      </w:r>
      <w:r>
        <w:rPr>
          <w:rFonts w:ascii="Times New Roman;serif" w:hAnsi="Times New Roman;serif"/>
          <w:b w:val="false"/>
          <w:sz w:val="20"/>
        </w:rPr>
        <w:t>million in final payment and other fees.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27</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i/>
          <w:sz w:val="20"/>
        </w:rPr>
      </w:pPr>
      <w:r>
        <w:rPr>
          <w:rFonts w:ascii="Times New Roman;serif" w:hAnsi="Times New Roman;serif"/>
          <w:b w:val="false"/>
          <w:i/>
          <w:sz w:val="20"/>
        </w:rPr>
        <w:t>ATM Offering</w:t>
      </w:r>
    </w:p>
    <w:p>
      <w:pPr>
        <w:pStyle w:val="TextBody"/>
        <w:bidi w:val="0"/>
        <w:spacing w:before="120" w:after="0"/>
        <w:jc w:val="left"/>
        <w:rPr>
          <w:rFonts w:ascii="Times New Roman" w:hAnsi="Times New Roman"/>
          <w:sz w:val="20"/>
        </w:rPr>
      </w:pPr>
      <w:r>
        <w:rPr>
          <w:rFonts w:ascii="Times New Roman;serif" w:hAnsi="Times New Roman;serif"/>
          <w:b w:val="false"/>
          <w:sz w:val="20"/>
        </w:rPr>
        <w:t>As of the date of this report, a total of 2,617,964</w:t>
      </w:r>
      <w:r>
        <w:rPr>
          <w:rFonts w:ascii="Times New Roman" w:hAnsi="Times New Roman"/>
          <w:sz w:val="20"/>
        </w:rPr>
        <w:t xml:space="preserve"> </w:t>
      </w:r>
      <w:r>
        <w:rPr>
          <w:rFonts w:ascii="Times New Roman;serif" w:hAnsi="Times New Roman;serif"/>
          <w:b w:val="false"/>
          <w:sz w:val="20"/>
        </w:rPr>
        <w:t>shares of the Company's common stock, for total gross proceeds of $50.0</w:t>
      </w:r>
      <w:r>
        <w:rPr>
          <w:rFonts w:ascii="Times New Roman" w:hAnsi="Times New Roman"/>
          <w:sz w:val="20"/>
        </w:rPr>
        <w:t xml:space="preserve"> </w:t>
      </w:r>
      <w:r>
        <w:rPr>
          <w:rFonts w:ascii="Times New Roman;serif" w:hAnsi="Times New Roman;serif"/>
          <w:b w:val="false"/>
          <w:sz w:val="20"/>
        </w:rPr>
        <w:t>million (net proceeds of $47.8</w:t>
      </w:r>
      <w:r>
        <w:rPr>
          <w:rFonts w:ascii="Times New Roman" w:hAnsi="Times New Roman"/>
          <w:sz w:val="20"/>
        </w:rPr>
        <w:t xml:space="preserve"> </w:t>
      </w:r>
      <w:r>
        <w:rPr>
          <w:rFonts w:ascii="Times New Roman;serif" w:hAnsi="Times New Roman;serif"/>
          <w:b w:val="false"/>
          <w:sz w:val="20"/>
        </w:rPr>
        <w:t>million), have been issued and sold pursuant to the ATM offering, of which 428,000</w:t>
      </w:r>
      <w:r>
        <w:rPr>
          <w:rFonts w:ascii="Times New Roman" w:hAnsi="Times New Roman"/>
          <w:sz w:val="20"/>
        </w:rPr>
        <w:t xml:space="preserve"> </w:t>
      </w:r>
      <w:r>
        <w:rPr>
          <w:rFonts w:ascii="Times New Roman;serif" w:hAnsi="Times New Roman;serif"/>
          <w:b w:val="false"/>
          <w:sz w:val="20"/>
        </w:rPr>
        <w:t>shares of the Company's common stock, for net proceeds of $11.9</w:t>
      </w:r>
      <w:r>
        <w:rPr>
          <w:rFonts w:ascii="Times New Roman" w:hAnsi="Times New Roman"/>
          <w:sz w:val="20"/>
        </w:rPr>
        <w:t xml:space="preserve"> </w:t>
      </w:r>
      <w:r>
        <w:rPr>
          <w:rFonts w:ascii="Times New Roman;serif" w:hAnsi="Times New Roman;serif"/>
          <w:b w:val="false"/>
          <w:sz w:val="20"/>
        </w:rPr>
        <w:t>million, were sold subsequent to June 30, 2023.</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28</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9" w:name="item_2_mda"/>
      <w:bookmarkEnd w:id="9"/>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p>
    <w:p>
      <w:pPr>
        <w:pStyle w:val="TextBody"/>
        <w:bidi w:val="0"/>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in conjunction with our unaudited condensed consolidated financial statements and the related notes to those statements included elsewhere in this report and our audited consolidated financial statements and related notes thereto for the year ended December 31, 2022, included in our Annual Report on Form 10-K filed with the U.S. Securities and Exchange Commission on March 6, 2023.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 of, and elsewhere in, this report. See “Special Note Regarding Forward-Looking Statements.”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commercial-stage medical technology company dedicated to providing high quality customized vision to patients following cataract surgery. Our proprietary RxSight® Light Adjustable Lens system (“RxSight system”) is the first and only commercially available premium cataract technology that enables doctors to customize and optimize visual acuity for patients after surgery. The RxSight system is comprised of our RxSight Light Adjustable Lens® (“LAL”®), RxSight Light Delivery Device (“LDD”) and accessories. Our LAL is a premium intraocular lens (“IOL”) made of proprietary photosensitive material that changes shape in response to specific patterns of ultraviolet (“UV”) light generated by our LDD.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isn’t exact, the patient may experience suboptimal results that could necessitate a subsequent corneal refractive procedure or certain other compromises in order to reach vision targets.</w:t>
      </w:r>
    </w:p>
    <w:p>
      <w:pPr>
        <w:pStyle w:val="TextBody"/>
        <w:bidi w:val="0"/>
        <w:spacing w:before="120" w:after="0"/>
        <w:jc w:val="left"/>
        <w:rPr>
          <w:rFonts w:ascii="Times New Roman" w:hAnsi="Times New Roman"/>
          <w:sz w:val="20"/>
        </w:rPr>
      </w:pPr>
      <w:r>
        <w:rPr>
          <w:rFonts w:ascii="Times New Roman;serif" w:hAnsi="Times New Roman;serif"/>
          <w:b w:val="false"/>
          <w:sz w:val="20"/>
        </w:rPr>
        <w:t>In contrast, with the RxSight system, the surgeon implants the LAL during a standard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compete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RxSight system is approved in Mexico and Canada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opportunity. New approvals may also be sought in large cataract markets with more complex regulatory processes such as Asia.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 Delaware corporation headquartered in Aliso Viejo, California with one wholly owned subsidiary located in Amsterdam, Netherlands. The wholly owned subsidiary has a registered branch in the United Kingdom and a wholly owned subsidiary located in Germany.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commercial efforts began in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 roughly 3,000 U.S. cataract surgeons that perform 70%-80% of all premium IOL procedures. As of June 30, 2023, we had established an installed base of 523 LDDs in ophthalmology practices and, since our inception through June 30, 2023, surgeons have implanted over 65,000 LALs.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29</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trainers will help facilitate further adoption of our products among existing customer accounts as well as broaden awareness of our products to new accounts. We plan to grow our business primarily by expanding the size of our LDD installed base and driving increased utilization of our LAL through heightened awareness of the superior clinical outcomes that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near-term research and development activities are focused on enhancements to the RxSight system to improve the patient and doctor experience, expand the range of patients that can be treated, as well as expand the RxSight system indications and drive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intend to continue to make investments in our sales and marketing organization, primarily sales representatives, clinical applications specialists and technical service personnel to support new customers and upgrades and LAL account managers to facilitate adoption of use of our LALs among existing accounts. We will expand our marketing efforts with additional print and digital, social media and other customer tools to expand their local advertising. We will also continue to make significant investments in research and development and clinical expenses to make enhancements in our current products. Additionally, as a public company, we expect continued increased costs for employee-related expenses, director and officer insurance premiums, audit and legal fees, investor relations fees (including with respect to future compliance with Section 404(b) of the Sarbanes-Oxley Act), fees to members of our Board and expenses for compliance with public-company reporting requirements. Because of these and other factors, we expect to continue to incur net losses and negative cash flows from operations in the near future.</w:t>
      </w:r>
    </w:p>
    <w:p>
      <w:pPr>
        <w:pStyle w:val="TextBody"/>
        <w:bidi w:val="0"/>
        <w:spacing w:before="120" w:after="0"/>
        <w:jc w:val="left"/>
        <w:rPr>
          <w:rFonts w:ascii="Times New Roman" w:hAnsi="Times New Roman"/>
          <w:sz w:val="20"/>
        </w:rPr>
      </w:pPr>
      <w:r>
        <w:rPr>
          <w:rFonts w:ascii="Times New Roman;serif" w:hAnsi="Times New Roman;serif"/>
          <w:b/>
          <w:sz w:val="20"/>
        </w:rPr>
        <w:t>Key business metrics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regularly review several operating and financial metrics to evaluate our business, measure our performance, identify trends affecting our business, formulate our business plan and make strategic decisions. We believe the number of LDDs installed and, LALs implanted are indicators of our ability to drive adoption and generate revenue. We believe these are important metrics for our business. We may not yet be able to accurately assess seasonality and other trends, and we will continue to evaluate our business in the future using these and other financial metrics as we observe trends in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the number of LDDs sold in each quarter and our LDD installed base at the end of each period are important metrics as they represent an installed base into which we can sell our LALs.</w:t>
      </w:r>
    </w:p>
    <w:tbl>
      <w:tblPr>
        <w:tblW w:w="8021" w:type="dxa"/>
        <w:jc w:val="left"/>
        <w:tblInd w:w="0" w:type="dxa"/>
        <w:tblLayout w:type="fixed"/>
        <w:tblCellMar>
          <w:top w:w="28" w:type="dxa"/>
          <w:left w:w="28" w:type="dxa"/>
          <w:bottom w:w="28" w:type="dxa"/>
          <w:right w:w="28" w:type="dxa"/>
        </w:tblCellMar>
      </w:tblPr>
      <w:tblGrid>
        <w:gridCol w:w="2611"/>
        <w:gridCol w:w="146"/>
        <w:gridCol w:w="146"/>
        <w:gridCol w:w="421"/>
        <w:gridCol w:w="146"/>
        <w:gridCol w:w="146"/>
        <w:gridCol w:w="146"/>
        <w:gridCol w:w="421"/>
        <w:gridCol w:w="146"/>
        <w:gridCol w:w="146"/>
        <w:gridCol w:w="146"/>
        <w:gridCol w:w="421"/>
        <w:gridCol w:w="146"/>
        <w:gridCol w:w="146"/>
        <w:gridCol w:w="146"/>
        <w:gridCol w:w="421"/>
        <w:gridCol w:w="146"/>
        <w:gridCol w:w="211"/>
        <w:gridCol w:w="146"/>
        <w:gridCol w:w="421"/>
        <w:gridCol w:w="146"/>
        <w:gridCol w:w="146"/>
        <w:gridCol w:w="146"/>
        <w:gridCol w:w="421"/>
        <w:gridCol w:w="146"/>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209"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LDDs Sold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Installed Base at End of Period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Reduced by one LDD taken out of installed base in Q2 2022.</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the number of LALs sold (reported as implanted in a patient) in each quarter is an important metric indicative of adoption and utilization of our RxSight system. During the quarter ended June 30, 2023, we had increased LDD sales of 18 and increased LAL sales of 7,222 when compared to the quarter ended June 30, 2022 from strong adoption of our RxSight technology by practices and doctors combined with an increased LDD installed base.</w:t>
      </w:r>
      <w:r>
        <w:rPr>
          <w:rFonts w:ascii="Times New Roman" w:hAnsi="Times New Roman"/>
          <w:sz w:val="20"/>
        </w:rPr>
        <w:t xml:space="preserve"> </w:t>
      </w:r>
    </w:p>
    <w:p>
      <w:pPr>
        <w:pStyle w:val="TextBody"/>
        <w:bidi w:val="0"/>
        <w:spacing w:before="0" w:after="0"/>
        <w:jc w:val="left"/>
        <w:rPr/>
      </w:pPr>
      <w:r>
        <w:rPr/>
        <w:t> </w:t>
      </w:r>
    </w:p>
    <w:tbl>
      <w:tblPr>
        <w:tblW w:w="7300" w:type="dxa"/>
        <w:jc w:val="left"/>
        <w:tblInd w:w="0" w:type="dxa"/>
        <w:tblLayout w:type="fixed"/>
        <w:tblCellMar>
          <w:top w:w="28" w:type="dxa"/>
          <w:left w:w="28" w:type="dxa"/>
          <w:bottom w:w="28" w:type="dxa"/>
          <w:right w:w="28" w:type="dxa"/>
        </w:tblCellMar>
      </w:tblPr>
      <w:tblGrid>
        <w:gridCol w:w="991"/>
        <w:gridCol w:w="146"/>
        <w:gridCol w:w="676"/>
        <w:gridCol w:w="146"/>
        <w:gridCol w:w="146"/>
        <w:gridCol w:w="146"/>
        <w:gridCol w:w="676"/>
        <w:gridCol w:w="146"/>
        <w:gridCol w:w="146"/>
        <w:gridCol w:w="146"/>
        <w:gridCol w:w="571"/>
        <w:gridCol w:w="146"/>
        <w:gridCol w:w="146"/>
        <w:gridCol w:w="146"/>
        <w:gridCol w:w="571"/>
        <w:gridCol w:w="146"/>
        <w:gridCol w:w="146"/>
        <w:gridCol w:w="146"/>
        <w:gridCol w:w="571"/>
        <w:gridCol w:w="146"/>
        <w:gridCol w:w="146"/>
        <w:gridCol w:w="146"/>
        <w:gridCol w:w="571"/>
        <w:gridCol w:w="146"/>
        <w:gridCol w:w="191"/>
      </w:tblGrid>
      <w:tr>
        <w:trPr/>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tcBorders/>
            <w:vAlign w:val="center"/>
          </w:tcPr>
          <w:p>
            <w:pPr>
              <w:pStyle w:val="TableContents"/>
              <w:bidi w:val="0"/>
              <w:spacing w:before="0" w:after="0"/>
              <w:ind w:left="0" w:right="0" w:hanging="0"/>
              <w:jc w:val="center"/>
              <w:rPr/>
            </w:pPr>
            <w:r>
              <w:rPr/>
              <w:t> </w:t>
            </w:r>
          </w:p>
        </w:tc>
        <w:tc>
          <w:tcPr>
            <w:tcW w:w="19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74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LALs Sold</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9,123</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30</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Components of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sales consist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LALs are held at customer sites on consignment. The single performance obligation is satisfied, and revenue is recognized for LALs upon customer notification that the LALs have been implanted in a patient.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 We recorded contract liabilities of $1,351,000 and $1,187,000 related to such service agreements as of June 30, 2023 and December 31, 2022, respectively.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and six months ended June 30, 2023 and 2022, sales from contracts with customers consisted of the following:</w:t>
      </w:r>
      <w:r>
        <w:rPr>
          <w:rFonts w:ascii="Times New Roman" w:hAnsi="Times New Roman"/>
          <w:sz w:val="20"/>
        </w:rPr>
        <w:t xml:space="preserve"> </w:t>
      </w:r>
    </w:p>
    <w:p>
      <w:pPr>
        <w:pStyle w:val="TextBody"/>
        <w:bidi w:val="0"/>
        <w:spacing w:before="120" w:after="0"/>
        <w:jc w:val="left"/>
        <w:rPr/>
      </w:pPr>
      <w:r>
        <w:rPr/>
        <w:t> </w:t>
      </w:r>
    </w:p>
    <w:tbl>
      <w:tblPr>
        <w:tblW w:w="9881" w:type="dxa"/>
        <w:jc w:val="left"/>
        <w:tblInd w:w="0" w:type="dxa"/>
        <w:tblLayout w:type="fixed"/>
        <w:tblCellMar>
          <w:top w:w="28" w:type="dxa"/>
          <w:left w:w="28" w:type="dxa"/>
          <w:bottom w:w="28" w:type="dxa"/>
          <w:right w:w="28" w:type="dxa"/>
        </w:tblCellMar>
      </w:tblPr>
      <w:tblGrid>
        <w:gridCol w:w="4246"/>
        <w:gridCol w:w="146"/>
        <w:gridCol w:w="268"/>
        <w:gridCol w:w="859"/>
        <w:gridCol w:w="185"/>
        <w:gridCol w:w="185"/>
        <w:gridCol w:w="268"/>
        <w:gridCol w:w="859"/>
        <w:gridCol w:w="146"/>
        <w:gridCol w:w="146"/>
        <w:gridCol w:w="243"/>
        <w:gridCol w:w="780"/>
        <w:gridCol w:w="168"/>
        <w:gridCol w:w="168"/>
        <w:gridCol w:w="243"/>
        <w:gridCol w:w="780"/>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82"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5" w:type="dxa"/>
            <w:tcBorders/>
            <w:vAlign w:val="center"/>
          </w:tcPr>
          <w:p>
            <w:pPr>
              <w:pStyle w:val="TableContents"/>
              <w:bidi w:val="0"/>
              <w:spacing w:before="0" w:after="0"/>
              <w:ind w:left="0" w:right="0" w:hanging="0"/>
              <w:jc w:val="center"/>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8" w:type="dxa"/>
            <w:tcBorders/>
            <w:vAlign w:val="center"/>
          </w:tcPr>
          <w:p>
            <w:pPr>
              <w:pStyle w:val="TableContents"/>
              <w:bidi w:val="0"/>
              <w:spacing w:before="0" w:after="0"/>
              <w:ind w:left="0" w:right="0" w:hanging="0"/>
              <w:jc w:val="center"/>
              <w:rPr/>
            </w:pPr>
            <w:r>
              <w:rPr/>
              <w:t> </w:t>
            </w:r>
          </w:p>
        </w:tc>
        <w:tc>
          <w:tcPr>
            <w:tcW w:w="10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3" w:type="dxa"/>
            <w:gridSpan w:val="2"/>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1023"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LDD (including training)</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7,720</w:t>
            </w:r>
          </w:p>
        </w:tc>
        <w:tc>
          <w:tcPr>
            <w:tcW w:w="185"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14,195</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10,253</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LAL</w:t>
            </w:r>
          </w:p>
        </w:tc>
        <w:tc>
          <w:tcPr>
            <w:tcW w:w="146"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12,411</w:t>
            </w:r>
          </w:p>
        </w:tc>
        <w:tc>
          <w:tcPr>
            <w:tcW w:w="185" w:type="dxa"/>
            <w:tcBorders/>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22,806</w:t>
            </w:r>
          </w:p>
        </w:tc>
        <w:tc>
          <w:tcPr>
            <w:tcW w:w="168"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9,453</w:t>
            </w:r>
          </w:p>
        </w:tc>
        <w:tc>
          <w:tcPr>
            <w:tcW w:w="191" w:type="dxa"/>
            <w:tcBorders/>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Service warranty, service contracts, and accessories</w:t>
            </w:r>
          </w:p>
        </w:tc>
        <w:tc>
          <w:tcPr>
            <w:tcW w:w="146"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1,298</w:t>
            </w:r>
          </w:p>
        </w:tc>
        <w:tc>
          <w:tcPr>
            <w:tcW w:w="1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595</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24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20,810</w:t>
            </w:r>
          </w:p>
        </w:tc>
        <w:tc>
          <w:tcPr>
            <w:tcW w:w="1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5" w:type="dxa"/>
            <w:tcBorders/>
            <w:vAlign w:val="center"/>
          </w:tcPr>
          <w:p>
            <w:pPr>
              <w:pStyle w:val="TableContents"/>
              <w:bidi w:val="0"/>
              <w:spacing w:before="0" w:after="0"/>
              <w:ind w:left="0" w:right="0" w:hanging="0"/>
              <w:jc w:val="left"/>
              <w:rPr/>
            </w:pPr>
            <w:r>
              <w:rPr/>
              <w:t> </w:t>
            </w:r>
          </w:p>
        </w:tc>
        <w:tc>
          <w:tcPr>
            <w:tcW w:w="2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38,299</w:t>
            </w:r>
          </w:p>
        </w:tc>
        <w:tc>
          <w:tcPr>
            <w:tcW w:w="1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24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20,301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For the three and six months ended June 30, 2023 and 2022 we did not have any one customer who individually accounted for more than 10% of revenue.</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i/>
          <w:sz w:val="20"/>
        </w:rPr>
        <w:t>Cost of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Cost of sales consist of materials, labor and manufacturing overhead internally to produce the Company’s products as well as the cost of shipping and handling. Overhead costs include the cost of quality assurance, material procurement, inventory control, facilities, equipment and operations supervision and management and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LDD, as is typical of many medical device capital equipment products, has a low gross margin, as the material cost of the LDD is significant, representing greater than 50% of the total cost to manufacture. In addition, we do not mark up our LDD substantially, as LDDs, as sold, generate LAL procedures. Our LAL gross margin is higher, with low material cost but high fixed overhead costs. As our manufacturing volume of the LAL increases, we expect the gross margin may improve significantly.</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31</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Selling, 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and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w:t>
      </w:r>
    </w:p>
    <w:p>
      <w:pPr>
        <w:pStyle w:val="TextBody"/>
        <w:bidi w:val="0"/>
        <w:spacing w:before="160" w:after="0"/>
        <w:jc w:val="left"/>
        <w:rPr>
          <w:rFonts w:ascii="Times New Roman" w:hAnsi="Times New Roman"/>
          <w:sz w:val="20"/>
        </w:rPr>
      </w:pPr>
      <w:r>
        <w:rPr>
          <w:rFonts w:ascii="Times New Roman;serif" w:hAnsi="Times New Roman;serif"/>
          <w:b/>
          <w:i/>
          <w:sz w:val="20"/>
        </w:rPr>
        <w:t>Interest expense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expense consist primarily of interest incurred on our outstanding indebtedness and non-cash interest related to the amortization of debt discount and issuance costs associated with our indebtedness.</w:t>
      </w:r>
      <w:r>
        <w:rPr>
          <w:rFonts w:ascii="Times New Roman" w:hAnsi="Times New Roman"/>
          <w:sz w:val="20"/>
        </w:rPr>
        <w:t xml:space="preserve"> </w:t>
      </w:r>
    </w:p>
    <w:p>
      <w:pPr>
        <w:pStyle w:val="TextBody"/>
        <w:bidi w:val="0"/>
        <w:spacing w:before="160" w:after="0"/>
        <w:jc w:val="left"/>
        <w:rPr>
          <w:rFonts w:ascii="Times New Roman;serif" w:hAnsi="Times New Roman;serif"/>
          <w:b/>
          <w:i/>
          <w:sz w:val="20"/>
        </w:rPr>
      </w:pPr>
      <w:r>
        <w:rPr>
          <w:rFonts w:ascii="Times New Roman;serif" w:hAnsi="Times New Roman;serif"/>
          <w:b/>
          <w:i/>
          <w:sz w:val="20"/>
        </w:rPr>
        <w:t>Interest and other income</w:t>
      </w:r>
    </w:p>
    <w:p>
      <w:pPr>
        <w:pStyle w:val="TextBody"/>
        <w:bidi w:val="0"/>
        <w:spacing w:before="120" w:after="0"/>
        <w:jc w:val="left"/>
        <w:rPr>
          <w:rFonts w:ascii="Times New Roman" w:hAnsi="Times New Roman"/>
          <w:sz w:val="20"/>
        </w:rPr>
      </w:pPr>
      <w:r>
        <w:rPr>
          <w:rFonts w:ascii="Times New Roman;serif" w:hAnsi="Times New Roman;serif"/>
          <w:b w:val="false"/>
          <w:sz w:val="20"/>
        </w:rPr>
        <w:t>Interest and other income consist primarily of interest income earned on our short-term investments and cash and cash equivalents.</w:t>
      </w:r>
      <w:r>
        <w:rPr>
          <w:rFonts w:ascii="Times New Roman" w:hAnsi="Times New Roman"/>
          <w:sz w:val="20"/>
        </w:rPr>
        <w:t xml:space="preserve"> </w:t>
      </w:r>
    </w:p>
    <w:p>
      <w:pPr>
        <w:pStyle w:val="TextBody"/>
        <w:bidi w:val="0"/>
        <w:spacing w:before="160" w:after="0"/>
        <w:jc w:val="left"/>
        <w:rPr>
          <w:rFonts w:ascii="Times New Roman;serif" w:hAnsi="Times New Roman;serif"/>
          <w:b/>
          <w:i/>
          <w:sz w:val="20"/>
        </w:rPr>
      </w:pPr>
      <w:r>
        <w:rPr>
          <w:rFonts w:ascii="Times New Roman;serif" w:hAnsi="Times New Roman;serif"/>
          <w:b/>
          <w:i/>
          <w:sz w:val="20"/>
        </w:rPr>
        <w:t>Comprehensive loss</w:t>
      </w:r>
    </w:p>
    <w:p>
      <w:pPr>
        <w:pStyle w:val="TextBody"/>
        <w:bidi w:val="0"/>
        <w:spacing w:before="120" w:after="0"/>
        <w:jc w:val="left"/>
        <w:rPr>
          <w:rFonts w:ascii="Times New Roman" w:hAnsi="Times New Roman"/>
          <w:sz w:val="20"/>
        </w:rPr>
      </w:pPr>
      <w:r>
        <w:rPr>
          <w:rFonts w:ascii="Times New Roman;serif" w:hAnsi="Times New Roman;serif"/>
          <w:b w:val="false"/>
          <w:sz w:val="20"/>
        </w:rPr>
        <w:t>All components of comprehensive loss, including net loss, are reported in the condensed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32</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Comparison of the three months ended June 30, 2023 and 2022</w:t>
      </w:r>
      <w:r>
        <w:rPr>
          <w:rFonts w:ascii="Times New Roman" w:hAnsi="Times New Roman"/>
          <w:sz w:val="20"/>
        </w:rPr>
        <w:t xml:space="preserve"> </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ended June 30, 2023 and 2022 together with the dollar increase or decrease and percentage change in those items.</w:t>
      </w:r>
    </w:p>
    <w:tbl>
      <w:tblPr>
        <w:tblW w:w="8729" w:type="dxa"/>
        <w:jc w:val="left"/>
        <w:tblInd w:w="0" w:type="dxa"/>
        <w:tblLayout w:type="fixed"/>
        <w:tblCellMar>
          <w:top w:w="28" w:type="dxa"/>
          <w:left w:w="28" w:type="dxa"/>
          <w:bottom w:w="28" w:type="dxa"/>
          <w:right w:w="28" w:type="dxa"/>
        </w:tblCellMar>
      </w:tblPr>
      <w:tblGrid>
        <w:gridCol w:w="3511"/>
        <w:gridCol w:w="251"/>
        <w:gridCol w:w="876"/>
        <w:gridCol w:w="197"/>
        <w:gridCol w:w="173"/>
        <w:gridCol w:w="251"/>
        <w:gridCol w:w="876"/>
        <w:gridCol w:w="166"/>
        <w:gridCol w:w="146"/>
        <w:gridCol w:w="211"/>
        <w:gridCol w:w="571"/>
        <w:gridCol w:w="166"/>
        <w:gridCol w:w="146"/>
        <w:gridCol w:w="146"/>
        <w:gridCol w:w="631"/>
        <w:gridCol w:w="411"/>
      </w:tblGrid>
      <w:tr>
        <w:trPr/>
        <w:tc>
          <w:tcPr>
            <w:tcW w:w="35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 </w:t>
            </w:r>
          </w:p>
        </w:tc>
        <w:tc>
          <w:tcPr>
            <w:tcW w:w="2624" w:type="dxa"/>
            <w:gridSpan w:val="6"/>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1" w:type="dxa"/>
            <w:gridSpan w:val="6"/>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pPr>
            <w:r>
              <w:rPr/>
              <w:t> </w:t>
            </w:r>
          </w:p>
        </w:tc>
        <w:tc>
          <w:tcPr>
            <w:tcW w:w="262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percentages)</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3" w:type="dxa"/>
            <w:tcBorders/>
            <w:vAlign w:val="center"/>
          </w:tcPr>
          <w:p>
            <w:pPr>
              <w:pStyle w:val="TableContents"/>
              <w:bidi w:val="0"/>
              <w:spacing w:before="0" w:after="0"/>
              <w:ind w:left="0" w:right="0" w:hanging="0"/>
              <w:jc w:val="center"/>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20,810</w:t>
            </w:r>
          </w:p>
        </w:tc>
        <w:tc>
          <w:tcPr>
            <w:tcW w:w="197"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83.2</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8,795</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12,015</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150.9</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127" w:type="dxa"/>
            <w:gridSpan w:val="2"/>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25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18,239</w:t>
            </w:r>
          </w:p>
        </w:tc>
        <w:tc>
          <w:tcPr>
            <w:tcW w:w="197"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411" w:type="dxa"/>
            <w:tcBorders/>
            <w:vAlign w:val="center"/>
          </w:tcPr>
          <w:p>
            <w:pPr>
              <w:pStyle w:val="TableContents"/>
              <w:bidi w:val="0"/>
              <w:spacing w:before="0" w:after="0"/>
              <w:ind w:left="0" w:right="0" w:firstLine="200"/>
              <w:jc w:val="left"/>
              <w:rPr/>
            </w:pPr>
            <w:r>
              <w:rPr/>
              <w:t> </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7,401</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w:t>
            </w:r>
          </w:p>
        </w:tc>
        <w:tc>
          <w:tcPr>
            <w:tcW w:w="41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25,640</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3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(13,625</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(15,792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127" w:type="dxa"/>
            <w:gridSpan w:val="2"/>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25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(1,568</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411" w:type="dxa"/>
            <w:tcBorders/>
            <w:vAlign w:val="center"/>
          </w:tcPr>
          <w:p>
            <w:pPr>
              <w:pStyle w:val="TableContents"/>
              <w:bidi w:val="0"/>
              <w:spacing w:before="0" w:after="0"/>
              <w:ind w:left="0" w:right="0" w:firstLine="200"/>
              <w:jc w:val="left"/>
              <w:rPr/>
            </w:pPr>
            <w:r>
              <w:rPr/>
              <w:t> </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income</w:t>
            </w:r>
          </w:p>
        </w:tc>
        <w:tc>
          <w:tcPr>
            <w:tcW w:w="25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1,777</w:t>
            </w:r>
          </w:p>
        </w:tc>
        <w:tc>
          <w:tcPr>
            <w:tcW w:w="197"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806.5</w:t>
            </w:r>
          </w:p>
        </w:tc>
        <w:tc>
          <w:tcPr>
            <w:tcW w:w="411" w:type="dxa"/>
            <w:tcBorders/>
            <w:vAlign w:val="center"/>
          </w:tcPr>
          <w:p>
            <w:pPr>
              <w:pStyle w:val="TableContents"/>
              <w:bidi w:val="0"/>
              <w:spacing w:before="0" w:after="0"/>
              <w:ind w:left="0" w:right="0" w:firstLine="200"/>
              <w:jc w:val="left"/>
              <w:rPr/>
            </w:pPr>
            <w:r>
              <w:rPr/>
              <w:t> </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extinguishment of term loan</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(expense) income, net:</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(153</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(13,778</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5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97"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41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(13,804</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127" w:type="dxa"/>
            <w:gridSpan w:val="2"/>
            <w:tcBorders/>
            <w:vAlign w:val="center"/>
          </w:tcPr>
          <w:p>
            <w:pPr>
              <w:pStyle w:val="TableContents"/>
              <w:bidi w:val="0"/>
              <w:spacing w:before="0" w:after="0"/>
              <w:ind w:left="0" w:right="0" w:hanging="0"/>
              <w:jc w:val="right"/>
              <w:rPr/>
            </w:pPr>
            <w:r>
              <w:rPr/>
              <w:t> </w:t>
            </w:r>
          </w:p>
        </w:tc>
        <w:tc>
          <w:tcPr>
            <w:tcW w:w="197" w:type="dxa"/>
            <w:tcBorders/>
            <w:vAlign w:val="center"/>
          </w:tcPr>
          <w:p>
            <w:pPr>
              <w:pStyle w:val="TableContents"/>
              <w:bidi w:val="0"/>
              <w:spacing w:before="0" w:after="0"/>
              <w:ind w:left="0" w:right="0" w:hanging="0"/>
              <w:jc w:val="right"/>
              <w:rPr/>
            </w:pPr>
            <w:r>
              <w:rPr/>
              <w:t> </w:t>
            </w:r>
          </w:p>
        </w:tc>
        <w:tc>
          <w:tcPr>
            <w:tcW w:w="173"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loss on short-term investments</w:t>
            </w:r>
          </w:p>
        </w:tc>
        <w:tc>
          <w:tcPr>
            <w:tcW w:w="25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gain (loss)</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comprehensive loss</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(13,868</w:t>
            </w:r>
          </w:p>
        </w:tc>
        <w:tc>
          <w:tcPr>
            <w:tcW w:w="19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3" w:type="dxa"/>
            <w:tcBorders/>
            <w:vAlign w:val="center"/>
          </w:tcPr>
          <w:p>
            <w:pPr>
              <w:pStyle w:val="TableContents"/>
              <w:bidi w:val="0"/>
              <w:spacing w:before="0" w:after="0"/>
              <w:ind w:left="0" w:right="0" w:hanging="0"/>
              <w:jc w:val="left"/>
              <w:rPr/>
            </w:pPr>
            <w:r>
              <w:rPr/>
              <w:t> </w:t>
            </w:r>
          </w:p>
        </w:tc>
        <w:tc>
          <w:tcPr>
            <w:tcW w:w="2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(16,817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511"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173"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7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left"/>
        <w:rPr>
          <w:rFonts w:ascii="Times New Roman" w:hAnsi="Times New Roman"/>
          <w:sz w:val="20"/>
        </w:rPr>
      </w:pPr>
      <w:r>
        <w:rPr>
          <w:rFonts w:ascii="Times New Roman;serif" w:hAnsi="Times New Roman;serif"/>
          <w:b/>
          <w:i/>
          <w:sz w:val="20"/>
        </w:rPr>
        <w:t>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Sales increased by $9.4 million, or 83.2%, to $20.8 million for the three months ended June 30, 2023, from $11.4 million for the three months ended June 30, 2022. The increase in total sales was primarily due to incremental sales of 7,222 LALs and 18 LDDs from strong adoption of our RxSight technology by practices and doctors.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Cost of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Cost of sales increased by $2.2 million, or 33.8%, to $8.8 million for the three months ended June 30, 2023, from $6.6 million for the three months ended June 30, 2022, primarily due to the increase in the number of LALs and LDDs sold during the period. Gross margin increased to 57.7% in the three months ended June 30, 2023, from 42.2% for the three months ended June 30, 2022 primarily due to improved operating leverage and favorable product mix from a greater percentage of revenue from LAL sales.</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i/>
          <w:sz w:val="20"/>
        </w:rPr>
        <w:t>Selling, 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SG&amp;A expenses increased by $3.9 million, or 26.8%, to $18.2 million for the three months ended June 30, 2023, from $14.4 million for the three months ended June 30, 2022. This increase was primarily attributable to an increase in selling and marketing costs of $3.4 million mainly due to increased salaries from increased headcount of 37, increased sales commissions, incentive bonuses and employee benefits of $1.8 million, $0.5 million of increased stock-based compensation expense, $0.3 million in additional post market study costs, and new customer acquisition costs and increased travel costs of $0.7 million from increased LDD sales, in each case when compared to the three months ended June 30, 2022. General and administrative expenses increased $0.5 million due to increased personnel expenses of $0.2 million, $0.3 million of increased costs related to operating as a public company and increased</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33</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stock-based compensation of $0.3 million which were partially offset by lower facility costs of $0.2 million, in each case when compared to the three months ended June 30, 2022.</w:t>
      </w:r>
    </w:p>
    <w:p>
      <w:pPr>
        <w:pStyle w:val="TextBody"/>
        <w:bidi w:val="0"/>
        <w:spacing w:before="16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by $1.2 million, or 19.5%, to $7.4 million for the three months ended June 30, 2023, from $6.2 million for the three months ended June 30, 2022. This increase was primarily attributable to $0.7 million due to increased salaries from increased headcount and $0.4 million from increased clinical study costs.</w:t>
      </w:r>
    </w:p>
    <w:p>
      <w:pPr>
        <w:pStyle w:val="TextBody"/>
        <w:bidi w:val="0"/>
        <w:spacing w:before="160" w:after="0"/>
        <w:jc w:val="left"/>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(expense), net, was an expense of $0.2 million for the three months ended June 30, 2023, compared to expense of $0.9 million for the three months ended June 30, 2022. This change was primarily due to increased interest income of $1.6 million from higher interest rates earned on higher short-term investment balances which were offset by an increase in interest expense of $0.4 million on our term loans which was primarily due to higher interest rates and the loss from partial extinguishment of our term loan of $0.4 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Comparison of the six months ended June 30, 2023 and 2022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our results of operations for six months ended June 30, 2023 and 2022 together with the dollar increase or decrease and percentage change in those items:</w:t>
      </w:r>
      <w:r>
        <w:rPr>
          <w:rFonts w:ascii="Times New Roman" w:hAnsi="Times New Roman"/>
          <w:sz w:val="20"/>
        </w:rPr>
        <w:t xml:space="preserve"> </w:t>
      </w:r>
    </w:p>
    <w:tbl>
      <w:tblPr>
        <w:tblW w:w="9209" w:type="dxa"/>
        <w:jc w:val="left"/>
        <w:tblInd w:w="0" w:type="dxa"/>
        <w:tblLayout w:type="fixed"/>
        <w:tblCellMar>
          <w:top w:w="28" w:type="dxa"/>
          <w:left w:w="28" w:type="dxa"/>
          <w:bottom w:w="28" w:type="dxa"/>
          <w:right w:w="28" w:type="dxa"/>
        </w:tblCellMar>
      </w:tblPr>
      <w:tblGrid>
        <w:gridCol w:w="4036"/>
        <w:gridCol w:w="228"/>
        <w:gridCol w:w="796"/>
        <w:gridCol w:w="179"/>
        <w:gridCol w:w="157"/>
        <w:gridCol w:w="228"/>
        <w:gridCol w:w="796"/>
        <w:gridCol w:w="166"/>
        <w:gridCol w:w="146"/>
        <w:gridCol w:w="211"/>
        <w:gridCol w:w="676"/>
        <w:gridCol w:w="166"/>
        <w:gridCol w:w="146"/>
        <w:gridCol w:w="146"/>
        <w:gridCol w:w="721"/>
        <w:gridCol w:w="411"/>
      </w:tblGrid>
      <w:tr>
        <w:trPr/>
        <w:tc>
          <w:tcPr>
            <w:tcW w:w="403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0"/>
              <w:ind w:left="0" w:right="0" w:hanging="0"/>
              <w:jc w:val="left"/>
              <w:rPr/>
            </w:pPr>
            <w:r>
              <w:rPr/>
              <w:t> </w:t>
            </w:r>
          </w:p>
        </w:tc>
        <w:tc>
          <w:tcPr>
            <w:tcW w:w="2384" w:type="dxa"/>
            <w:gridSpan w:val="6"/>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pPr>
            <w:r>
              <w:rPr/>
              <w:t> </w:t>
            </w:r>
          </w:p>
        </w:tc>
        <w:tc>
          <w:tcPr>
            <w:tcW w:w="411" w:type="dxa"/>
            <w:tcBorders/>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pPr>
            <w:r>
              <w:rPr/>
              <w:t> </w:t>
            </w:r>
          </w:p>
        </w:tc>
        <w:tc>
          <w:tcPr>
            <w:tcW w:w="238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Six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Change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 thousands, except percentages)</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7" w:type="dxa"/>
            <w:tcBorders/>
            <w:vAlign w:val="center"/>
          </w:tcPr>
          <w:p>
            <w:pPr>
              <w:pStyle w:val="TableContents"/>
              <w:bidi w:val="0"/>
              <w:spacing w:before="0" w:after="0"/>
              <w:ind w:left="0" w:right="0" w:hanging="0"/>
              <w:jc w:val="center"/>
              <w:rPr/>
            </w:pPr>
            <w:r>
              <w:rPr/>
              <w:t> </w:t>
            </w:r>
          </w:p>
        </w:tc>
        <w:tc>
          <w:tcPr>
            <w:tcW w:w="10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38,299</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88.7</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sales</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15,919</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11,752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Gross profit</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22,380</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8,549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024" w:type="dxa"/>
            <w:gridSpan w:val="2"/>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6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Selling, general and administrative</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34,492</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28,008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6,484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411" w:type="dxa"/>
            <w:tcBorders/>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14,608</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411" w:type="dxa"/>
            <w:tcBorders/>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49,100</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8,181</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w:t>
            </w:r>
          </w:p>
        </w:tc>
        <w:tc>
          <w:tcPr>
            <w:tcW w:w="4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(26,720</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(17.5</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024" w:type="dxa"/>
            <w:gridSpan w:val="2"/>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6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(3,075</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411" w:type="dxa"/>
            <w:tcBorders/>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other income</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3,168</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1,208.1</w:t>
            </w:r>
          </w:p>
        </w:tc>
        <w:tc>
          <w:tcPr>
            <w:tcW w:w="411" w:type="dxa"/>
            <w:tcBorders/>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Loss on extinguishment of term loan</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income (expense), net:</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before income taxes</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(26,989</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(27,016</w:t>
            </w:r>
          </w:p>
        </w:tc>
        <w:tc>
          <w:tcPr>
            <w:tcW w:w="17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(34,328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loss</w:t>
            </w:r>
          </w:p>
        </w:tc>
        <w:tc>
          <w:tcPr>
            <w:tcW w:w="1024" w:type="dxa"/>
            <w:gridSpan w:val="2"/>
            <w:tcBorders/>
            <w:vAlign w:val="center"/>
          </w:tcPr>
          <w:p>
            <w:pPr>
              <w:pStyle w:val="TableContents"/>
              <w:bidi w:val="0"/>
              <w:spacing w:before="0" w:after="0"/>
              <w:ind w:left="0" w:right="0" w:hanging="0"/>
              <w:jc w:val="right"/>
              <w:rPr/>
            </w:pPr>
            <w:r>
              <w:rPr/>
              <w:t> </w:t>
            </w:r>
          </w:p>
        </w:tc>
        <w:tc>
          <w:tcPr>
            <w:tcW w:w="179" w:type="dxa"/>
            <w:tcBorders/>
            <w:vAlign w:val="center"/>
          </w:tcPr>
          <w:p>
            <w:pPr>
              <w:pStyle w:val="TableContents"/>
              <w:bidi w:val="0"/>
              <w:spacing w:before="0" w:after="0"/>
              <w:ind w:left="0" w:right="0" w:hanging="0"/>
              <w:jc w:val="right"/>
              <w:rPr/>
            </w:pPr>
            <w:r>
              <w:rPr/>
              <w:t> </w:t>
            </w:r>
          </w:p>
        </w:tc>
        <w:tc>
          <w:tcPr>
            <w:tcW w:w="157" w:type="dxa"/>
            <w:tcBorders/>
            <w:vAlign w:val="center"/>
          </w:tcPr>
          <w:p>
            <w:pPr>
              <w:pStyle w:val="TableContents"/>
              <w:bidi w:val="0"/>
              <w:spacing w:before="0" w:after="0"/>
              <w:ind w:left="0" w:right="0" w:hanging="0"/>
              <w:jc w:val="left"/>
              <w:rPr/>
            </w:pPr>
            <w:r>
              <w:rPr/>
              <w:t> </w:t>
            </w:r>
          </w:p>
        </w:tc>
        <w:tc>
          <w:tcPr>
            <w:tcW w:w="1024"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6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short-term investments</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179" w:type="dxa"/>
            <w:tcBorders/>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(112.5</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Foreign currency translation gain (loss)</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other comprehensive income (loss)</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7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0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(26,994</w:t>
            </w:r>
          </w:p>
        </w:tc>
        <w:tc>
          <w:tcPr>
            <w:tcW w:w="17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7" w:type="dxa"/>
            <w:tcBorders/>
            <w:vAlign w:val="center"/>
          </w:tcPr>
          <w:p>
            <w:pPr>
              <w:pStyle w:val="TableContents"/>
              <w:bidi w:val="0"/>
              <w:spacing w:before="0" w:after="0"/>
              <w:ind w:left="0" w:right="0" w:hanging="0"/>
              <w:jc w:val="left"/>
              <w:rPr/>
            </w:pPr>
            <w:r>
              <w:rPr/>
              <w:t> </w:t>
            </w:r>
          </w:p>
        </w:tc>
        <w:tc>
          <w:tcPr>
            <w:tcW w:w="22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(34,491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i/>
          <w:sz w:val="20"/>
        </w:rPr>
        <w:t>Sales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Sales increased by $18.0 million, or 88.7%, to $38.3 million for the six months ended June 30, 2023, from $20.3 million for the six months ended June 30, 2022. The increase was due to incremental sales of 13,579 LALs primarily due to an increased LDD installed base and incremental sales of 34 LDDs from strong adoption of our RxSight technology by practices and doctors combined with an increased LDD installed base.</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34</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i/>
          <w:sz w:val="20"/>
        </w:rPr>
        <w:t>Cost of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Cost of sales increased by $4.2 million, or 35.5%, to $15.9 million for the six months ended June 30, 2023 from $11.8 million for the six months ended June 30, 2022, primarily due to the increase in the number of LALs and LDDs sold during the period. Gross margin increased to 58.4% for the six months ended June 30, 2023, reflecting favorable product mix from 42.1% for the six months ended June 30, 2022 primarily due to improved operating leverage from increased sales volumes and favorable product mix from a greater percentage of revenue from LAL sales.</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i/>
          <w:sz w:val="20"/>
        </w:rPr>
        <w:t>SG&amp;A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SG&amp;A expenses increased by $6.5 million, or 23.1%, to $34.5 million for the six months ended June 30, 2023, from $28.0 million for the six months ended June 30, 2022. This increase was primarily attributable to an increase in selling and marketing costs of $5.9 million mainly due to increased salaries from increased headcount of 37, increased sales commissions, incentive bonuses and employee benefits of $3.8 million, $0.9 million of increased stock-based compensation expense, $0.2 million in additional post market study costs, and new customer acquisition costs and increased travel costs of $1.1 million from increased LDD sales, in each case when compared to the six months ended June 30, 2022. General and administrative expenses increased $0.6 million due to increased personnel expenses of $0.5 million, $0.3 million of increased costs related to operating as a public company and increased stock-based compensation of $0.5 million which were partially offset by lower insurance costs of $0.4 million, in each case when compared to the six months ended June 30, 2022.</w:t>
      </w:r>
    </w:p>
    <w:p>
      <w:pPr>
        <w:pStyle w:val="TextBody"/>
        <w:bidi w:val="0"/>
        <w:spacing w:before="16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increased by $1.7 million, or 13.1%, to $14.6 million for the six months ended June 30, 2023, from $12.9 million for the six months ended June 30, 2022. This increase was primarily attributable to $1.1 million in increased personnel costs and $0.7 million in increased clinical study costs.</w:t>
      </w:r>
    </w:p>
    <w:p>
      <w:pPr>
        <w:pStyle w:val="TextBody"/>
        <w:bidi w:val="0"/>
        <w:spacing w:before="160" w:after="0"/>
        <w:jc w:val="left"/>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(expense), net, was and expense of $0.3 million for the six months ended June 30, 2023, as compared to expense of $2.0 million for the six months ended June 30, 2022, primarily due to increased interest income of $2.9 million from higher interest rates earned on our short-term investment balances which were offset by an increase in interest expense of $0.9 million on our term loans which was primarily due to higher interest rates and the loss from partial extinguishment of our term loan of $0.4 million.</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Sources of liquidity</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incurred significant operating losses and negative cash flows from operations since our inception, and we anticipate that we will incur significant losses in the future.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cash, cash equivalents and short-term investments of $147.1 million. For the six months ended June 30, 2023, and 2022, our loss from operations were $26.7 million and $32.4 million, respectively. We had an accumulated deficit of $573.0 million as of June 30, 2023.</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sz w:val="20"/>
        </w:rPr>
        <w:t>Recent Developments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Shelf Registration Statement</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August 8, 2022, we filed a $200.0 million shelf registration statement which became effective on August 12, 2022. The shelf registration is effective for three years and permits us to sell, from time to time, up to $200.0 million in aggregate value of our common stock, preferred stock, debt securities, warrants, and/or units. The shelf registration statement was intended to provide us with flexibility to access additional capital when market conditions are appropriate. At the time of filing the shelf registration statement, we also filed a prospectus supplement to sell up to an aggregate value of $50.0 million dollars of our common stock through an ATM offering, through BofA Securities, Inc. as sales agent (the “ATM Facility”).</w:t>
      </w:r>
    </w:p>
    <w:p>
      <w:pPr>
        <w:pStyle w:val="TextBody"/>
        <w:bidi w:val="0"/>
        <w:spacing w:before="120" w:after="0"/>
        <w:jc w:val="left"/>
        <w:rPr>
          <w:rFonts w:ascii="Times New Roman" w:hAnsi="Times New Roman"/>
          <w:sz w:val="20"/>
        </w:rPr>
      </w:pPr>
      <w:r>
        <w:rPr>
          <w:rFonts w:ascii="Times New Roman;serif" w:hAnsi="Times New Roman;serif"/>
          <w:b w:val="false"/>
          <w:sz w:val="20"/>
        </w:rPr>
        <w:t>As of the date of this report, a total of 2,617,964 shares of the Company's common stock, for total gross proceeds of $50.0 million (net proceeds of $47.8 million), have been issued and sold pursuant to the ATM offering,</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35</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of which 428,000 shares of the Company's common stock, for net proceeds of $11.9 million, were sold subsequent to June 30,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February 7, 2023, we entered into an underwriting agreement with BofA Securities, Inc., pursuant to which we agreed to issue and sell 4,000,000 shares of our common stock in a public offering, pursuant to the shelf registration statement. The shares of common stock were sold at a price to the public of $12.50 per share. Under the terms of the underwriting agreement, we also granted the underwriters an option exercisable for 30 days from the date of the underwriting agreement to purchase up to an additional 600,000 shares of common stock on the same terms and conditions. The public offering closed on February 10, 2023. The underwriters' option was exercised in full on February 10, 2023 and closed on February 14, 2023. We received net proceeds of approximately $53.6 million from the public offering, after deducting underwriters' discounts and commissions of $3.5 million and offering expenses of $0.5 million.</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Refinancing and Payoff of Oxford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29, 2020, we and Oxford Finance LLC (“Oxford”), as collateral agent, and certain lenders (“Lenders”) entered into that certain Loan and Security Agreement, as amended by that certain Consent and First Amendment to Loan and Security Agreement, dated as of July 6, 2021, and that certain Second Amendment to Loan and Security Agreement, dated as of May 3, 2022 (the “May 2022 LSA”), pursuant to which the Lenders provided to us certain loans in accordance with the terms and conditions of the May 2022 LSA (such loans collectively, the “May 2022 Term Loan”).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June 30, 2023, we entered into a new Loan and Security Agreement (the “June 2023 LSA”) with Oxford as collateral agent and the lenders party thereto, pursuant to which we borrowed $20.0 million in aggregate Term A Loans (the “Term A Loans”). On that same date, we prepaid the May 2022 Term Loan in full using a combination of cash, primarily comprised of $19.4 million of cash raised under the ATM Facility during the quarter ended June 30, 2023, $20.0 million in Term A Loans and $1.7 million in cash reserves.</w:t>
      </w:r>
    </w:p>
    <w:p>
      <w:pPr>
        <w:pStyle w:val="TextBody"/>
        <w:bidi w:val="0"/>
        <w:spacing w:before="120" w:after="160"/>
        <w:jc w:val="left"/>
        <w:rPr>
          <w:rFonts w:ascii="Times New Roman;serif" w:hAnsi="Times New Roman;serif"/>
          <w:b w:val="false"/>
          <w:sz w:val="20"/>
        </w:rPr>
      </w:pPr>
      <w:r>
        <w:rPr>
          <w:rFonts w:ascii="Times New Roman;serif" w:hAnsi="Times New Roman;serif"/>
          <w:b w:val="false"/>
          <w:sz w:val="20"/>
        </w:rPr>
        <w:t>On August 4, 2023, we prepaid the Term A Loans in full, including accrued interest and fees, using $11.9 million of cash, net, raised under the ATM Facility subsequent to June 30, 2023 and $9.3 million in cash reserves.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 Note 6 (Term Loans) in the condensed consolidated financial statements elsewhere in this report for a discussion of the terms and conditions of the June 2023 LSA and May 2022 LSA and related term loans.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and December 31, 2022, we were in compliance with the June 2023 LSA and May 2022 LSA covenants, respectively.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paydown in full of our debt is expected to reduce anticipated interest expense for the remaining six months of 2023 by approximately $1.2 million and reduce anticipated 2024 interest expense by approximately $2.3 million.</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Standby letter of credit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also have a standby letter of credit, expiring September 30, 2024, issued by a financial institution as a required security for one operating lease. The aggregate amount of the letter of credit was $0.3 million as of June 30, 2023 and December 31, 2022, respectively.</w:t>
      </w:r>
    </w:p>
    <w:p>
      <w:pPr>
        <w:pStyle w:val="TextBody"/>
        <w:bidi w:val="0"/>
        <w:spacing w:before="120" w:after="0"/>
        <w:jc w:val="left"/>
        <w:rPr>
          <w:rFonts w:ascii="Times New Roman" w:hAnsi="Times New Roman"/>
          <w:sz w:val="20"/>
        </w:rPr>
      </w:pPr>
      <w:r>
        <w:rPr>
          <w:rFonts w:ascii="Times New Roman;serif" w:hAnsi="Times New Roman;serif"/>
          <w:b/>
          <w:i/>
          <w:sz w:val="20"/>
        </w:rPr>
        <w:t>Funding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future liquidity and capital funding requirements will depend on numerous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sales growth;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research and development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sales and marketing activities;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working capital investments, primarily in inventories and accounts receivable;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raise additional funds or borrow to finance our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outcome, costs and timing of any clinical trial results for our current or future products;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emergence and effect of competing or complementary products;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36</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retain our current employees and the need and ability to hire additional management, sales, research and development, scientific and customer support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terms and timing of any collaborative, licensing or other arrangements that we have or may establish;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and finance lease payments for our facilities;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extent to which we acquire or invest in businesses, products or technologies.</w:t>
      </w:r>
    </w:p>
    <w:p>
      <w:pPr>
        <w:pStyle w:val="TextBody"/>
        <w:bidi w:val="0"/>
        <w:spacing w:before="120" w:after="0"/>
        <w:jc w:val="left"/>
        <w:rPr>
          <w:rFonts w:ascii="Times New Roman" w:hAnsi="Times New Roman"/>
          <w:sz w:val="20"/>
        </w:rPr>
      </w:pPr>
      <w:r>
        <w:rPr>
          <w:rFonts w:ascii="Times New Roman;serif" w:hAnsi="Times New Roman;serif"/>
          <w:b w:val="false"/>
          <w:sz w:val="20"/>
        </w:rPr>
        <w:t>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If we raise additional funds by issuing equity securities, our stockholders may experience dilution.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 Part II, Item 1A (“Risk Factors”) of this report for additional risks associated with our substantial capital requirements.</w:t>
      </w:r>
    </w:p>
    <w:p>
      <w:pPr>
        <w:pStyle w:val="TextBody"/>
        <w:bidi w:val="0"/>
        <w:spacing w:before="160" w:after="0"/>
        <w:jc w:val="left"/>
        <w:rPr>
          <w:rFonts w:ascii="Times New Roman" w:hAnsi="Times New Roman"/>
          <w:sz w:val="20"/>
        </w:rPr>
      </w:pPr>
      <w:r>
        <w:rPr>
          <w:rFonts w:ascii="Times New Roman;serif" w:hAnsi="Times New Roman;serif"/>
          <w:b/>
          <w:i/>
          <w:sz w:val="20"/>
        </w:rPr>
        <w:t>Summary statement of 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sets forth the primary sources and uses of cash, cash equivalents, and restricted cash for each of the periods presented below:</w:t>
      </w:r>
      <w:r>
        <w:rPr>
          <w:rFonts w:ascii="Times New Roman" w:hAnsi="Times New Roman"/>
          <w:sz w:val="20"/>
        </w:rPr>
        <w:t xml:space="preserve"> </w:t>
      </w:r>
    </w:p>
    <w:tbl>
      <w:tblPr>
        <w:tblW w:w="8342" w:type="dxa"/>
        <w:jc w:val="left"/>
        <w:tblInd w:w="0" w:type="dxa"/>
        <w:tblLayout w:type="fixed"/>
        <w:tblCellMar>
          <w:top w:w="28" w:type="dxa"/>
          <w:left w:w="28" w:type="dxa"/>
          <w:bottom w:w="28" w:type="dxa"/>
          <w:right w:w="28" w:type="dxa"/>
        </w:tblCellMar>
      </w:tblPr>
      <w:tblGrid>
        <w:gridCol w:w="4741"/>
        <w:gridCol w:w="146"/>
        <w:gridCol w:w="291"/>
        <w:gridCol w:w="1016"/>
        <w:gridCol w:w="229"/>
        <w:gridCol w:w="201"/>
        <w:gridCol w:w="291"/>
        <w:gridCol w:w="1016"/>
        <w:gridCol w:w="4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04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For the 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044"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(unaudited)</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3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 w:type="dxa"/>
            <w:tcBorders/>
            <w:vAlign w:val="center"/>
          </w:tcPr>
          <w:p>
            <w:pPr>
              <w:pStyle w:val="TableContents"/>
              <w:bidi w:val="0"/>
              <w:spacing w:before="0" w:after="0"/>
              <w:ind w:left="0" w:right="0" w:hanging="0"/>
              <w:jc w:val="center"/>
              <w:rPr/>
            </w:pPr>
            <w:r>
              <w:rPr/>
              <w:t> </w:t>
            </w:r>
          </w:p>
        </w:tc>
        <w:tc>
          <w:tcPr>
            <w:tcW w:w="13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w:t>
            </w:r>
          </w:p>
        </w:tc>
        <w:tc>
          <w:tcPr>
            <w:tcW w:w="146" w:type="dxa"/>
            <w:tcBorders/>
            <w:vAlign w:val="center"/>
          </w:tcPr>
          <w:p>
            <w:pPr>
              <w:pStyle w:val="TableContents"/>
              <w:bidi w:val="0"/>
              <w:spacing w:before="0" w:after="0"/>
              <w:ind w:left="0" w:right="0" w:hanging="0"/>
              <w:jc w:val="left"/>
              <w:rPr/>
            </w:pPr>
            <w:r>
              <w:rPr/>
              <w:t> </w:t>
            </w:r>
          </w:p>
        </w:tc>
        <w:tc>
          <w:tcPr>
            <w:tcW w:w="1307" w:type="dxa"/>
            <w:gridSpan w:val="2"/>
            <w:tcBorders/>
            <w:vAlign w:val="center"/>
          </w:tcPr>
          <w:p>
            <w:pPr>
              <w:pStyle w:val="TableContents"/>
              <w:bidi w:val="0"/>
              <w:spacing w:before="0" w:after="0"/>
              <w:ind w:left="0" w:right="0" w:hanging="0"/>
              <w:jc w:val="right"/>
              <w:rPr/>
            </w:pPr>
            <w:r>
              <w:rPr/>
              <w:t> </w:t>
            </w:r>
          </w:p>
        </w:tc>
        <w:tc>
          <w:tcPr>
            <w:tcW w:w="229"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130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47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activities</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(25,310</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(29,808</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Investing activities</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(43,970</w:t>
            </w:r>
          </w:p>
        </w:tc>
        <w:tc>
          <w:tcPr>
            <w:tcW w:w="22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28,985</w:t>
            </w:r>
          </w:p>
        </w:tc>
        <w:tc>
          <w:tcPr>
            <w:tcW w:w="411" w:type="dxa"/>
            <w:tcBorders/>
            <w:vAlign w:val="center"/>
          </w:tcPr>
          <w:p>
            <w:pPr>
              <w:pStyle w:val="TableContents"/>
              <w:bidi w:val="0"/>
              <w:spacing w:before="0" w:after="0"/>
              <w:ind w:left="0" w:right="0" w:firstLine="200"/>
              <w:jc w:val="left"/>
              <w:rPr/>
            </w:pPr>
            <w:r>
              <w:rPr/>
              <w:t> </w:t>
            </w:r>
          </w:p>
        </w:tc>
      </w:tr>
      <w:tr>
        <w:trPr/>
        <w:tc>
          <w:tcPr>
            <w:tcW w:w="47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Financing activities</w:t>
            </w:r>
          </w:p>
        </w:tc>
        <w:tc>
          <w:tcPr>
            <w:tcW w:w="146"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66,196</w:t>
            </w:r>
          </w:p>
        </w:tc>
        <w:tc>
          <w:tcPr>
            <w:tcW w:w="229"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480</w:t>
            </w:r>
          </w:p>
        </w:tc>
        <w:tc>
          <w:tcPr>
            <w:tcW w:w="411" w:type="dxa"/>
            <w:tcBorders/>
            <w:vAlign w:val="center"/>
          </w:tcPr>
          <w:p>
            <w:pPr>
              <w:pStyle w:val="TableContents"/>
              <w:bidi w:val="0"/>
              <w:spacing w:before="0" w:after="0"/>
              <w:ind w:left="0" w:right="0" w:firstLine="200"/>
              <w:jc w:val="left"/>
              <w:rPr/>
            </w:pPr>
            <w:r>
              <w:rPr/>
              <w:t> </w:t>
            </w:r>
          </w:p>
        </w:tc>
      </w:tr>
      <w:tr>
        <w:trPr/>
        <w:tc>
          <w:tcPr>
            <w:tcW w:w="47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Effect of foreign exchange rate on cash, cash equivalents</w:t>
              <w:br/>
              <w:t>   and restricted cash</w:t>
            </w:r>
          </w:p>
        </w:tc>
        <w:tc>
          <w:tcPr>
            <w:tcW w:w="146" w:type="dxa"/>
            <w:tcBorders/>
            <w:vAlign w:val="center"/>
          </w:tcPr>
          <w:p>
            <w:pPr>
              <w:pStyle w:val="TableContents"/>
              <w:bidi w:val="0"/>
              <w:spacing w:before="0" w:after="0"/>
              <w:ind w:left="0" w:right="0" w:hanging="0"/>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w:t>
            </w:r>
          </w:p>
        </w:tc>
        <w:tc>
          <w:tcPr>
            <w:tcW w:w="2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1" w:type="dxa"/>
            <w:tcBorders/>
            <w:vAlign w:val="center"/>
          </w:tcPr>
          <w:p>
            <w:pPr>
              <w:pStyle w:val="TableContents"/>
              <w:bidi w:val="0"/>
              <w:spacing w:before="0" w:after="0"/>
              <w:ind w:left="0" w:right="0" w:hanging="0"/>
              <w:jc w:val="left"/>
              <w:rPr/>
            </w:pPr>
            <w:r>
              <w:rPr/>
              <w:t> </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sz w:val="20"/>
        </w:rPr>
        <w:t>Cash used in 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Net cash used in operating activities for the six months ended June 30, 2023, was $25.3 million, consisting primarily of a net loss of $27.0 million and a change in operating assets and liabilities of $5.3 million, partially offset by non-cash stock-based compensation of $7.3 million and depreciation and amortization of $1.9 million.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Net cash used in operating activities for the six months ended June 30, 2022, was $29.8 million, consisting primarily of a net loss of $34.3 million and a change in operating assets and liabilities of $3.3 million, partially offset by non-cash stock-based compensation of $5.6 million and depreciation and amortization of $2.0 million.</w:t>
      </w:r>
      <w:r>
        <w:rPr>
          <w:rFonts w:ascii="Times New Roman" w:hAnsi="Times New Roman"/>
          <w:sz w:val="20"/>
        </w:rPr>
        <w:t xml:space="preserve"> </w:t>
      </w:r>
    </w:p>
    <w:p>
      <w:pPr>
        <w:pStyle w:val="TextBody"/>
        <w:bidi w:val="0"/>
        <w:spacing w:before="160" w:after="0"/>
        <w:jc w:val="left"/>
        <w:rPr>
          <w:rFonts w:ascii="Times New Roman;serif" w:hAnsi="Times New Roman;serif"/>
          <w:b/>
          <w:sz w:val="20"/>
        </w:rPr>
      </w:pPr>
      <w:r>
        <w:rPr>
          <w:rFonts w:ascii="Times New Roman;serif" w:hAnsi="Times New Roman;serif"/>
          <w:b/>
          <w:sz w:val="20"/>
        </w:rPr>
        <w:t>Cash provided by (used in) investing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Net cash used in investing activities for the six months ended June 30, 2023, was $44.0 million, consisting of net purchases of short-term investments of $41.4 million and purchases of property and equipment of $2.6 million.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investing activities for the six months ended June 30, 2022, was $29.0 million, consisting of net maturities of short-term investments of $30.4 million which were offset by purchases of property and equipment of $1.4 million.</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37</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Cash provided by 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Net cash provided by financing activities for the six months ended June 30, 2023, was $66.2 million consisting primarily of proceeds from issuances of common stock from our public offering of $54.1 million, proceeds from issuance of common stock for at-the-market offerings of $30.5 million and proceeds from issuance of common stock of $3.9 million partially offset by a net paydown of the June 2023 LSA of $20.0 million.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Net cash provided by financing activities for the six months ended June 30, 2022, was $0.5 million, primarily from proceeds from issuances of common stock of $1.0 million partially offset by $0.4 million for payments for employee taxes related to stock compensation.</w:t>
      </w:r>
    </w:p>
    <w:p>
      <w:pPr>
        <w:pStyle w:val="TextBody"/>
        <w:bidi w:val="0"/>
        <w:spacing w:before="160" w:after="0"/>
        <w:jc w:val="left"/>
        <w:rPr>
          <w:rFonts w:ascii="Times New Roman;serif" w:hAnsi="Times New Roman;serif"/>
          <w:b/>
          <w:sz w:val="20"/>
        </w:rPr>
      </w:pPr>
      <w:r>
        <w:rPr>
          <w:rFonts w:ascii="Times New Roman;serif" w:hAnsi="Times New Roman;serif"/>
          <w:b/>
          <w:sz w:val="20"/>
        </w:rPr>
        <w:t>Contractual obligations and commitments</w:t>
      </w:r>
    </w:p>
    <w:p>
      <w:pPr>
        <w:pStyle w:val="TextBody"/>
        <w:bidi w:val="0"/>
        <w:spacing w:before="120" w:after="0"/>
        <w:jc w:val="left"/>
        <w:rPr>
          <w:rFonts w:ascii="Times New Roman" w:hAnsi="Times New Roman"/>
          <w:sz w:val="20"/>
        </w:rPr>
      </w:pPr>
      <w:r>
        <w:rPr>
          <w:rFonts w:ascii="Times New Roman;serif" w:hAnsi="Times New Roman;serif"/>
          <w:b w:val="false"/>
          <w:sz w:val="20"/>
        </w:rPr>
        <w:t>We have a standby letter of credit, expiring September 30, 2024, issued by a financial institution as a required security for one operating lease. The aggregate amount of the letter of credit was $0.3 million as of June 30, 2023 and December 31, 2022.</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sz w:val="20"/>
        </w:rPr>
        <w:t>Critical accounting policies, significant judgments and 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March 6, 2023. We believe that the accounting policies we use are critical to the process of making significant judgments and estimates in the preparation of our financial statements and understanding and evaluating our reported financial results.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For a summary of our critical accounting policies and estimates, refer to “Management's Discussion and Analysis of Financial Condition and Results of Operations” included in our Annual Report on Form 10-K filed with the SEC on March 6, 2023. There have been no material changes to our critical accounting policies and estimates during the six months ended June 30, 2023.</w:t>
      </w:r>
    </w:p>
    <w:p>
      <w:pPr>
        <w:pStyle w:val="TextBody"/>
        <w:bidi w:val="0"/>
        <w:spacing w:before="160" w:after="0"/>
        <w:jc w:val="left"/>
        <w:rPr>
          <w:rFonts w:ascii="Times New Roman" w:hAnsi="Times New Roman"/>
          <w:sz w:val="20"/>
        </w:rPr>
      </w:pPr>
      <w:r>
        <w:rPr>
          <w:rFonts w:ascii="Times New Roman;serif" w:hAnsi="Times New Roman;serif"/>
          <w:b/>
          <w:sz w:val="20"/>
        </w:rPr>
        <w:t>Indemnification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r>
        <w:rPr>
          <w:rFonts w:ascii="Times New Roman" w:hAnsi="Times New Roman"/>
          <w:sz w:val="20"/>
        </w:rPr>
        <w:t xml:space="preserve"> </w:t>
      </w:r>
    </w:p>
    <w:p>
      <w:pPr>
        <w:pStyle w:val="TextBody"/>
        <w:bidi w:val="0"/>
        <w:spacing w:before="160" w:after="0"/>
        <w:jc w:val="left"/>
        <w:rPr>
          <w:rFonts w:ascii="Times New Roman" w:hAnsi="Times New Roman"/>
          <w:sz w:val="20"/>
        </w:rPr>
      </w:pPr>
      <w:r>
        <w:rPr>
          <w:rFonts w:ascii="Times New Roman;serif" w:hAnsi="Times New Roman;serif"/>
          <w:b/>
          <w:sz w:val="20"/>
        </w:rPr>
        <w:t>Recent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See the section titled “Summary of Significant Accounting Policies—Recent Accounting Pronouncements” in Note 2 to our financial statements included elsewhere in this report for additional information.</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38</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left"/>
        <w:rPr>
          <w:rFonts w:ascii="Times New Roman" w:hAnsi="Times New Roman"/>
          <w:sz w:val="20"/>
        </w:rPr>
      </w:pPr>
      <w:r>
        <w:rPr>
          <w:rFonts w:ascii="Times New Roman;serif" w:hAnsi="Times New Roman;serif"/>
          <w:b/>
          <w:sz w:val="20"/>
        </w:rPr>
        <w:t>Pending Loss of emerging growth company and smaller reporting company status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presently an “emerging growth company,” as defined in the Jumpstart Our Business Startups Act of 2012, or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in this report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JOBS Act permits an “emerging growth company” such as us to take advantage of an extended transition period to comply with new or revised accounting standards applicable to public companies. However, we have chosen to irrevocably “opt out” of such extended transition period, and as a result, we will comply with new or revised accounting standards on the relevant dates on which adoption of such standards is required for non-emerging growth companies.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the last business day of the second quarter of 2023, the aggregate market value of the shares of our common stock held by non-affiliate stockholders exceeded $700 million. As a result, as of December 31, 2023, we will be considered a “large accelerated filer,” as defined in Rule 12b-2 under the Exchange Act, and will cease to be an emerging growth company at that time. We are also presently a “smaller reporting company” as defined in the Exchange Act. However, effective December 31, 2023, due to large accelerated filer status, we will no longer qualify as a smaller reporting company and accordingly will no longer be permitted to take advantage of the reduced reporting requirements for smaller reporting companies, subject to a transition period that allows us to use smaller reporting company scaled disclosure for our Annual Report on Form 10-K for the year ending December 31, 2023.</w:t>
      </w:r>
    </w:p>
    <w:p>
      <w:pPr>
        <w:pStyle w:val="TextBody"/>
        <w:bidi w:val="0"/>
        <w:spacing w:before="120" w:after="0"/>
        <w:jc w:val="left"/>
        <w:rPr>
          <w:rFonts w:ascii="Times New Roman;serif" w:hAnsi="Times New Roman;serif"/>
          <w:b/>
          <w:sz w:val="20"/>
        </w:rPr>
      </w:pPr>
      <w:r>
        <w:rPr>
          <w:rFonts w:ascii="Times New Roman;serif" w:hAnsi="Times New Roman;serif"/>
          <w:b/>
          <w:sz w:val="20"/>
        </w:rPr>
        <w:t>Supply chain constraints and inflation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On January 31, 2023, the FDA approved our premarket approval supplement to our lower cost LDD for various modifications that are intended to reduce the cost to manufacture the device. However, we have deferred the introduction of our lower cost-to-manufacture LDD to the market until the second half of 2023, as it is less difficult to procure components and subcomponents for our existing LDD than the lower cost-to-manufacture LDD. Currently, we are procuring materials for both LDD's, which have the same functionality. Management’s expectation is that our gross margin will be impacted by the decision to continue to produce both LDD's, which is necessary to mitigate potential supply chain issues.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39</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Uncertain macroeconomic conditions including recent inflationary pressures and the rise in interest rates have created significant uncertainty in the U.S. economy and capital markets, which is expected to continue in 2023 and beyond and could negatively impact our financial results and liquidity.</w:t>
      </w:r>
      <w:r>
        <w:rPr>
          <w:rFonts w:ascii="Times New Roman" w:hAnsi="Times New Roman"/>
          <w:sz w:val="20"/>
        </w:rPr>
        <w:t xml:space="preserve"> </w:t>
      </w:r>
    </w:p>
    <w:p>
      <w:pPr>
        <w:pStyle w:val="TextBody"/>
        <w:bidi w:val="0"/>
        <w:spacing w:before="0" w:after="0"/>
        <w:jc w:val="left"/>
        <w:rPr>
          <w:rFonts w:ascii="Times New Roman" w:hAnsi="Times New Roman"/>
          <w:sz w:val="20"/>
        </w:rPr>
      </w:pPr>
      <w:bookmarkStart w:id="10" w:name="item_3_quantitative_qualitative_disclosu"/>
      <w:bookmarkEnd w:id="10"/>
      <w:r>
        <w:rPr>
          <w:rFonts w:ascii="Times New Roman;serif" w:hAnsi="Times New Roman;serif"/>
          <w:b/>
          <w:sz w:val="20"/>
        </w:rPr>
        <w:br/>
        <w:br/>
        <w:t>ITEM 3.</w:t>
      </w:r>
      <w:r>
        <w:rPr>
          <w:rFonts w:ascii="Times New Roman" w:hAnsi="Times New Roman"/>
          <w:sz w:val="20"/>
        </w:rPr>
        <w:t xml:space="preserve"> </w:t>
      </w:r>
      <w:r>
        <w:rPr>
          <w:rFonts w:ascii="Times New Roman;serif" w:hAnsi="Times New Roman;serif"/>
          <w:b/>
          <w:sz w:val="20"/>
        </w:rPr>
        <w:t>QUANTITATIVE AND QUALITATIVE DISCLOSURES ABOUT MARKET RISK</w:t>
      </w:r>
    </w:p>
    <w:p>
      <w:pPr>
        <w:pStyle w:val="TextBody"/>
        <w:bidi w:val="0"/>
        <w:spacing w:before="120" w:after="0"/>
        <w:jc w:val="left"/>
        <w:rPr>
          <w:rFonts w:ascii="Times New Roman" w:hAnsi="Times New Roman"/>
          <w:sz w:val="20"/>
        </w:rPr>
      </w:pPr>
      <w:r>
        <w:rPr>
          <w:rFonts w:ascii="Times New Roman;serif" w:hAnsi="Times New Roman;serif"/>
          <w:b w:val="false"/>
          <w:sz w:val="20"/>
        </w:rPr>
        <w:t>As a smaller reporting company, we are not required to provide disclosure under this item.</w:t>
      </w:r>
      <w:r>
        <w:rPr>
          <w:rFonts w:ascii="Times New Roman" w:hAnsi="Times New Roman"/>
          <w:sz w:val="20"/>
        </w:rPr>
        <w:t xml:space="preserve"> </w:t>
      </w:r>
    </w:p>
    <w:p>
      <w:pPr>
        <w:pStyle w:val="TextBody"/>
        <w:bidi w:val="0"/>
        <w:spacing w:before="160" w:after="0"/>
        <w:jc w:val="left"/>
        <w:rPr>
          <w:rFonts w:ascii="Times New Roman" w:hAnsi="Times New Roman"/>
          <w:sz w:val="20"/>
        </w:rPr>
      </w:pPr>
      <w:bookmarkStart w:id="11" w:name="item_4_controls_procedures"/>
      <w:bookmarkEnd w:id="11"/>
      <w:r>
        <w:rPr>
          <w:rFonts w:ascii="Times New Roman;serif" w:hAnsi="Times New Roman;serif"/>
          <w:b/>
          <w:sz w:val="20"/>
        </w:rPr>
        <w:t>ITEM 4.</w:t>
      </w:r>
      <w:r>
        <w:rPr>
          <w:rFonts w:ascii="Times New Roman" w:hAnsi="Times New Roman"/>
          <w:sz w:val="20"/>
        </w:rPr>
        <w:t xml:space="preserve"> </w:t>
      </w:r>
      <w:r>
        <w:rPr>
          <w:rFonts w:ascii="Times New Roman;serif" w:hAnsi="Times New Roman;serif"/>
          <w:b/>
          <w:sz w:val="20"/>
        </w:rPr>
        <w:t>CONTROLS</w:t>
      </w:r>
      <w:r>
        <w:rPr>
          <w:rFonts w:ascii="Times New Roman" w:hAnsi="Times New Roman"/>
          <w:sz w:val="20"/>
        </w:rPr>
        <w:t xml:space="preserve"> </w:t>
      </w:r>
      <w:r>
        <w:rPr>
          <w:rFonts w:ascii="Times New Roman;serif" w:hAnsi="Times New Roman;serif"/>
          <w:b/>
          <w:sz w:val="20"/>
        </w:rPr>
        <w:t>AND PROCEDURES</w:t>
      </w:r>
    </w:p>
    <w:p>
      <w:pPr>
        <w:pStyle w:val="TextBody"/>
        <w:bidi w:val="0"/>
        <w:spacing w:before="12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As of June 30, 2023,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w:t>
      </w:r>
    </w:p>
    <w:p>
      <w:pPr>
        <w:pStyle w:val="TextBody"/>
        <w:bidi w:val="0"/>
        <w:spacing w:before="16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Rules 13a-15(f) and 15d-15(f) under the Exchange Act) during the quarter ended June 30, 2023 that have materially affected, or are reasonably likely to materially affect, our internal control over financial reporting.</w:t>
      </w:r>
    </w:p>
    <w:p>
      <w:pPr>
        <w:pStyle w:val="TextBody"/>
        <w:bidi w:val="0"/>
        <w:spacing w:before="160" w:after="0"/>
        <w:jc w:val="left"/>
        <w:rPr>
          <w:rFonts w:ascii="Times New Roman;serif" w:hAnsi="Times New Roman;serif"/>
          <w:b/>
          <w:i/>
          <w:sz w:val="20"/>
        </w:rPr>
      </w:pPr>
      <w:r>
        <w:rPr>
          <w:rFonts w:ascii="Times New Roman;serif" w:hAnsi="Times New Roman;serif"/>
          <w:b/>
          <w:i/>
          <w:sz w:val="20"/>
        </w:rPr>
        <w:t>Limitations on the Effectiveness of Controls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before="240" w:after="0"/>
        <w:jc w:val="center"/>
        <w:rPr>
          <w:rFonts w:ascii="Times New Roman" w:hAnsi="Times New Roman"/>
          <w:sz w:val="20"/>
        </w:rPr>
      </w:pPr>
      <w:bookmarkStart w:id="12" w:name="part_ii_or_information"/>
      <w:bookmarkEnd w:id="12"/>
      <w:r>
        <w:rPr>
          <w:rFonts w:ascii="Times New Roman;serif" w:hAnsi="Times New Roman;serif"/>
          <w:b/>
          <w:sz w:val="20"/>
        </w:rPr>
        <w:t>Part II. OTHER</w:t>
      </w:r>
      <w:r>
        <w:rPr>
          <w:rFonts w:ascii="Times New Roman" w:hAnsi="Times New Roman"/>
          <w:sz w:val="20"/>
        </w:rPr>
        <w:t xml:space="preserve"> </w:t>
      </w:r>
      <w:r>
        <w:rPr>
          <w:rFonts w:ascii="Times New Roman;serif" w:hAnsi="Times New Roman;serif"/>
          <w:b/>
          <w:sz w:val="20"/>
        </w:rPr>
        <w:t>INFORMATION</w:t>
      </w:r>
    </w:p>
    <w:p>
      <w:pPr>
        <w:pStyle w:val="TextBody"/>
        <w:bidi w:val="0"/>
        <w:spacing w:before="120" w:after="0"/>
        <w:jc w:val="left"/>
        <w:rPr>
          <w:rFonts w:ascii="Times New Roman" w:hAnsi="Times New Roman"/>
          <w:sz w:val="20"/>
        </w:rPr>
      </w:pPr>
      <w:bookmarkStart w:id="13" w:name="item_1_legal_proceedings"/>
      <w:bookmarkEnd w:id="13"/>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 Accordingly, the Company cannot determine the final amount, if any, of its liability beyond the amount accrued in the condensed consolidated financial statements as of June 30, 2023, nor is it possible to estimate what litigation-related costs will be in the</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40</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future; however, the Company believes that the likelihood that claims related to litigation would result in a material loss to the Company, either individually or in the aggregate, is remote.</w:t>
      </w:r>
    </w:p>
    <w:p>
      <w:pPr>
        <w:pStyle w:val="TextBody"/>
        <w:bidi w:val="0"/>
        <w:spacing w:before="120" w:after="120"/>
        <w:jc w:val="left"/>
        <w:rPr>
          <w:rFonts w:ascii="Times New Roman;serif" w:hAnsi="Times New Roman;serif"/>
          <w:b/>
          <w:sz w:val="20"/>
        </w:rPr>
      </w:pPr>
      <w:bookmarkStart w:id="14" w:name="risk_factors"/>
      <w:bookmarkEnd w:id="14"/>
      <w:r>
        <w:rPr>
          <w:rFonts w:ascii="Times New Roman;serif" w:hAnsi="Times New Roman;serif"/>
          <w:b/>
          <w:sz w:val="20"/>
        </w:rPr>
        <w:t>Item 1A: Risk Factors</w:t>
      </w:r>
    </w:p>
    <w:p>
      <w:pPr>
        <w:pStyle w:val="TextBody"/>
        <w:bidi w:val="0"/>
        <w:spacing w:before="120" w:after="0"/>
        <w:jc w:val="left"/>
        <w:rPr>
          <w:rFonts w:ascii="Times New Roman" w:hAnsi="Times New Roman"/>
          <w:sz w:val="20"/>
        </w:rPr>
      </w:pPr>
      <w:r>
        <w:rPr>
          <w:rFonts w:ascii="Times New Roman;serif" w:hAnsi="Times New Roman;serif"/>
          <w:b w:val="false"/>
          <w:i/>
          <w:sz w:val="20"/>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120"/>
        <w:jc w:val="left"/>
        <w:rPr>
          <w:rFonts w:ascii="Times New Roman;serif" w:hAnsi="Times New Roman;serif"/>
          <w:b/>
          <w:sz w:val="20"/>
        </w:rPr>
      </w:pPr>
      <w:r>
        <w:rPr>
          <w:rFonts w:ascii="Times New Roman;serif" w:hAnsi="Times New Roman;serif"/>
          <w:b/>
          <w:sz w:val="20"/>
        </w:rPr>
        <w:t>Summary Risk Factors</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pStyle w:val="TextBody"/>
        <w:bidi w:val="0"/>
        <w:spacing w:before="0" w:after="120"/>
        <w:jc w:val="left"/>
        <w:rPr>
          <w:rFonts w:ascii="Times New Roman;serif" w:hAnsi="Times New Roman;serif"/>
          <w:b/>
          <w:sz w:val="20"/>
        </w:rPr>
      </w:pPr>
      <w:r>
        <w:rPr>
          <w:rFonts w:ascii="Times New Roman;serif" w:hAnsi="Times New Roman;serif"/>
          <w:b/>
          <w:sz w:val="20"/>
        </w:rPr>
        <w:t>Risks related to our business and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have a limited operating history, and if we fail to effectively train our sales force, increase our sales and marketing capabilities, or develop broad brand awareness in a cost-effective manner, our growth will be impeded, and our business will suffer.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a history of net operating losses, and we expect to continue to incur losses in the future. If we ever achieve profitability, we may not be able to sustain it.</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face significant competition, and if we are unable to compete effectively, we may not be able to achieve or maintain significant market penetration or improve our results of operations.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Global economic, political and market conditions, including downgrades of the U.S. credit rating, may adversely affect our business, results of operations and financial condition, including our revenue growth and profitability.</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currently maintain all of our cash, cash equivalents and short-term investments in a limited number of financial institutions and, therefore, our cash, cash equivalents and short-term investments could be adversely affected if any of the financial institutions in which we hold our cash, cash equivalents and short-term investments fails.</w:t>
      </w:r>
    </w:p>
    <w:p>
      <w:pPr>
        <w:pStyle w:val="TextBody"/>
        <w:bidi w:val="0"/>
        <w:spacing w:before="120" w:after="120"/>
        <w:jc w:val="left"/>
        <w:rPr>
          <w:rFonts w:ascii="Times New Roman;serif" w:hAnsi="Times New Roman;serif"/>
          <w:b/>
          <w:sz w:val="20"/>
        </w:rPr>
      </w:pPr>
      <w:r>
        <w:rPr>
          <w:rFonts w:ascii="Times New Roman;serif" w:hAnsi="Times New Roman;serif"/>
          <w:b/>
          <w:sz w:val="20"/>
        </w:rPr>
        <w:t>Risks related to intellectual property:</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protect the confidentiality of our trade secrets and other proprietary information, our business and competitive position may be harmed.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may not be able to protect our intellectual property rights throughout the world, which could impair our business.</w:t>
      </w:r>
    </w:p>
    <w:p>
      <w:pPr>
        <w:pStyle w:val="TextBody"/>
        <w:bidi w:val="0"/>
        <w:spacing w:before="120" w:after="120"/>
        <w:jc w:val="left"/>
        <w:rPr>
          <w:rFonts w:ascii="Times New Roman;serif" w:hAnsi="Times New Roman;serif"/>
          <w:b/>
          <w:sz w:val="20"/>
        </w:rPr>
      </w:pPr>
      <w:r>
        <w:rPr>
          <w:rFonts w:ascii="Times New Roman;serif" w:hAnsi="Times New Roman;serif"/>
          <w:b/>
          <w:sz w:val="20"/>
        </w:rPr>
        <w:t>Risks related to government regulation:</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41</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If we fail to obtain and maintain necessary regulatory clearances or approvals for our products, or if clearances or approvals for future products and indications are delayed or not issued, our commercial operations may be harmed.</w:t>
      </w:r>
    </w:p>
    <w:p>
      <w:pPr>
        <w:pStyle w:val="TextBody"/>
        <w:bidi w:val="0"/>
        <w:spacing w:before="120" w:after="120"/>
        <w:jc w:val="left"/>
        <w:rPr>
          <w:rFonts w:ascii="Times New Roman;serif" w:hAnsi="Times New Roman;serif"/>
          <w:b/>
          <w:sz w:val="20"/>
        </w:rPr>
      </w:pPr>
      <w:r>
        <w:rPr>
          <w:rFonts w:ascii="Times New Roman;serif" w:hAnsi="Times New Roman;serif"/>
          <w:b/>
          <w:sz w:val="20"/>
        </w:rPr>
        <w:t>Risks related to reliance on third parties: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120" w:after="120"/>
        <w:jc w:val="left"/>
        <w:rPr>
          <w:rFonts w:ascii="Times New Roman;serif" w:hAnsi="Times New Roman;serif"/>
          <w:b/>
          <w:sz w:val="20"/>
        </w:rPr>
      </w:pPr>
      <w:r>
        <w:rPr>
          <w:rFonts w:ascii="Times New Roman;serif" w:hAnsi="Times New Roman;serif"/>
          <w:b/>
          <w:sz w:val="20"/>
        </w:rPr>
        <w:t>Risks related to our common stock:</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price of our stock may be volatile, and you could lose all or part of your investment.</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120" w:after="120"/>
        <w:jc w:val="left"/>
        <w:rPr>
          <w:rFonts w:ascii="Times New Roman;serif" w:hAnsi="Times New Roman;serif"/>
          <w:b/>
          <w:sz w:val="20"/>
        </w:rPr>
      </w:pPr>
      <w:r>
        <w:rPr>
          <w:rFonts w:ascii="Times New Roman;serif" w:hAnsi="Times New Roman;serif"/>
          <w:b/>
          <w:sz w:val="20"/>
        </w:rPr>
        <w:t>General risk factors: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must recruit, retain, manage and motivate qualified executives as we build out the management team, and we are highly dependent on our management team.</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Future litigation proceedings could adversely affect our business. </w:t>
      </w:r>
    </w:p>
    <w:p>
      <w:pPr>
        <w:pStyle w:val="TextBody"/>
        <w:bidi w:val="0"/>
        <w:spacing w:before="120" w:after="120"/>
        <w:jc w:val="left"/>
        <w:rPr>
          <w:rFonts w:ascii="Times New Roman;serif" w:hAnsi="Times New Roman;serif"/>
          <w:b/>
          <w:sz w:val="20"/>
        </w:rPr>
      </w:pPr>
      <w:r>
        <w:rPr>
          <w:rFonts w:ascii="Times New Roman;serif" w:hAnsi="Times New Roman;serif"/>
          <w:b/>
          <w:sz w:val="20"/>
        </w:rPr>
        <w:t>Risks related to our business and products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have a limited operating history and if we fail to effectively train our sales force, increase our sales and marketing capabilities or develop broad brand awareness in a cost-effective manner, our growth will be impeded, and our business will suffer.</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were incorporated in March 1997 and began commercializing our products in the second half of 2019, when we initiated a full launch of our LAL and LDD. Accordingly, our limited commercialization experience and limited number of approved or cleared products make it difficult to evaluate our current business and assess our prospects. 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 plan to continue to expand and leverage our sales and marketing infrastructure to increase our customer base and grow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pStyle w:val="TextBody"/>
        <w:bidi w:val="0"/>
        <w:spacing w:before="0" w:after="160"/>
        <w:jc w:val="left"/>
        <w:rPr>
          <w:rFonts w:ascii="Times New Roman" w:hAnsi="Times New Roman"/>
          <w:sz w:val="20"/>
        </w:rPr>
      </w:pPr>
      <w:r>
        <w:rPr>
          <w:rFonts w:ascii="Times New Roman;serif" w:hAnsi="Times New Roman;serif"/>
          <w:b w:val="false"/>
          <w:sz w:val="20"/>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42</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have a history of net losses, and we expect to continue to incur losses in the future. If we ever achieve profitability, we may not be able to sustain it.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have incurred losses from operations since our inception and expect to continue to incur losses from operations in the future. We reported losses from operations of $63.3 million and $52.8 million for the years ended December 31, 2022 and 2021, respectively and $26.7 million for the six months ended June 30, 2023. As a result of these losses, as of June 30, 2023, we had an accumulated deficit of $573.0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costs associated with being a public company.</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In order to support our continued operations and the growth of our business, we may seek to raise additional capital, which may not be available to us on acceptable terms, or at all.</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 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Because of these and other factors, we expect to continue to incur net losses and negative cash flows from operations in the future. Our future liquidity and capital funding requirements will depend on numerous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sales growth;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research and development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sales and marketing activities;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success in leveraging future strategic partnerships;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working capital investments, primarily in inventories and accounts receivable;</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debt service and debt covenant requirements;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43</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borrow on our credit facility or raise additional funds through our at-the-market offering to finance our operations;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outcome, costs and timing of any clinical trial results for our current or future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emergence and effect of competing or complementary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availability and amount of reimbursement for procedures using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retain our current employees and the need and ability to hire additional management, sales, research and development, scientific and customer support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terms and timing of any collaborative, licensing or other arrangements that we have or may establish;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operating and finance lease payments for our facilities;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extent to which we acquire or invest in businesses, products or technologies.</w:t>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conflicts in Eastern Europe and otherwise.</w:t>
      </w:r>
    </w:p>
    <w:p>
      <w:pPr>
        <w:pStyle w:val="TextBody"/>
        <w:bidi w:val="0"/>
        <w:spacing w:before="0" w:after="160"/>
        <w:jc w:val="left"/>
        <w:rPr>
          <w:rFonts w:ascii="Times New Roman" w:hAnsi="Times New Roman"/>
          <w:sz w:val="20"/>
        </w:rPr>
      </w:pPr>
      <w:r>
        <w:rPr>
          <w:rFonts w:ascii="Times New Roman;serif" w:hAnsi="Times New Roman;serif"/>
          <w:b w:val="false"/>
          <w:sz w:val="20"/>
        </w:rPr>
        <w:t>As of June 30, 2023 and December 31, 2022, we had $147.1 million and $105.8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we cannot assure you that we will be able to generate sufficient liquidity as and when needed. Further, although we do not anticipate the need to raise additional capital or incur additional debt in order to reach profit from operations, as the same may be disclosed in the Company’s future Annual Reports on Form 10-K or Quarterly Reports on Form 10-Q filed with the SEC.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w:t>
      </w:r>
      <w:r>
        <w:rPr>
          <w:rFonts w:ascii="Times New Roman" w:hAnsi="Times New Roman"/>
          <w:sz w:val="20"/>
        </w:rPr>
        <w:t xml:space="preserve"> </w:t>
      </w:r>
    </w:p>
    <w:p>
      <w:pPr>
        <w:pStyle w:val="TextBody"/>
        <w:bidi w:val="0"/>
        <w:spacing w:before="0" w:after="160"/>
        <w:jc w:val="left"/>
        <w:rPr>
          <w:rFonts w:ascii="Times New Roman;serif" w:hAnsi="Times New Roman;serif"/>
          <w:b/>
          <w:i/>
          <w:sz w:val="20"/>
        </w:rPr>
      </w:pPr>
      <w:r>
        <w:rPr>
          <w:rFonts w:ascii="Times New Roman;serif" w:hAnsi="Times New Roman;serif"/>
          <w:b/>
          <w:i/>
          <w:sz w:val="20"/>
        </w:rPr>
        <w:t>Global economic, political and market conditions, including downgrades of the U.S. credit rating, may adversely affect our business, results of operations and financial condition, including our revenue growth and profitability.</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44</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Deterioration in the economic conditions globally resulting in instability in global financial markets, including the following, may pose a risk to our business: inflation and rising interest rates, large sovereign debts and fiscal deficits of several countries in Europe and in emerging markets’ jurisdictions, levels of non-performing loans on the balance sheets of European banks, the effect of the United Kingdom leaving the European Union and instability in the capital markets.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Various social and political circumstances in the U.S.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U.S. and worldwide and have a material adverse effect on our business, financial conditions, results of operations and prospects.</w:t>
      </w:r>
    </w:p>
    <w:p>
      <w:pPr>
        <w:pStyle w:val="TextBody"/>
        <w:bidi w:val="0"/>
        <w:spacing w:before="0" w:after="160"/>
        <w:jc w:val="left"/>
        <w:rPr>
          <w:rFonts w:ascii="Times New Roman" w:hAnsi="Times New Roman"/>
          <w:sz w:val="20"/>
        </w:rPr>
      </w:pPr>
      <w:r>
        <w:rPr>
          <w:rFonts w:ascii="Times New Roman;serif" w:hAnsi="Times New Roman;serif"/>
          <w:b/>
          <w:i/>
          <w:sz w:val="20"/>
        </w:rPr>
        <w:t>We currently maintain all of our cash, cash equivalents and short-term investments in a limited number of financial institutions and, therefore, our cash, cash equivalents and short-term investments could be adversely affected if any of the financial institutions in which we hold our cash, cash equivalents and short-term investments fails.</w:t>
      </w:r>
      <w:r>
        <w:rPr>
          <w:rFonts w:ascii="Times New Roman" w:hAnsi="Times New Roman"/>
          <w:sz w:val="20"/>
        </w:rPr>
        <w:t xml:space="preserve">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currently maintain all of our cash, cash equivalents and short-term investments with a limited number of financial institutions. At the current time, our cash, cash equivalents and short-term investment balances with such financial institutions are held primarily in U.S. treasury bills with a duration of less than 12 months. A portion of our operating cash is held in accounts in excess of the Federal Deposit Insurance Corporation (“FDIC”) insurance limits. The failure of one or more of the financial institutions in which our cash, cash equivalents and short-term-investments are held, the resulting inability for us to obtain the return of our funds from any of those financial institutions, or any other adverse condition suffered by any of those financial institutions, could impact access to our operating cash and a temporary inability to access our short-term investments in U.S. treasury bills which could have an adverse effect on our business, financial condition and results of operations.</w:t>
      </w:r>
    </w:p>
    <w:p>
      <w:pPr>
        <w:pStyle w:val="TextBody"/>
        <w:bidi w:val="0"/>
        <w:spacing w:before="0" w:after="160"/>
        <w:jc w:val="left"/>
        <w:rPr>
          <w:rFonts w:ascii="Times New Roman;serif" w:hAnsi="Times New Roman;serif"/>
          <w:b/>
          <w:i/>
          <w:sz w:val="20"/>
        </w:rPr>
      </w:pPr>
      <w:r>
        <w:rPr>
          <w:rFonts w:ascii="Times New Roman;serif" w:hAnsi="Times New Roman;serif"/>
          <w:b/>
          <w:i/>
          <w:sz w:val="20"/>
        </w:rPr>
        <w:t>Our success depends in large part on our RxSight system. If we are unable to successfully market and sell our RxSight system, our business prospects will be significantly harmed, and we may be unable to achieve revenue growth.</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actual and perceived effectiveness and reliability of our RxSight system, especially relative to alternative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prevalence and severity of any adverse patient events involving our RxSight system;</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results of clinical studies and trials relating to our RxSight system;</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ability to sustain meaningful clinical benefits for our patients;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45</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ability to obtain regulatory approval to market our planned or future products for use in the United States or internationally;</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availability, relative cost and perceived advantages and disadvantages of alternative technologies or treatment methods for conditions treated by our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degree to which treatments using our products are covered and receive adequate reimbursement from third-party payors, including governmental and private insurers, as well as patient willingness to pay for the additional costs associated with our premium intraocular lens out of pocket;</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degree to which doctors adopt our RxSight system;</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ability to obtain, maintain, protect and enforce our intellectual property rights in and to our RxSight system;</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degree to which patients value the customized vision delivered by the RxSight system and are satisfied with their results;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achieving and maintaining compliance with regulatory requirements applicable to our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extent to which we are successful in educating doctors about IOLs in general, and the benefits of our RxSight system;</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reputation among doctors;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strength of our marketing and commercial organization;</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effectiveness of our marketing and sales efforts in the United States, including our efforts to build out our sales team;</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ability to expand the commercialization of our products into international markets;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ability to continue to develop, validate and maintain a commercially viable manufacturing process that is compliant with the Quality Systems Regulations (“QSR”), and other applicable foreign, federal and state regulatory requirements;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success of our ongoing or future clinical trials;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whether we are required by the FDA or comparable non-U.S. regulatory authorities to conduct additional clinical trials for current or future indications.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we fail to successfully market and sell our products, we will not be able to grow our revenue or achieve profitability, which will have a material adverse effect on our business, financial condition and results of operations. 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46</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20"/>
        <w:jc w:val="left"/>
        <w:rPr>
          <w:rFonts w:ascii="Times New Roman;serif" w:hAnsi="Times New Roman;serif"/>
          <w:b/>
          <w:i/>
          <w:sz w:val="20"/>
        </w:rPr>
      </w:pPr>
      <w:r>
        <w:rPr>
          <w:rFonts w:ascii="Times New Roman;serif" w:hAnsi="Times New Roman;serif"/>
          <w:b/>
          <w:i/>
          <w:sz w:val="20"/>
        </w:rPr>
        <w:t>Adoption of our products depends upon appropriate training for doctors, and inadequate training may lead to negative patient outcomes, affect adoption of our products and adversely affect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commercial success of our RxSight system will depend upon attaining significant market acceptance of these products among patients and doctors.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Rxsight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long-standing relationships with competing companies and distributors that sell other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competitive response and negative selling efforts from providers of alternative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lack of experience with our products and concerns that we are relatively new to market;</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lack or perceived lack of sufficient clinical evidence, including long-term data, supporting safety or clinical benefits;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time commitment and skill development that may be required to gain familiarity and proficiency with our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patient confusion regarding the wide range of commercially available premium IOL offerings and their ability to deliver promised results at near, middle and far distances without reliance on glasses;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patient reticence to select a premium IOL due to nonperformance and adverse side effects associated with competing products in the market;</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47</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 inability to generate patient referral due to dissatisfaction with results obtained through treatment with our products, the out-of-pocket cost of treatments using our products or otherwise.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RxSight system involves surgical risks and is contraindicated in certain patients, which may limit adoption.</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face significant competition, and if we are unable to compete effectively, we may not be able to achieve or maintain significant market penetration or improve our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and Bausch + Lomb.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 dilated. Due to these additional requirements, market acceptance of the LAL may be impacted. We believe the principal competitive factors in our markets include: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quality of patient outcomes, oftentimes measured by visual acuity, and adverse event rates;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48</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Patient experience, including patient recovery time and level of discomfort;</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Acceptance by treating doctors and referral sources;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Doctor learning curves and willingness to adopt new technologies;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Ease-of-use and reliability;</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Economic benefits and cost savings;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Strength of clinical evidence;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Effective distribution and marketing to surgeons and potential patients;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Product price and qualification for coverage and reimbursement.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compete primarily on the basis that our products are designed to enable more doctors to treat more patients more efficiently and effectively. Our continued success depends on our ability to:</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continue to develop innovative, proprietary products that address significant clinical needs in a manner that is safe and effective for patients and easy-to-use for doctors;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obtain and maintain regulatory clearances or approvals;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demonstrate safety and effectiveness in our sponsored and third-party clinical trials;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expand our sales force across key markets to increase doctors’ awareness;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obtain and maintain coverage and adequate reimbursement for procedures using our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attract and retain skilled research, development, sales and clinical personnel;</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cost-effectively manufacture, market and sell our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provide doctors with a sufficient return on investment as compared to alternative premium IOL procedures that justifies the upfront cost of our LDD;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obtain, maintain, enforce and defend our intellectual property rights and operate our business without infringing, misappropriating or otherwise violating the intellectual property rights of others.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pStyle w:val="TextBody"/>
        <w:bidi w:val="0"/>
        <w:spacing w:before="0" w:after="160"/>
        <w:jc w:val="left"/>
        <w:rPr>
          <w:rFonts w:ascii="Times New Roman" w:hAnsi="Times New Roman"/>
          <w:sz w:val="20"/>
        </w:rPr>
      </w:pPr>
      <w:r>
        <w:rPr>
          <w:rFonts w:ascii="Times New Roman;serif" w:hAnsi="Times New Roman;serif"/>
          <w:b w:val="false"/>
          <w:sz w:val="20"/>
        </w:rPr>
        <w:t>We currently maintain our research and development, manufacturing and administrative operations in Aliso Viejo, California, and we do not have redundant facilities. We operate in four separate facilities, designated as a single manufacturing facility, and should any one of these facilities be significantly damaged or destroyed by natural</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49</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Furthermore, the current leases on our four facilities expire, respectively, on (i) September 30, 2024, with one option to extend for five years; (ii) January 31, 2026, with three options to extend for five years each; (iii) March 31, 2025 with two options to extend for five years each, and (iv) August 31, 2024, with one option to extend for five years.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Technological change may adversely affect sales of our products and may cause our products to become obsolete.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pStyle w:val="TextBody"/>
        <w:bidi w:val="0"/>
        <w:spacing w:before="0" w:after="160"/>
        <w:jc w:val="left"/>
        <w:rPr>
          <w:rFonts w:ascii="Times New Roman" w:hAnsi="Times New Roman"/>
          <w:sz w:val="20"/>
        </w:rPr>
      </w:pPr>
      <w:r>
        <w:rPr>
          <w:rFonts w:ascii="Times New Roman;serif" w:hAnsi="Times New Roman;serif"/>
          <w:b w:val="false"/>
          <w:sz w:val="20"/>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50</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of clinical trials may fail to show the desired safety and efficacy despite having progressed through nonclinical studies and earlier clinical trials.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If our clinical trials are unsuccessful or significantly delayed, or if we do not complete our clinical trials, our business may be harmed.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pStyle w:val="TextBody"/>
        <w:bidi w:val="0"/>
        <w:spacing w:before="0" w:after="160"/>
        <w:jc w:val="left"/>
        <w:rPr>
          <w:rFonts w:ascii="Times New Roman" w:hAnsi="Times New Roman"/>
          <w:sz w:val="20"/>
        </w:rPr>
      </w:pPr>
      <w:r>
        <w:rPr>
          <w:rFonts w:ascii="Times New Roman;serif" w:hAnsi="Times New Roman;serif"/>
          <w:b w:val="false"/>
          <w:sz w:val="20"/>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br/>
      </w:r>
      <w:r>
        <w:rPr>
          <w:rFonts w:ascii="Times New Roman" w:hAnsi="Times New Roman"/>
          <w:sz w:val="20"/>
        </w:rPr>
        <w:t> </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successful and timely completion of nonclinical studies or clinical development of our products, as well as the associated costs, including any unforeseen costs we may incur as a result of clinical trial delays;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enrollment in our clinical trials may be slower than we anticipate, or we may experience high screen failure rates in our clinical trials, resulting in significant delays;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clinical trials may produce negative or inconclusive results, and we may decide, or regulators may require us, to conduct additional clinical and/or preclinical testing which may be expensive and time-consuming;</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trial results may not meet the level of statistical significance required by the FDA or other regulatory authorities;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FDA or similar foreign regulatory authorities may find that one or more of our products is not sufficiently safe for investigational use in humans;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FDA or similar foreign regulatory authorities may interpret data from preclinical testing and clinical trials in different ways than we do;</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there may be delays or failure in obtaining approval of our clinical trial protocols from the FDA or other regulatory authorities;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there may be delays in obtaining institutional review board approvals or governmental approvals to conduct clinical trials at prospective sites;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FDA or similar foreign regulatory authorities may find our or our suppliers’ manufacturing processes or facilities unsatisfactory;</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FDA or similar foreign regulatory authorities may change their review policies or adopt new regulations that may negatively affect or delay our ability to bring a product to market or receive approvals or clearances to treat new indications;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may have trouble in managing multiple clinical sites;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may have trouble finding patients to enroll in our trials;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may experience delays in agreeing on acceptable terms with third-party research organizations and trial sites that may help us conduct the clinical trials; and</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51</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or regulators, may suspend or terminate our clinical trials because the participating patients are being exposed to unacceptable health risks.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Failures or perceived failures in our clinical trials will delay and may prevent our product development and regulatory approval process, damage our business prospects and negatively affect our reputation and competitive position.</w:t>
      </w:r>
    </w:p>
    <w:p>
      <w:pPr>
        <w:pStyle w:val="TextBody"/>
        <w:bidi w:val="0"/>
        <w:spacing w:before="0" w:after="120"/>
        <w:jc w:val="left"/>
        <w:rPr>
          <w:rFonts w:ascii="Times New Roman;serif" w:hAnsi="Times New Roman;serif"/>
          <w:b/>
          <w:i/>
          <w:sz w:val="20"/>
        </w:rPr>
      </w:pPr>
      <w:r>
        <w:rPr>
          <w:rFonts w:ascii="Times New Roman;serif" w:hAnsi="Times New Roman;serif"/>
          <w:b/>
          <w:i/>
          <w:sz w:val="20"/>
        </w:rPr>
        <w:t>Unauthorized third parties may seek to access our devices or other products and services, or related devices, products, and services, and modify or use them in a way inconsistent with our FDA clearances and approvals, which may create risks to users.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may expend our limited resources to pursue a particular product or indication and fail to capitalize on products or indications that may be more profitable or for which there is a greater likelihood of success.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pStyle w:val="TextBody"/>
        <w:bidi w:val="0"/>
        <w:spacing w:before="0" w:after="160"/>
        <w:jc w:val="left"/>
        <w:rPr>
          <w:rFonts w:ascii="Times New Roman" w:hAnsi="Times New Roman"/>
          <w:sz w:val="20"/>
        </w:rPr>
      </w:pPr>
      <w:r>
        <w:rPr>
          <w:rFonts w:ascii="Times New Roman;serif" w:hAnsi="Times New Roman;serif"/>
          <w:b w:val="false"/>
          <w:sz w:val="20"/>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52</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pStyle w:val="TextBody"/>
        <w:bidi w:val="0"/>
        <w:spacing w:before="0" w:after="160"/>
        <w:jc w:val="left"/>
        <w:rPr>
          <w:rFonts w:ascii="Times New Roman" w:hAnsi="Times New Roman"/>
          <w:sz w:val="20"/>
        </w:rPr>
      </w:pPr>
      <w:r>
        <w:rPr>
          <w:rFonts w:ascii="Times New Roman;serif" w:hAnsi="Times New Roman;serif"/>
          <w:b w:val="false"/>
          <w:sz w:val="20"/>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r>
        <w:rPr>
          <w:rFonts w:ascii="Times New Roman" w:hAnsi="Times New Roman"/>
          <w:sz w:val="20"/>
        </w:rPr>
        <w:t xml:space="preserve">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typical development cycle of new medical device products can be lengthy and complicated and may require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pStyle w:val="TextBody"/>
        <w:bidi w:val="0"/>
        <w:spacing w:before="0" w:after="160"/>
        <w:jc w:val="left"/>
        <w:rPr>
          <w:rFonts w:ascii="Times New Roman;serif" w:hAnsi="Times New Roman;serif"/>
          <w:b/>
          <w:i/>
          <w:sz w:val="20"/>
        </w:rPr>
      </w:pPr>
      <w:r>
        <w:rPr>
          <w:rFonts w:ascii="Times New Roman;serif" w:hAnsi="Times New Roman;serif"/>
          <w:b/>
          <w:i/>
          <w:sz w:val="20"/>
        </w:rPr>
        <w:t>If we fail to identify, acquire and develop other products, we may be unable to grow our business.</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we are unable to develop suitable potential products through internal research programs or by obtaining rights from third parties, it could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pStyle w:val="TextBody"/>
        <w:bidi w:val="0"/>
        <w:spacing w:before="0" w:after="160"/>
        <w:jc w:val="left"/>
        <w:rPr>
          <w:rFonts w:ascii="Times New Roman" w:hAnsi="Times New Roman"/>
          <w:sz w:val="20"/>
        </w:rPr>
      </w:pPr>
      <w:r>
        <w:rPr>
          <w:rFonts w:ascii="Times New Roman;serif" w:hAnsi="Times New Roman;serif"/>
          <w:b w:val="false"/>
          <w:sz w:val="20"/>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53</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0" w:after="120"/>
        <w:jc w:val="left"/>
        <w:rPr>
          <w:rFonts w:ascii="Times New Roman;serif" w:hAnsi="Times New Roman;serif"/>
          <w:b/>
          <w:i/>
          <w:sz w:val="20"/>
        </w:rPr>
      </w:pPr>
      <w:r>
        <w:rPr>
          <w:rFonts w:ascii="Times New Roman;serif" w:hAnsi="Times New Roman;serif"/>
          <w:b/>
          <w:i/>
          <w:sz w:val="20"/>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 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pStyle w:val="TextBody"/>
        <w:bidi w:val="0"/>
        <w:spacing w:before="0" w:after="160"/>
        <w:jc w:val="left"/>
        <w:rPr>
          <w:rFonts w:ascii="Times New Roman" w:hAnsi="Times New Roman"/>
          <w:sz w:val="20"/>
        </w:rPr>
      </w:pPr>
      <w:r>
        <w:rPr>
          <w:rFonts w:ascii="Times New Roman;serif" w:hAnsi="Times New Roman;serif"/>
          <w:b w:val="false"/>
          <w:sz w:val="20"/>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54</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sufficiently cost effective to warrant coverage and adequate reimbursement levels for procedures using such products in any given jurisdiction.</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decreased demand for our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injury to our reputation;</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initiation of investigations by regulators;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costs to defend the related litigation;</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 diversion of management’s time and our resources;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substantial monetary awards to trial participants or patients;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product recalls, withdrawals or labeling, marketing or promotional restrictions;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loss of revenue;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exhaustion of any available insurance and our capital resources;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inability to market and sell our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55</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differing regulatory requirements and reimbursement regimes in foreign countries, including changes to regulatory requirements and implementation of new regulations in foreign countries;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difficulties in compliance with non-U.S. laws and regulations;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unexpected changes in tariffs, trade barriers, price and exchange controls and other regulatory requirements;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trade protection measures, import or export licensing requirements, or other restrictive actions by U.S. or non-U.S. governments;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economic weakness, including inflation, or political instability in particular foreign economies and markets;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compliance with tax, employment, immigration and labor laws for employees living or traveling abroad;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foreign taxes, including withholding of payroll taxes;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foreign currency fluctuations, which could result in increased operating expenses and reduced revenue, and other obligations incident to doing business in another country;</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difficulties staffing and managing foreign operations;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workforce uncertainty in countries where labor unrest is more common than in the United States;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potential liability under the FCPA or comparable foreign regulations;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production shortages resulting from any events affecting raw material supply or manufacturing capabilities abroad;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business interruptions resulting from geo-political actions, including war and terrorism.</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pStyle w:val="TextBody"/>
        <w:bidi w:val="0"/>
        <w:spacing w:before="0" w:after="160"/>
        <w:jc w:val="left"/>
        <w:rPr>
          <w:rFonts w:ascii="Times New Roman" w:hAnsi="Times New Roman"/>
          <w:sz w:val="20"/>
        </w:rPr>
      </w:pPr>
      <w:r>
        <w:rPr>
          <w:rFonts w:ascii="Times New Roman;serif" w:hAnsi="Times New Roman;serif"/>
          <w:b w:val="false"/>
          <w:sz w:val="20"/>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56</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may not be able to achieve or maintain satisfactory pricing and margins for our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The sizes of the markets for our current and future products have not been established with precision and may be smaller than we estimate.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Changes to state regulations and interpretation of the practice of optometry, for public health insurance coverage and government reimbursement rates for our products and related procedures and/or medical or professional malpractice insurance coverage for doctors who perform procedures using our products could affect the adoption of our products and our future revenue.</w:t>
      </w:r>
    </w:p>
    <w:p>
      <w:pPr>
        <w:pStyle w:val="TextBody"/>
        <w:bidi w:val="0"/>
        <w:spacing w:before="0" w:after="160"/>
        <w:jc w:val="left"/>
        <w:rPr>
          <w:rFonts w:ascii="Times New Roman" w:hAnsi="Times New Roman"/>
          <w:sz w:val="20"/>
        </w:rPr>
      </w:pPr>
      <w:r>
        <w:rPr>
          <w:rFonts w:ascii="Times New Roman;serif" w:hAnsi="Times New Roman;serif"/>
          <w:b w:val="false"/>
          <w:sz w:val="20"/>
        </w:rPr>
        <w:t>States regulate the practice of optometry, including the types of procedures optometrists are authorized to perform in each state. To the extent states change or narrow the scope of the practice of optometry or their interpretation of the scope of optometry with respect to those who are qualified to perform LDD procedures involving our RxSight system, such state regulation or policy can have a material impact on which doctors may use our RxSight system, our customer base and market share, and the adoption of our RxSight system. Additionally,</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57</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 w:hAnsi="Times New Roman"/>
          <w:sz w:val="20"/>
        </w:rPr>
      </w:pPr>
      <w:r>
        <w:rPr>
          <w:rFonts w:ascii="Times New Roman;serif" w:hAnsi="Times New Roman;serif"/>
          <w:b w:val="false"/>
          <w:sz w:val="20"/>
        </w:rPr>
        <w:t>payor restrictions on the coverage and/or reimbursement levels for procedures using our RxSight system can negatively impact the adoption of our products and the pricing of our products, which can have a material impact on our profitability. Changes to medical or professional malpractice insurance coverage policies for doctors who perform procedures using our products, including refusal to cover malpractice liability insurance related to the use of our products can have a material impact on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r>
        <w:rPr>
          <w:rFonts w:ascii="Times New Roman" w:hAnsi="Times New Roman"/>
          <w:sz w:val="20"/>
        </w:rPr>
        <w:t xml:space="preserve">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quarterly and annual results may fluctuate significantly and may not fully reflect the underlying performance of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expect to significantly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have and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Certain of our operating results and financial metrics may be difficult to predict as a result of seasonality.</w:t>
      </w:r>
    </w:p>
    <w:p>
      <w:pPr>
        <w:pStyle w:val="TextBody"/>
        <w:bidi w:val="0"/>
        <w:spacing w:before="0" w:after="160"/>
        <w:jc w:val="left"/>
        <w:rPr>
          <w:rFonts w:ascii="Times New Roman" w:hAnsi="Times New Roman"/>
          <w:sz w:val="20"/>
        </w:rPr>
      </w:pPr>
      <w:r>
        <w:rPr>
          <w:rFonts w:ascii="Times New Roman;serif" w:hAnsi="Times New Roman;serif"/>
          <w:b w:val="false"/>
          <w:sz w:val="20"/>
        </w:rPr>
        <w:t>While we have not yet experienced significant seasonality in our results, 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58</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this seasonality, it may cause fluctuations in our operating results and financial metrics and make forecasting our future operating results and financial metrics more difficult.</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ability to use our net operating loss carryforwards and certain other tax attributes to offset future taxable income may be subject to certain limitations.</w:t>
      </w:r>
    </w:p>
    <w:p>
      <w:pPr>
        <w:pStyle w:val="TextBody"/>
        <w:bidi w:val="0"/>
        <w:spacing w:before="0" w:after="160"/>
        <w:jc w:val="left"/>
        <w:rPr>
          <w:rFonts w:ascii="Times New Roman" w:hAnsi="Times New Roman"/>
          <w:sz w:val="20"/>
        </w:rPr>
      </w:pPr>
      <w:r>
        <w:rPr>
          <w:rFonts w:ascii="Times New Roman;serif" w:hAnsi="Times New Roman;serif"/>
          <w:b w:val="false"/>
          <w:sz w:val="20"/>
        </w:rPr>
        <w:t>As of June 30, 2023, we had federal net operating loss carryforwards (“NOLs”) of approximately $300.4 million, which will begin to expire in various years ranging from 2023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in tax years beginning after December 31, 2020 is limited to 80% of taxable income. It is uncertain if and to what extent various states will conform to the Tax Act, as modified by the CARES Act.</w:t>
      </w:r>
      <w:r>
        <w:rPr>
          <w:rFonts w:ascii="Times New Roman" w:hAnsi="Times New Roman"/>
          <w:sz w:val="20"/>
        </w:rPr>
        <w:t xml:space="preserve"> </w:t>
      </w:r>
    </w:p>
    <w:p>
      <w:pPr>
        <w:pStyle w:val="TextBody"/>
        <w:bidi w:val="0"/>
        <w:spacing w:before="160" w:after="160"/>
        <w:jc w:val="left"/>
        <w:rPr>
          <w:rFonts w:ascii="Times New Roman;serif" w:hAnsi="Times New Roman;serif"/>
          <w:b w:val="false"/>
          <w:sz w:val="20"/>
        </w:rPr>
      </w:pPr>
      <w:r>
        <w:rPr>
          <w:rFonts w:ascii="Times New Roman;serif" w:hAnsi="Times New Roman;serif"/>
          <w:b w:val="false"/>
          <w:sz w:val="20"/>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pStyle w:val="TextBody"/>
        <w:bidi w:val="0"/>
        <w:spacing w:before="160" w:after="160"/>
        <w:jc w:val="left"/>
        <w:rPr>
          <w:rFonts w:ascii="Times New Roman;serif" w:hAnsi="Times New Roman;serif"/>
          <w:b/>
          <w:sz w:val="20"/>
        </w:rPr>
      </w:pPr>
      <w:r>
        <w:rPr>
          <w:rFonts w:ascii="Times New Roman;serif" w:hAnsi="Times New Roman;serif"/>
          <w:b/>
          <w:sz w:val="20"/>
        </w:rPr>
        <w:t>Risks related to intellectual property</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pStyle w:val="TextBody"/>
        <w:bidi w:val="0"/>
        <w:spacing w:before="0" w:after="160"/>
        <w:jc w:val="left"/>
        <w:rPr>
          <w:rFonts w:ascii="Times New Roman" w:hAnsi="Times New Roman"/>
          <w:sz w:val="20"/>
        </w:rPr>
      </w:pPr>
      <w:r>
        <w:rPr>
          <w:rFonts w:ascii="Times New Roman;serif" w:hAnsi="Times New Roman;serif"/>
          <w:b w:val="false"/>
          <w:sz w:val="20"/>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w:t>
      </w:r>
      <w:r>
        <w:rPr>
          <w:rFonts w:ascii="Times New Roman" w:hAnsi="Times New Roman"/>
          <w:sz w:val="20"/>
        </w:rPr>
        <w:t xml:space="preserve"> </w:t>
      </w:r>
      <w:r>
        <w:rPr>
          <w:rFonts w:ascii="Times New Roman;serif" w:hAnsi="Times New Roman;serif"/>
          <w:b w:val="false"/>
          <w:sz w:val="20"/>
        </w:rPr>
        <w:t>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pStyle w:val="TextBody"/>
        <w:bidi w:val="0"/>
        <w:spacing w:before="0" w:after="160"/>
        <w:jc w:val="left"/>
        <w:rPr>
          <w:rFonts w:ascii="Times New Roman" w:hAnsi="Times New Roman"/>
          <w:sz w:val="20"/>
        </w:rPr>
      </w:pPr>
      <w:r>
        <w:rPr>
          <w:rFonts w:ascii="Times New Roman;serif" w:hAnsi="Times New Roman;serif"/>
          <w:b w:val="false"/>
          <w:sz w:val="20"/>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59</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pStyle w:val="TextBody"/>
        <w:bidi w:val="0"/>
        <w:spacing w:before="0" w:after="160"/>
        <w:jc w:val="left"/>
        <w:rPr>
          <w:rFonts w:ascii="Times New Roman" w:hAnsi="Times New Roman"/>
          <w:sz w:val="20"/>
        </w:rPr>
      </w:pPr>
      <w:r>
        <w:rPr>
          <w:rFonts w:ascii="Times New Roman;serif" w:hAnsi="Times New Roman;serif"/>
          <w:b w:val="false"/>
          <w:sz w:val="20"/>
        </w:rPr>
        <w:t>The issuance of a patent is not conclusive as to its inventorship, scope, validity or enforceability and our owned and in-licensed issued patents may be challenged in courts or patent offices in the United States and abroad.</w:t>
      </w:r>
      <w:r>
        <w:rPr>
          <w:rFonts w:ascii="Times New Roman" w:hAnsi="Times New Roman"/>
          <w:sz w:val="20"/>
        </w:rPr>
        <w:t xml:space="preserve"> </w:t>
      </w:r>
      <w:r>
        <w:rPr>
          <w:rFonts w:ascii="Times New Roman;serif" w:hAnsi="Times New Roman;serif"/>
          <w:b w:val="false"/>
          <w:sz w:val="20"/>
        </w:rPr>
        <w:t>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pStyle w:val="TextBody"/>
        <w:bidi w:val="0"/>
        <w:spacing w:before="0" w:after="160"/>
        <w:jc w:val="left"/>
        <w:rPr>
          <w:rFonts w:ascii="Times New Roman" w:hAnsi="Times New Roman"/>
          <w:sz w:val="20"/>
        </w:rPr>
      </w:pPr>
      <w:r>
        <w:rPr>
          <w:rFonts w:ascii="Times New Roman;serif" w:hAnsi="Times New Roman;serif"/>
          <w:b w:val="false"/>
          <w:sz w:val="20"/>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w:t>
      </w:r>
      <w:r>
        <w:rPr>
          <w:rFonts w:ascii="Times New Roman" w:hAnsi="Times New Roman"/>
          <w:sz w:val="20"/>
        </w:rPr>
        <w:t xml:space="preserve"> </w:t>
      </w:r>
      <w:r>
        <w:rPr>
          <w:rFonts w:ascii="Times New Roman;serif" w:hAnsi="Times New Roman;serif"/>
          <w:b w:val="false"/>
          <w:sz w:val="20"/>
        </w:rPr>
        <w:t>issued patents will provide sufficient protection from competitors. As a result, the issuance, scope, validity, enforceability and commercial value of our patent rights are highly uncertain.</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bidi w:val="0"/>
        <w:spacing w:before="0" w:after="160"/>
        <w:jc w:val="left"/>
        <w:rPr>
          <w:rFonts w:ascii="Times New Roman" w:hAnsi="Times New Roman"/>
          <w:sz w:val="20"/>
        </w:rPr>
      </w:pPr>
      <w:r>
        <w:rPr>
          <w:rFonts w:ascii="Times New Roman;serif" w:hAnsi="Times New Roman;serif"/>
          <w:b w:val="false"/>
          <w:sz w:val="20"/>
        </w:rPr>
        <w:t>Given that patent applications are confidential for a period of time after filing, we cannot be certain that we were the first to file any patent application related to our products. Competitors may also contest our patents, if</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60</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pStyle w:val="TextBody"/>
        <w:bidi w:val="0"/>
        <w:spacing w:before="0" w:after="160"/>
        <w:jc w:val="left"/>
        <w:rPr>
          <w:rFonts w:ascii="Times New Roman" w:hAnsi="Times New Roman"/>
          <w:sz w:val="20"/>
        </w:rPr>
      </w:pPr>
      <w:r>
        <w:rPr>
          <w:rFonts w:ascii="Times New Roman;serif" w:hAnsi="Times New Roman;serif"/>
          <w:b w:val="false"/>
          <w:sz w:val="20"/>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w:t>
      </w:r>
      <w:r>
        <w:rPr>
          <w:rFonts w:ascii="Times New Roman" w:hAnsi="Times New Roman"/>
          <w:sz w:val="20"/>
        </w:rPr>
        <w:t xml:space="preserve"> </w:t>
      </w:r>
      <w:r>
        <w:rPr>
          <w:rFonts w:ascii="Times New Roman;serif" w:hAnsi="Times New Roman;serif"/>
          <w:b w:val="false"/>
          <w:sz w:val="20"/>
        </w:rPr>
        <w:t>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 material adverse effect on our competitive position, business, financial conditions, results of operations and prospects.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61</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Patent terms may be inadequate to protect our competitive position on technology for an adequate amount of time.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62</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future reliance on third parties may require us to share our trade secrets, which increases the possibility that a competitor will discover them or that our trade secrets will be misappropriated or disclosed.</w:t>
      </w:r>
    </w:p>
    <w:p>
      <w:pPr>
        <w:pStyle w:val="TextBody"/>
        <w:bidi w:val="0"/>
        <w:spacing w:before="0" w:after="160"/>
        <w:jc w:val="left"/>
        <w:rPr>
          <w:rFonts w:ascii="Times New Roman" w:hAnsi="Times New Roman"/>
          <w:sz w:val="20"/>
        </w:rPr>
      </w:pPr>
      <w:r>
        <w:rPr>
          <w:rFonts w:ascii="Times New Roman;serif" w:hAnsi="Times New Roman;serif"/>
          <w:b w:val="false"/>
          <w:sz w:val="20"/>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w:t>
      </w:r>
      <w:r>
        <w:rPr>
          <w:rFonts w:ascii="Times New Roman" w:hAnsi="Times New Roman"/>
          <w:sz w:val="20"/>
        </w:rPr>
        <w:t xml:space="preserve"> </w:t>
      </w:r>
      <w:r>
        <w:rPr>
          <w:rFonts w:ascii="Times New Roman;serif" w:hAnsi="Times New Roman;serif"/>
          <w:b w:val="false"/>
          <w:sz w:val="20"/>
        </w:rPr>
        <w:t>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 their work product could hamper or prevent our ability to commercialize our products, which would have a material adverse effect on our business, results of operations, financial condition and prospects.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pStyle w:val="TextBody"/>
        <w:bidi w:val="0"/>
        <w:spacing w:before="0" w:after="160"/>
        <w:jc w:val="left"/>
        <w:rPr>
          <w:rFonts w:ascii="Times New Roman" w:hAnsi="Times New Roman"/>
          <w:sz w:val="20"/>
        </w:rPr>
      </w:pPr>
      <w:r>
        <w:rPr>
          <w:rFonts w:ascii="Times New Roman;serif" w:hAnsi="Times New Roman;serif"/>
          <w:b w:val="false"/>
          <w:sz w:val="20"/>
        </w:rPr>
        <w:t>In addition, we or our licensors may in the future be subject to claims by former employees, consultants or other third parties asserting an ownership right in our owned or in-licensed issued patents or patent applications. An</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63</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 w:hAnsi="Times New Roman"/>
          <w:sz w:val="20"/>
        </w:rPr>
      </w:pPr>
      <w:r>
        <w:rPr>
          <w:rFonts w:ascii="Times New Roman;serif" w:hAnsi="Times New Roman;serif"/>
          <w:b w:val="false"/>
          <w:sz w:val="20"/>
        </w:rPr>
        <w:t>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w:t>
      </w:r>
      <w:r>
        <w:rPr>
          <w:rFonts w:ascii="Times New Roman" w:hAnsi="Times New Roman"/>
          <w:sz w:val="20"/>
        </w:rPr>
        <w:t xml:space="preserve"> </w:t>
      </w:r>
      <w:r>
        <w:rPr>
          <w:rFonts w:ascii="Times New Roman;serif" w:hAnsi="Times New Roman;serif"/>
          <w:b w:val="false"/>
          <w:sz w:val="20"/>
        </w:rPr>
        <w:t>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may become a party to intellectual property litigation or administrative proceedings that could be costly and could interfere with our ability to sell and market our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costly to defend in litigation, divert management’s attention and resources, damage our reputation and brand and cause us to incur 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pStyle w:val="TextBody"/>
        <w:bidi w:val="0"/>
        <w:spacing w:before="0" w:after="160"/>
        <w:jc w:val="left"/>
        <w:rPr>
          <w:rFonts w:ascii="Times New Roman" w:hAnsi="Times New Roman"/>
          <w:sz w:val="20"/>
        </w:rPr>
      </w:pPr>
      <w:r>
        <w:rPr>
          <w:rFonts w:ascii="Times New Roman;serif" w:hAnsi="Times New Roman;serif"/>
          <w:b w:val="false"/>
          <w:sz w:val="20"/>
        </w:rPr>
        <w:t>Even if we believe a third party’s intellectual property claims are without merit, there is no assurance that a court would find in our favor, including on questions of infringement, validity, enforceability or priority of patents.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64</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pStyle w:val="TextBody"/>
        <w:bidi w:val="0"/>
        <w:spacing w:before="0" w:after="160"/>
        <w:jc w:val="left"/>
        <w:rPr>
          <w:rFonts w:ascii="Times New Roman" w:hAnsi="Times New Roman"/>
          <w:sz w:val="20"/>
        </w:rPr>
      </w:pPr>
      <w:r>
        <w:rPr>
          <w:rFonts w:ascii="Times New Roman;serif" w:hAnsi="Times New Roman;serif"/>
          <w:b w:val="false"/>
          <w:sz w:val="20"/>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w:t>
      </w:r>
      <w:r>
        <w:rPr>
          <w:rFonts w:ascii="Times New Roman" w:hAnsi="Times New Roman"/>
          <w:sz w:val="20"/>
        </w:rPr>
        <w:t xml:space="preserve"> </w:t>
      </w:r>
      <w:r>
        <w:rPr>
          <w:rFonts w:ascii="Times New Roman;serif" w:hAnsi="Times New Roman;serif"/>
          <w:b w:val="false"/>
          <w:sz w:val="20"/>
        </w:rPr>
        <w:t>lawsuit or other proceedings, a court or other administrative body may decide that a patent of ours is invalid or unenforceable, in whole or in part, construe the patent’s claims narrowly or refuse to stop the other party from using the technology at issue on the grounds that our patents do not cover the technology in question.</w:t>
      </w:r>
    </w:p>
    <w:p>
      <w:pPr>
        <w:pStyle w:val="TextBody"/>
        <w:bidi w:val="0"/>
        <w:spacing w:before="0" w:after="160"/>
        <w:jc w:val="left"/>
        <w:rPr>
          <w:rFonts w:ascii="Times New Roman" w:hAnsi="Times New Roman"/>
          <w:sz w:val="20"/>
        </w:rPr>
      </w:pPr>
      <w:r>
        <w:rPr>
          <w:rFonts w:ascii="Times New Roman;serif" w:hAnsi="Times New Roman;serif"/>
          <w:b w:val="false"/>
          <w:sz w:val="20"/>
        </w:rPr>
        <w:t>The outcome following legal assertions of invalidity and unenforceability is unpredictable. If a third party were to prevail on a legal assertion of invalidity or unenforceability, we would lose at least part, and perhaps all, of the</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65</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Because of the expense and uncertainty of litigation, we may not be in a position to enforce our intellectual property rights against third parties.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rights to develop and commercialize our products are subject, in part, to the terms and conditions of licenses granted to us by others.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rely, in part, upon licenses to certain patent rights, proprietary technology and other intellectual property from third parties that are important or necessary to the development of our products and technology. Further development and commercialization of our current products, and development of any future products, may require us to enter into additional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66</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Disputes may arise between us and our future licensors regarding intellectual property subject to a license agreement, including:</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scope of rights granted under the license agreement and other interpretation-related issues;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whether and the extent to which our technology and processes infringe on intellectual property of the licensor that is not subject to the licensing agreement;</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right to sublicense patents and other rights to third parties;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diligence obligations with respect to the use of the licensed technology in relation to our development and commercialization of our products, and what activities satisfy those diligence obligations;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right to transfer or assign the license;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ownership of inventions and know-how resulting from the joint creation or use of intellectual property by any of our future licensors and us and our partners.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67</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may not be successful in obtaining necessary rights to any products we may develop through acquisitions and in-licenses.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68</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20"/>
        <w:jc w:val="left"/>
        <w:rPr>
          <w:rFonts w:ascii="Times New Roman;serif" w:hAnsi="Times New Roman;serif"/>
          <w:b/>
          <w:i/>
          <w:sz w:val="20"/>
        </w:rPr>
      </w:pPr>
      <w:r>
        <w:rPr>
          <w:rFonts w:ascii="Times New Roman;serif" w:hAnsi="Times New Roman;serif"/>
          <w:b/>
          <w:i/>
          <w:sz w:val="20"/>
        </w:rPr>
        <w:t>Any collaboration or partnership arrangements that we may enter into in the future may not be successful, which could adversely affect our ability to develop and commercialize our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Any future collaborations that we enter into may not be successful. The success of our collaboration arrangements will depend heavily on the efforts and activities of our collaborators. Collaborations are subject to numerous risks, which may include that:</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collaborators have significant discretion in determining the efforts and resources that they will apply to collaborations;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collaborators could independently develop, or develop with third parties, products that compete directly or indirectly with our current and future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 collaborator with marketing, manufacturing and distribution rights to one or more products may not commit sufficient resources to or otherwise not perform satisfactorily in carrying out these activities;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could grant exclusive rights to our collaborators that would prevent us from collaborating with others;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collaborations may be terminated, and, if terminated, may result in a need for additional capital to pursue further development or commercialization of the applicable current or future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collaborators may own or co-own intellectual property covering our products that results from our collaborating with them, and in such cases, we would not have the exclusive right to develop or commercialize such intellectual property;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 collaborator’s sales and marketing activities or other operations may not be in compliance with applicable laws resulting in civil or criminal proceedings.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may be subject to claims challenging the inventorship of our patents and other intellectual property.</w:t>
      </w:r>
    </w:p>
    <w:p>
      <w:pPr>
        <w:pStyle w:val="TextBody"/>
        <w:bidi w:val="0"/>
        <w:spacing w:before="0" w:after="160"/>
        <w:jc w:val="left"/>
        <w:rPr>
          <w:rFonts w:ascii="Times New Roman" w:hAnsi="Times New Roman"/>
          <w:sz w:val="20"/>
        </w:rPr>
      </w:pPr>
      <w:r>
        <w:rPr>
          <w:rFonts w:ascii="Times New Roman;serif" w:hAnsi="Times New Roman;serif"/>
          <w:b w:val="false"/>
          <w:sz w:val="20"/>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69</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may be ineffective in perfecting ownership of inventions developed by that individual. Any such events could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If we are unable to protect the confidentiality of our trade secrets and other proprietary information, our business and competitive position may be harmed.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bidi w:val="0"/>
        <w:spacing w:before="0" w:after="160"/>
        <w:jc w:val="left"/>
        <w:rPr>
          <w:rFonts w:ascii="Times New Roman" w:hAnsi="Times New Roman"/>
          <w:sz w:val="20"/>
        </w:rPr>
      </w:pPr>
      <w:r>
        <w:rPr>
          <w:rFonts w:ascii="Times New Roman;serif" w:hAnsi="Times New Roman;serif"/>
          <w:b w:val="false"/>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70</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and time-consuming, and the outcome is unpredictable. Further, we may not be able to obtain adequate remedies for any breach.</w:t>
      </w:r>
    </w:p>
    <w:p>
      <w:pPr>
        <w:pStyle w:val="TextBody"/>
        <w:bidi w:val="0"/>
        <w:spacing w:before="0" w:after="120"/>
        <w:jc w:val="left"/>
        <w:rPr>
          <w:rFonts w:ascii="Times New Roman;serif" w:hAnsi="Times New Roman;serif"/>
          <w:b/>
          <w:i/>
          <w:sz w:val="20"/>
        </w:rPr>
      </w:pPr>
      <w:r>
        <w:rPr>
          <w:rFonts w:ascii="Times New Roman;serif" w:hAnsi="Times New Roman;serif"/>
          <w:b/>
          <w:i/>
          <w:sz w:val="20"/>
        </w:rPr>
        <w:t>Changes in United States patent law or the patent law of other countries or jurisdictions could diminish the value of patents in general, thereby impairing our ability to protect our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may not be able to protect our intellectual property rights throughout the world, which could impair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71</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pStyle w:val="TextBody"/>
        <w:bidi w:val="0"/>
        <w:spacing w:before="0" w:after="160"/>
        <w:jc w:val="left"/>
        <w:rPr>
          <w:rFonts w:ascii="Times New Roman" w:hAnsi="Times New Roman"/>
          <w:sz w:val="20"/>
        </w:rPr>
      </w:pPr>
      <w:r>
        <w:rPr>
          <w:rFonts w:ascii="Times New Roman;serif" w:hAnsi="Times New Roman;serif"/>
          <w:b w:val="false"/>
          <w:sz w:val="20"/>
        </w:rPr>
        <w:t>Since June 1, 2023, European applications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litigation.</w:t>
      </w:r>
      <w:r>
        <w:rPr>
          <w:rFonts w:ascii="Times New Roman" w:hAnsi="Times New Roman"/>
          <w:sz w:val="20"/>
        </w:rPr>
        <w:t xml:space="preserve"> </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Intellectual property rights do not necessarily address all potential threats to our competitive advantage.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others may be able to make a product that is similar to our current products and future products we intend to commercialize and that is not covered by the patents that we own or exclusively in-license and have the right to enforce;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and any of our current or future licensors or collaborators might not have been the first to make the inventions covered by the issued patents or pending patent applications that we own, license or may own or license in the future;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or any of our current or future licensors or collaborators might not have been the first to file patent applications covering certain of our inventions;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others may independently develop similar or alternative technologies or duplicate any of our technologies without infringing, misappropriating or otherwise violating our intellectual property rights;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it is possible that our current or future owned or in-licensed patent applications will not lead to issued patents;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issued patents that we own or in-license may not provide us with any competitive advantages, or may be held invalid or unenforceable as a result of legal challenges, including as a result of legal challenges by our competitors;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72</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may not develop additional proprietary technologies that are patentable;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may choose not to file a patent for certain trade secrets or know-how, and a third party may subsequently file a patent covering such intellectual property.</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future use of “open source” software could subject our proprietary software to general release, adversely affect our ability to sell our products and subject us to possible litigation.</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If our trademarks, service marks and tradenames are not adequately protected, then we may not be able to build name recognition in our markets and our business may be adversely affected.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73</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20"/>
        <w:jc w:val="left"/>
        <w:rPr>
          <w:rFonts w:ascii="Times New Roman;serif" w:hAnsi="Times New Roman;serif"/>
          <w:b/>
          <w:sz w:val="20"/>
        </w:rPr>
      </w:pPr>
      <w:r>
        <w:rPr>
          <w:rFonts w:ascii="Times New Roman;serif" w:hAnsi="Times New Roman;serif"/>
          <w:b/>
          <w:sz w:val="20"/>
        </w:rPr>
        <w:t>Risks related to government regulation</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If we fail to obtain and maintain necessary regulatory clearances or approvals for our products, or if clearances or approvals for future products and indications are delayed or not issued, our commercial operations would be harmed.</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product design, development and manufacture;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laboratory, preclinical and clinical testing, labeling, packaging, storage and distribution;</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premarketing clearance or approval;</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record keeping;</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product safety and effective;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product changes;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product marketing, promotion and advertising, sales and distribution;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post marketing surveillance, including reporting of deaths or serious injuries and recalls and correction and removals.</w:t>
      </w:r>
    </w:p>
    <w:p>
      <w:pPr>
        <w:pStyle w:val="TextBody"/>
        <w:bidi w:val="0"/>
        <w:spacing w:before="0" w:after="160"/>
        <w:jc w:val="left"/>
        <w:rPr>
          <w:rFonts w:ascii="Times New Roman" w:hAnsi="Times New Roman"/>
          <w:sz w:val="20"/>
        </w:rPr>
      </w:pPr>
      <w:r>
        <w:rPr>
          <w:rFonts w:ascii="Times New Roman;serif" w:hAnsi="Times New Roman;serif"/>
          <w:b w:val="false"/>
          <w:sz w:val="20"/>
        </w:rPr>
        <w:t>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w:t>
      </w:r>
      <w:r>
        <w:rPr>
          <w:rFonts w:ascii="Times New Roman" w:hAnsi="Times New Roman"/>
          <w:sz w:val="20"/>
        </w:rPr>
        <w:t xml:space="preserve">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FDA can delay, limit or deny clearance or approval of a device for many reasons, including:</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inability to demonstrate to the satisfaction of the FDA or the applicable regulatory entity or notified body that our products are safe or effective for their intended uses;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disagreement of the FDA or the applicable foreign regulatory body with the design, conduct or implementation of our clinical trials or the analyses or interpretation of data from pre-clinical studies or clinical trials;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serious and unexpected adverse device effects experienced by participants in our clinical trials;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74</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data from our pre-clinical studies and clinical trials may be insufficient to support clearance or approval, where required;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inability to demonstrate that the clinical and other benefits of the device outweigh the risks;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applicable regulatory authority may identify significant deficiencies in our manufacturing processes, facilities or analytical methods or those of our third-party contract manufacturers;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potential for approval policies or regulations of the FDA or applicable foreign regulatory bodies to change significantly in a manner rendering our clinical data or regulatory filings insufficient for clearance or approval;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FDA or foreign regulatory authorities may audit our clinical trial data and conclude that the data is not sufficiently reliable to support approval or clearance.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 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we are required to timely file various reports with the FDA, including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75</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FDA and state authorities have broad enforcement powers. Our failure to comply with applicable regulatory requirements could result in enforcement action by the FDA or state agencies, which may include any of the following sanctions: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adverse publicity, warning letters, fines, injunctions, consent decrees and civil penalties;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repair, replacement, refunds, recalls, termination of distribution, administrative detention or seizure of our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operating restrictions, partial suspension or total shutdown of production;</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denial of our requests for 510(k) clearance or PMA of new products, new intended uses or modifications to existing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withdrawal of 510(k) clearance or PMAs that have already been granted;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criminal prosecution.</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products and operations are subject to extensive government regulation and oversight in the United States.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Medical devices regulated by the FDA are subject to “general controls” which include: registration with the FDA; listing commercially distributed products with the FDA; complying with all applicable requirements under the QSR;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pStyle w:val="TextBody"/>
        <w:bidi w:val="0"/>
        <w:spacing w:before="0" w:after="160"/>
        <w:jc w:val="left"/>
        <w:rPr>
          <w:rFonts w:ascii="Times New Roman" w:hAnsi="Times New Roman"/>
          <w:sz w:val="20"/>
        </w:rPr>
      </w:pPr>
      <w:r>
        <w:rPr>
          <w:rFonts w:ascii="Times New Roman;serif" w:hAnsi="Times New Roman;serif"/>
          <w:b w:val="false"/>
          <w:sz w:val="20"/>
        </w:rPr>
        <w:t>Promotional communications with respect to devices are subject to a variety of legal and regulatory restrictions and must be consistent with the information in the products’ cleared or approved labeling. As such, we may not</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76</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 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we fail to comply with applicable regulatory requirements, a regulatory agency or enforcement authority may, among other things: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subject our facility to an adverse inspectional finding or Form 483, or other compliance or enforcement notice, communication or correspondence;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issue warning or untitled letters that would result in adverse publicity or may require corrective advertising;</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impose civil or criminal penalties;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suspend or withdraw regulatory clearances or approvals;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refuse to clear or approve pending applications or supplements to approved applications submitted by us;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impose restrictions on our operations, including closing our sub-assembly suppliers’ facilities;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seize or detain products; or</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require a product recall.</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77</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violations of the FDCA relating to the promotion of approved products may lead to investigations alleging violations of federal and state healthcare fraud and abuse and other laws, as well as state consumer protection laws.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Material modifications to our products may require new 510(k) clearances or pre-market approvals or may require us to recall or cease marketing our products until clearances or approvals are obtained.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 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pStyle w:val="TextBody"/>
        <w:bidi w:val="0"/>
        <w:spacing w:before="0" w:after="160"/>
        <w:jc w:val="left"/>
        <w:rPr>
          <w:rFonts w:ascii="Times New Roman" w:hAnsi="Times New Roman"/>
          <w:sz w:val="20"/>
        </w:rPr>
      </w:pPr>
      <w:r>
        <w:rPr>
          <w:rFonts w:ascii="Times New Roman;serif" w:hAnsi="Times New Roman;serif"/>
          <w:b w:val="false"/>
          <w:sz w:val="20"/>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in Canada and in Mexico. Obtaining additional foreign regulatory approvals and establishing and maintaining compliance with foreign regulatory requirements in jurisdictions where we conduct business currently or in the future, such as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78</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requirements under the EU MDR,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(2) 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products may be subject to recalls after receiving FDA or foreign approval or clearance, which could divert managerial and financial resources, harm our reputation and adversely affect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79</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If we, or our suppliers, fail to comply with the FDA’s QSR or applicable foreign regulations, our manufacturing or distribution operations could be delayed or shut down and our revenue could suffer.</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manufacturing and design processes and those of our third-party component suppliers are required to comply with the FDA’s Quality System Regulation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If we fail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can provide no assurance that we will continue to remain in material compliance with the QSR.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 Taking corrective action may be expensive, time consuming and a distraction for management and if we experience a delay at our manufacturing facility, we may be unable to produce our products, which would harm our business.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Healthcare reform initiatives and other administrative and legislative proposals may adversely affect our business, financial condition, results of operations and cash flows in our key markets.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pStyle w:val="TextBody"/>
        <w:bidi w:val="0"/>
        <w:spacing w:before="0" w:after="160"/>
        <w:jc w:val="left"/>
        <w:rPr>
          <w:rFonts w:ascii="Times New Roman" w:hAnsi="Times New Roman"/>
          <w:sz w:val="20"/>
        </w:rPr>
      </w:pPr>
      <w:r>
        <w:rPr>
          <w:rFonts w:ascii="Times New Roman;serif" w:hAnsi="Times New Roman;serif"/>
          <w:b w:val="false"/>
          <w:sz w:val="20"/>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80</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2031, with the exception of a temporary suspension implemented under various COVID-19 relief legislation. The Consolidated Appropriations Act, 2023, extended the 2% Medicare sequester for the first six months of fiscal year 2032 and revises the sequester percentage up to 2% for fiscal years 2030 and 2031.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ability to set a price that we believe is fair for our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ability to generate revenue and achieve or maintain profitability;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availability of capital.</w:t>
      </w:r>
    </w:p>
    <w:p>
      <w:pPr>
        <w:pStyle w:val="TextBody"/>
        <w:bidi w:val="0"/>
        <w:spacing w:before="0" w:after="120"/>
        <w:jc w:val="left"/>
        <w:rPr>
          <w:rFonts w:ascii="Times New Roman;serif" w:hAnsi="Times New Roman;serif"/>
          <w:b w:val="false"/>
          <w:sz w:val="20"/>
        </w:rPr>
      </w:pPr>
      <w:r>
        <w:rPr>
          <w:rFonts w:ascii="Times New Roman;serif" w:hAnsi="Times New Roman;serif"/>
          <w:b w:val="false"/>
          <w:sz w:val="20"/>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 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If we fail to comply with United States federal and state fraud and abuse and other healthcare laws and regulations, we could face substantial penalties and our business operations and financial condition could be adversely affected.</w:t>
      </w:r>
    </w:p>
    <w:p>
      <w:pPr>
        <w:pStyle w:val="TextBody"/>
        <w:bidi w:val="0"/>
        <w:spacing w:before="0" w:after="160"/>
        <w:jc w:val="left"/>
        <w:rPr>
          <w:rFonts w:ascii="Times New Roman" w:hAnsi="Times New Roman"/>
          <w:sz w:val="20"/>
        </w:rPr>
      </w:pPr>
      <w:r>
        <w:rPr>
          <w:rFonts w:ascii="Times New Roman;serif" w:hAnsi="Times New Roman;serif"/>
          <w:b w:val="false"/>
          <w:sz w:val="20"/>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81</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 associates and their covered subcontractors, including mandatory contractual terms, with respect to safeguarding the privacy, security and transmission of individually identifiable health information;</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82</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Changes in the CMS fee schedules may harm our revenue and operating results.</w:t>
      </w:r>
    </w:p>
    <w:p>
      <w:pPr>
        <w:pStyle w:val="TextBody"/>
        <w:bidi w:val="0"/>
        <w:spacing w:before="0" w:after="160"/>
        <w:jc w:val="left"/>
        <w:rPr>
          <w:rFonts w:ascii="Times New Roman" w:hAnsi="Times New Roman"/>
          <w:sz w:val="20"/>
        </w:rPr>
      </w:pPr>
      <w:r>
        <w:rPr>
          <w:rFonts w:ascii="Times New Roman;serif" w:hAnsi="Times New Roman;serif"/>
          <w:b w:val="false"/>
          <w:sz w:val="20"/>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83</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Legislative or regulatory reforms may make it more difficult and costly for us to obtain regulatory clearance or approval of our planned or future products and to manufacture, market and distribute our products after clearance or approval is obtained.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2017, the European Union (“EU”) published the new EU Medical Device Regulation (“MDR”) (2017/745), the application of which was postponed until May 26, 2021 for class I devices (lowest risk) and May 26, 2024 for all other class devices (higher risk devices). In February 2023, EU Parliament voted to extend the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MDR, notified bodies are required to seek designation to operate as conformity assessment authorities under the new law. While we are currently in compliance with the MDR and in process of transferring certification from MDD to MDR, compliance with any new or changing regulations in the EU or other jurisdictions where we currently commercialize our products or intend to commercialize in the future is a time consuming process that may require comprehensive quality system audits and new conformity assessment certifications for our products. Major changes include: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reclassification of some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greater emphasis on clinical data;</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data transparency, including publication of clinical trial data and safety summaries;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defined content and structure for technical files to support registration;</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unique device identification system;</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greater burden on post-market surveillance and clinical follow-up;</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reduction of adverse event reporting time from 30 to 15 days after the event;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more power to notified bodies.</w:t>
      </w:r>
    </w:p>
    <w:p>
      <w:pPr>
        <w:pStyle w:val="TextBody"/>
        <w:bidi w:val="0"/>
        <w:spacing w:before="0" w:after="160"/>
        <w:jc w:val="left"/>
        <w:rPr>
          <w:rFonts w:ascii="Times New Roman" w:hAnsi="Times New Roman"/>
          <w:sz w:val="20"/>
        </w:rPr>
      </w:pPr>
      <w:r>
        <w:rPr>
          <w:rFonts w:ascii="Times New Roman;serif" w:hAnsi="Times New Roman;serif"/>
          <w:b w:val="false"/>
          <w:sz w:val="20"/>
        </w:rPr>
        <w:t>Implementation of the Medical Device Regulations introduces substantial changes to the obligations with which medical device manufacturers must comply in the EU. High risk medical devices will be subject to additional</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84</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clinical trials may fail to demonstrate competent and reliable evidence of the safety and effectiveness of our products, which would prevent or delay commercialization of our products in development.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pStyle w:val="TextBody"/>
        <w:bidi w:val="0"/>
        <w:spacing w:before="0" w:after="120"/>
        <w:jc w:val="left"/>
        <w:rPr>
          <w:rFonts w:ascii="Times New Roman;serif" w:hAnsi="Times New Roman;serif"/>
          <w:b/>
          <w:i/>
          <w:sz w:val="20"/>
        </w:rPr>
      </w:pPr>
      <w:r>
        <w:rPr>
          <w:rFonts w:ascii="Times New Roman;serif" w:hAnsi="Times New Roman;serif"/>
          <w:b/>
          <w:i/>
          <w:sz w:val="20"/>
        </w:rPr>
        <w:t>Defects or failures associated with our products could lead to recalls, safety alerts or litigation, as well as significant costs and negative publicity.</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medical device industry has historically been subject to extensive litigation over product liability claims. We may be subject to product liability claims if our products cause, or merely appear to have caused, an injury or 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pStyle w:val="TextBody"/>
        <w:bidi w:val="0"/>
        <w:spacing w:before="0" w:after="160"/>
        <w:jc w:val="left"/>
        <w:rPr>
          <w:rFonts w:ascii="Times New Roman" w:hAnsi="Times New Roman"/>
          <w:sz w:val="20"/>
        </w:rPr>
      </w:pPr>
      <w:r>
        <w:rPr>
          <w:rFonts w:ascii="Times New Roman;serif" w:hAnsi="Times New Roman;serif"/>
          <w:b w:val="false"/>
          <w:sz w:val="20"/>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85</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are required to file adverse event reports under Medical Device Reporting, or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Environmental health and safety laws may result in liabilities, expenses and restrictions on our operations. Failure to comply with environmental laws and regulations could subject us to significant liability.</w:t>
      </w:r>
    </w:p>
    <w:p>
      <w:pPr>
        <w:pStyle w:val="TextBody"/>
        <w:bidi w:val="0"/>
        <w:spacing w:before="0" w:after="160"/>
        <w:jc w:val="left"/>
        <w:rPr>
          <w:rFonts w:ascii="Times New Roman" w:hAnsi="Times New Roman"/>
          <w:sz w:val="20"/>
        </w:rPr>
      </w:pPr>
      <w:r>
        <w:rPr>
          <w:rFonts w:ascii="Times New Roman;serif" w:hAnsi="Times New Roman;serif"/>
          <w:b w:val="false"/>
          <w:sz w:val="20"/>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86</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face risks related to our collection and use of data, which could result in investigations, inquiries, litigation, fines, legislative and regulatory action and negative press about our privacy and data protection practices.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could be subject to attacks on our systems by outside parties or fraudulent or inappropriate behavior by our service providers or employees. Third parties may also gain access to users’ accounts using stolen or inferred credentials, computer malware, viruses, spamming, phishing attacks or other means, and may use such access to obtain users’ personal data or prevent use of their accounts. Data breaches could result in a violation of applicable United States and international privacy, data protection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pStyle w:val="TextBody"/>
        <w:bidi w:val="0"/>
        <w:spacing w:before="0" w:after="160"/>
        <w:jc w:val="left"/>
        <w:rPr>
          <w:rFonts w:ascii="Times New Roman" w:hAnsi="Times New Roman"/>
          <w:sz w:val="20"/>
        </w:rPr>
      </w:pPr>
      <w:r>
        <w:rPr>
          <w:rFonts w:ascii="Times New Roman;serif" w:hAnsi="Times New Roman;serif"/>
          <w:b w:val="false"/>
          <w:sz w:val="20"/>
        </w:rPr>
        <w:t>This risk is enhanced in certain jurisdictions and, as we expand our operations domestically and internationally, we may be subject to additional laws in other jurisdictions. Any failure, or perceived failure, by us to comply with privacy and data protection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Additionally, in the United States, California adopted CCPA in January 2020,</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87</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which requires certain companies that process information of California consumers to, among other things, provide new disclosures to California consumers and afford such consumers new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loss of personal information. It remains unclear how various provisions of the CCPA will be interpreted and enforced.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passed, or plan to pass, data privacy laws that are similar to the CCPA and CPRA, further complicating the legal landscape.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data processing practices and policies and to incur substantial costs and expenses in an effort to comply.</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GDPR is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and data security, which enhances risks relating to compliance with such laws. Further, the United Kingdom’s decision to leave the European Union has created uncertainty with regard to data protection regulation in the United Kingdom. We are subject to the UK General Data Protection Regulation and UK Data Protection Act of 2018, which retains the GDPR in the United Kingdom’s national law and provides for a penalty structure similar to the GDPR. These recent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pStyle w:val="TextBody"/>
        <w:bidi w:val="0"/>
        <w:spacing w:before="0" w:after="160"/>
        <w:jc w:val="left"/>
        <w:rPr>
          <w:rFonts w:ascii="Times New Roman" w:hAnsi="Times New Roman"/>
          <w:sz w:val="20"/>
        </w:rPr>
      </w:pPr>
      <w:r>
        <w:rPr>
          <w:rFonts w:ascii="Times New Roman;serif" w:hAnsi="Times New Roman;serif"/>
          <w:b w:val="false"/>
          <w:sz w:val="20"/>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that are required to be implemented over time, and the United Kingdom has adopted new standard contractual clauses that also are required to be implemented over time. In June 2021, the European Commission issued an adequacy decision in respect of the United Kingdom’s data protection framework, enabling data transfers from EU member states to the United Kingdom to continue without requiring contractual or other additional measures. While it is intended to last for at least four years, the European Commission may revoke the adequacy decision at any point, and if this occurs it could lead to additional costs and</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88</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increase our overall risk exposure. These developments and other regulatory guidance or developments may impose 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This could adversely affect the manner in which we provide our services and thus materially affect our operations and financial results.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Because the interpretation and application of laws, regulations, standards and other obligations relating to data privacy and security are still uncertain, it is possible that these laws, regulations, standards and other obligations may be interpreted and applied in a manner that is inconsistent with our data processing practices and policies. If our practices are not consistent, or are viewed as not consistent, with changes in laws, regulations and standards or new interpretations or applications of existing laws, regulations and standards, we may also become subject to fines, audits, inquiries, whistleblower complaints, adverse media coverage, investigations, lawsuits, loss of export privileges, severe criminal or civil sanction or other penalties.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concerns about our data privacy and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pStyle w:val="TextBody"/>
        <w:bidi w:val="0"/>
        <w:spacing w:before="0" w:after="160"/>
        <w:jc w:val="left"/>
        <w:rPr>
          <w:rFonts w:ascii="Times New Roman" w:hAnsi="Times New Roman"/>
          <w:sz w:val="20"/>
        </w:rPr>
      </w:pPr>
      <w:r>
        <w:rPr>
          <w:rFonts w:ascii="Times New Roman;serif" w:hAnsi="Times New Roman;serif"/>
          <w:b w:val="false"/>
          <w:sz w:val="20"/>
        </w:rPr>
        <w:t>Disruptions at the FDA and other agencies, including delays,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 In March 2020, in response to the COVID-19 pandemic, foreign and domestic inspections of facilities were largely placed on hold, the FDA worked to resume routine surveillance, bioresearch monitoring and pre-approval inspections on a prioritized basis. During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or may be unable to complete required inspections during the review period, which can delay clinical development and result in a complete response letter. On May 11, 2023, the federal government ended the COVID-19 public health emergency, which ended a number of temporary changes made to federally funded programs while some continue to be in effect. The full impact of such policy changes and the wind-down of the public health emergency on the FDA and other regulatory policies and operations is unclear. Disruptions at the FDA could significantly impact the ability of the FDA to timely review and process our regulatory submissions, which could have a material adverse effect on our business.</w:t>
      </w:r>
      <w:r>
        <w:rPr>
          <w:rFonts w:ascii="Times New Roman" w:hAnsi="Times New Roman"/>
          <w:sz w:val="20"/>
        </w:rPr>
        <w:t xml:space="preserve"> </w:t>
      </w:r>
    </w:p>
    <w:p>
      <w:pPr>
        <w:pStyle w:val="TextBody"/>
        <w:bidi w:val="0"/>
        <w:spacing w:before="0" w:after="160"/>
        <w:jc w:val="left"/>
        <w:rPr>
          <w:rFonts w:ascii="Times New Roman;serif" w:hAnsi="Times New Roman;serif"/>
          <w:b/>
          <w:i/>
          <w:sz w:val="20"/>
        </w:rPr>
      </w:pPr>
      <w:r>
        <w:rPr>
          <w:rFonts w:ascii="Times New Roman;serif" w:hAnsi="Times New Roman;serif"/>
          <w:b/>
          <w:i/>
          <w:sz w:val="20"/>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pStyle w:val="TextBody"/>
        <w:bidi w:val="0"/>
        <w:spacing w:before="0" w:after="160"/>
        <w:jc w:val="left"/>
        <w:rPr>
          <w:rFonts w:ascii="Times New Roman" w:hAnsi="Times New Roman"/>
          <w:sz w:val="20"/>
        </w:rPr>
      </w:pPr>
      <w:r>
        <w:rPr>
          <w:rFonts w:ascii="Times New Roman;serif" w:hAnsi="Times New Roman;serif"/>
          <w:b w:val="false"/>
          <w:sz w:val="20"/>
        </w:rPr>
        <w:t>We have commercialized the RxSight system outside of the United States,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89</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taxation, sanctions, immigration, internal and disclosure control obligations, securities regulation, anti-competition, data privacy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pStyle w:val="TextBody"/>
        <w:bidi w:val="0"/>
        <w:spacing w:before="0" w:after="120"/>
        <w:jc w:val="left"/>
        <w:rPr>
          <w:rFonts w:ascii="Times New Roman;serif" w:hAnsi="Times New Roman;serif"/>
          <w:b/>
          <w:sz w:val="20"/>
        </w:rPr>
      </w:pPr>
      <w:r>
        <w:rPr>
          <w:rFonts w:ascii="Times New Roman;serif" w:hAnsi="Times New Roman;serif"/>
          <w:b/>
          <w:sz w:val="20"/>
        </w:rPr>
        <w:t>Risks related to reliance on third parties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and our component suppliers may not meet regulatory quality standards applicable to our manufacturing processes, which could have an adverse effect on our business, financial condition and results of operations.</w:t>
      </w:r>
    </w:p>
    <w:p>
      <w:pPr>
        <w:pStyle w:val="TextBody"/>
        <w:bidi w:val="0"/>
        <w:spacing w:before="0" w:after="160"/>
        <w:jc w:val="left"/>
        <w:rPr>
          <w:rFonts w:ascii="Times New Roman" w:hAnsi="Times New Roman"/>
          <w:sz w:val="20"/>
        </w:rPr>
      </w:pPr>
      <w:r>
        <w:rPr>
          <w:rFonts w:ascii="Times New Roman;serif" w:hAnsi="Times New Roman;serif"/>
          <w:b w:val="false"/>
          <w:sz w:val="20"/>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90</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depend upon third parties, including single and sole source suppliers, to manufacture certain components and subcomponents of the RxSight system making us vulnerable to supply disruptions and price fluctuations.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rely on third parties, including single and sole source suppliers, to manufacture certain components and subcomponents of our products.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due to these supply chain constraints we will identify and qualify new vendors or substitute components which requires testing, validations and documentation adding to internal costs and diverting engineering resources from other projects. On January 31, 2023, the FDA approved our premarket approval supplement to our lower cost LDD for various modifications that are intended to reduce the cost to manufacture the device. However, we have deferred the introduction of our lower cost-to-manufacture LDD to the market until the second half of 2023, as it is less difficult to procure components and subcomponents for our existing LDD than the lower cost-to-manufacture LDD. Currently, we are procuring materials for both LDD's, which have the same functionality. Management’s expectation is that our gross margin will be impacted by the decision to continue to produce both LDD's, which is necessary to mitigate potential supply chain issues.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The failure of third parties to meet their contractual, regulatory, and other obligations could adversely affect our business.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91</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and data security risk given current legal and regulatory environments. Failure of third parties to meet their contractual, regulatory and other obligations may have a material adverse effect on our business, financial condition and results of operations.</w:t>
      </w:r>
    </w:p>
    <w:p>
      <w:pPr>
        <w:pStyle w:val="TextBody"/>
        <w:bidi w:val="0"/>
        <w:spacing w:before="0" w:after="120"/>
        <w:jc w:val="left"/>
        <w:rPr>
          <w:rFonts w:ascii="Times New Roman;serif" w:hAnsi="Times New Roman;serif"/>
          <w:b/>
          <w:sz w:val="20"/>
        </w:rPr>
      </w:pPr>
      <w:r>
        <w:rPr>
          <w:rFonts w:ascii="Times New Roman;serif" w:hAnsi="Times New Roman;serif"/>
          <w:b/>
          <w:sz w:val="20"/>
        </w:rPr>
        <w:t>Risks related to our common stock</w:t>
      </w:r>
    </w:p>
    <w:p>
      <w:pPr>
        <w:pStyle w:val="TextBody"/>
        <w:bidi w:val="0"/>
        <w:spacing w:before="0" w:after="120"/>
        <w:jc w:val="left"/>
        <w:rPr>
          <w:rFonts w:ascii="Times New Roman;serif" w:hAnsi="Times New Roman;serif"/>
          <w:b/>
          <w:i/>
          <w:sz w:val="20"/>
        </w:rPr>
      </w:pPr>
      <w:r>
        <w:rPr>
          <w:rFonts w:ascii="Times New Roman;serif" w:hAnsi="Times New Roman;serif"/>
          <w:b/>
          <w:i/>
          <w:sz w:val="20"/>
        </w:rPr>
        <w:t>The price of our stock may be volatile, and you could lose all or part of your investment.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trading price of our common stock has been and may continue to be highly volatile and could be subject to wide fluctuations in response to various factors, some of which we cannot control. From the date of our initial public offering through August 1, 2023, our common stock has traded at a low of $8.80 and a high of $33.77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Part II, Item 1A, “Risk Factors,” and elsewhere in this report, these factors include: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timing and results of preclinical studies and clinical trials of our current and future products or those of our competitors;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success of competitive products or announcements by potential competitors of their product development efforts;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regulatory actions with respect to our products or our competitors’ products;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actual or anticipated changes in our growth rate relative to our competitors;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regulatory or legal developments in the United States and other countries;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developments or disputes concerning patent applications, issued patents or other intellectual property or proprietary rights;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recruitment or departure of key personnel;</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announcements by us or our competitors of significant acquisitions, strategic collaborations, joint ventures, collaborations or capital commitments;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actual or anticipated changes in estimates as to financial results, development timelines or recommendations by securities analysts;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fluctuations in the valuation of companies perceived by investors to be comparable to us;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market conditions in the medical device sector;</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changes in the structure of healthcare payment systems;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share price and volume fluctuations attributable to inconsistent trading volume levels of our shares;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announcement or expectation of additional financing efforts;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sales of our common stock by us, our insiders or our other stockholders;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general economic, industry and market conditions, including global and national events, such as the conflicts in Eastern Europe, and general economic downturns.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92</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realization of any of the above risks or any of a broad range of other risks, including those described in this Part II, Item 1A, “Risk Factors,” could have a dramatic and adverse impact on the market price of our common stock.</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If securities or industry analysts do not publish research or publish unfavorable research about our business, our stock price and trading volume could decline.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do not know whether an active, liquid and orderly trading market will exist for our common stock or what the market price of our common stock will be and as a result it may be difficult for you to sell your shares of our common stock.</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pStyle w:val="TextBody"/>
        <w:bidi w:val="0"/>
        <w:spacing w:before="0" w:after="120"/>
        <w:jc w:val="left"/>
        <w:rPr>
          <w:rFonts w:ascii="Times New Roman;serif" w:hAnsi="Times New Roman;serif"/>
          <w:b/>
          <w:i/>
          <w:sz w:val="20"/>
        </w:rPr>
      </w:pPr>
      <w:r>
        <w:rPr>
          <w:rFonts w:ascii="Times New Roman;serif" w:hAnsi="Times New Roman;serif"/>
          <w:b/>
          <w:i/>
          <w:sz w:val="20"/>
        </w:rPr>
        <w:t>Sales of a substantial number of shares of our common stock in the public market could cause our stock price to fall.</w:t>
      </w:r>
    </w:p>
    <w:p>
      <w:pPr>
        <w:pStyle w:val="TextBody"/>
        <w:bidi w:val="0"/>
        <w:spacing w:before="0" w:after="160"/>
        <w:jc w:val="left"/>
        <w:rPr>
          <w:rFonts w:ascii="Times New Roman" w:hAnsi="Times New Roman"/>
          <w:sz w:val="20"/>
        </w:rPr>
      </w:pPr>
      <w:r>
        <w:rPr>
          <w:rFonts w:ascii="Times New Roman;serif" w:hAnsi="Times New Roman;serif"/>
          <w:b w:val="false"/>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r>
        <w:rPr>
          <w:rFonts w:ascii="Times New Roman" w:hAnsi="Times New Roman"/>
          <w:sz w:val="20"/>
        </w:rPr>
        <w:t xml:space="preserve"> </w:t>
      </w:r>
    </w:p>
    <w:p>
      <w:pPr>
        <w:pStyle w:val="TextBody"/>
        <w:bidi w:val="0"/>
        <w:spacing w:before="0" w:after="160"/>
        <w:jc w:val="left"/>
        <w:rPr>
          <w:rFonts w:ascii="Times New Roman" w:hAnsi="Times New Roman"/>
          <w:sz w:val="20"/>
        </w:rPr>
      </w:pPr>
      <w:r>
        <w:rPr>
          <w:rFonts w:ascii="Times New Roman;serif" w:hAnsi="Times New Roman;serif"/>
          <w:b w:val="false"/>
          <w:sz w:val="20"/>
        </w:rPr>
        <w:t>As of June 30, 2023, we had 35,168,041 shares of common stock issued and outstanding. All of these shares are available for sale in the public market, subject to limitations under Rule 144 with respect to affiliates of our company.</w:t>
      </w:r>
      <w:r>
        <w:rPr>
          <w:rFonts w:ascii="Times New Roman" w:hAnsi="Times New Roman"/>
          <w:sz w:val="20"/>
        </w:rPr>
        <w:t xml:space="preserve"> </w:t>
      </w:r>
    </w:p>
    <w:p>
      <w:pPr>
        <w:pStyle w:val="TextBody"/>
        <w:bidi w:val="0"/>
        <w:spacing w:before="0" w:after="160"/>
        <w:jc w:val="left"/>
        <w:rPr>
          <w:rFonts w:ascii="Times New Roman" w:hAnsi="Times New Roman"/>
          <w:sz w:val="20"/>
        </w:rPr>
      </w:pPr>
      <w:r>
        <w:rPr>
          <w:rFonts w:ascii="Times New Roman;serif" w:hAnsi="Times New Roman;serif"/>
          <w:b w:val="false"/>
          <w:sz w:val="20"/>
        </w:rPr>
        <w:t>We have filed registration statements on Form S-8 under the Securities Act registering the offer and sale of up to an aggregate of 9,216,217 shares of common stock pursuant to our Equity Incentive Plans and an aggregate of 757,694 shares of common stock pursuant to our 2021 ESPP. Our 2021 Plan and 2021 ESPP each contain an evergreen provision that may increase the number of shares available for issuance pursuant to such plans on the first day of each fiscal year. See Note 7 – Stock-Based Compensation Expense in the Notes to the unaudited condensed consolidated financial statements included in this report.</w:t>
      </w:r>
      <w:r>
        <w:rPr>
          <w:rFonts w:ascii="Times New Roman" w:hAnsi="Times New Roman"/>
          <w:sz w:val="20"/>
        </w:rPr>
        <w:t xml:space="preserve"> </w:t>
      </w:r>
    </w:p>
    <w:p>
      <w:pPr>
        <w:pStyle w:val="TextBody"/>
        <w:bidi w:val="0"/>
        <w:spacing w:before="0" w:after="160"/>
        <w:jc w:val="left"/>
        <w:rPr>
          <w:rFonts w:ascii="Times New Roman" w:hAnsi="Times New Roman"/>
          <w:sz w:val="20"/>
        </w:rPr>
      </w:pPr>
      <w:r>
        <w:rPr>
          <w:rFonts w:ascii="Times New Roman;serif" w:hAnsi="Times New Roman;serif"/>
          <w:b w:val="false"/>
          <w:sz w:val="20"/>
        </w:rPr>
        <w:t>On August 8, 2022, we filed a $200.0 million shelf registration statement which became effective on August 12, 2022. The shelf registration statement is effective for three years and permits us to sell, from time to time, up to $200.0 million in aggregate value of our common stock, preferred stock, debt securities, warrants, and/or units. The shelf registration statement is intended to provide us with flexibility to access additional capital when market conditions are appropriate. At the time of filing of the shelf registration statement, we also filed a prospectus supplement to sell up to an aggregate value of $50.0 million dollars of our common stock through an “at-the-market” (the “ATM”) offering. The shares are being offered through BofA Securities, Inc. as sales agent. As of</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93</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 w:hAnsi="Times New Roman"/>
          <w:sz w:val="20"/>
        </w:rPr>
      </w:pPr>
      <w:r>
        <w:rPr>
          <w:rFonts w:ascii="Times New Roman;serif" w:hAnsi="Times New Roman;serif"/>
          <w:b w:val="false"/>
          <w:sz w:val="20"/>
        </w:rPr>
        <w:t>June 30, 2023, a total of 2,189,964 shares of common stock, for total net proceeds of $35.8 million, have been issued and sold through the ATM offering, of which 834,748 shares of common stock, for net proceeds of $19.4 million, were sold during the quarter ended June 30, 2023.</w:t>
      </w:r>
      <w:r>
        <w:rPr>
          <w:rFonts w:ascii="Times New Roman" w:hAnsi="Times New Roman"/>
          <w:sz w:val="20"/>
        </w:rPr>
        <w:t xml:space="preserve">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pStyle w:val="TextBody"/>
        <w:bidi w:val="0"/>
        <w:spacing w:before="0" w:after="120"/>
        <w:jc w:val="left"/>
        <w:rPr>
          <w:rFonts w:ascii="Times New Roman" w:hAnsi="Times New Roman"/>
          <w:sz w:val="20"/>
        </w:rPr>
      </w:pPr>
      <w:r>
        <w:rPr>
          <w:rFonts w:ascii="Times New Roman;serif" w:hAnsi="Times New Roman;serif"/>
          <w:b w:val="false"/>
          <w:sz w:val="20"/>
        </w:rPr>
        <w:br/>
      </w:r>
      <w:r>
        <w:rPr>
          <w:rFonts w:ascii="Times New Roman;serif" w:hAnsi="Times New Roman;serif"/>
          <w:b/>
          <w:i/>
          <w:sz w:val="20"/>
        </w:rPr>
        <w:t>Our principal stockholders and management own a significant percentage of our stock and will be able to exert significant control over matters subject to stockholder approval.</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As of June 30, 2023, our executive officers, directors, holders of 5% or more of our common stock and their respective affiliates beneficially owned approximately 35% of our voting common stock. As a result, this group of stockholders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are currently an “emerging growth company” and a “smaller reporting company,” and we cannot be certain if the reduced reporting requirements applicable to emerging growth companies and smaller reporting companies will make our common stock less attractive to investors.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are currently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not being required to comply with the auditor attestation requirements of Section 404 of the Sarbanes-Oxley Act;</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reduced disclosure obligations regarding executive compensation in our periodic reports and proxy statements;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exemptions from the requirements of holding nonbinding advisory stockholder votes on executive compensation and stockholder approval of any golden parachute payments not previously approved.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before="0" w:after="160"/>
        <w:jc w:val="left"/>
        <w:rPr>
          <w:rFonts w:ascii="Times New Roman" w:hAnsi="Times New Roman"/>
          <w:sz w:val="20"/>
        </w:rPr>
      </w:pPr>
      <w:r>
        <w:rPr>
          <w:rFonts w:ascii="Times New Roman;serif" w:hAnsi="Times New Roman;serif"/>
          <w:b w:val="false"/>
          <w:sz w:val="20"/>
        </w:rPr>
        <w:t>On the last business day of the second quarter of 2023, the aggregate market value of the shares of our common stock held by non-affiliate stockholders exceeded $700 million. As a result, as of December 31, 2023, we will be considered a “large accelerated filer,” as defined in Rule 12b-2 under the Exchange Act, and will cease to be an emerging growth company at that time.</w:t>
      </w:r>
      <w:r>
        <w:rPr>
          <w:rFonts w:ascii="Times New Roman" w:hAnsi="Times New Roman"/>
          <w:sz w:val="20"/>
        </w:rPr>
        <w:t xml:space="preserve"> </w:t>
      </w:r>
    </w:p>
    <w:p>
      <w:pPr>
        <w:pStyle w:val="TextBody"/>
        <w:bidi w:val="0"/>
        <w:spacing w:before="0" w:after="160"/>
        <w:jc w:val="left"/>
        <w:rPr>
          <w:rFonts w:ascii="Times New Roman" w:hAnsi="Times New Roman"/>
          <w:sz w:val="20"/>
        </w:rPr>
      </w:pPr>
      <w:r>
        <w:rPr>
          <w:rFonts w:ascii="Times New Roman;serif" w:hAnsi="Times New Roman;serif"/>
          <w:b w:val="false"/>
          <w:sz w:val="20"/>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94</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application of existing guidance to changes in our business could significantly affect our financial position and results of operations.</w:t>
      </w:r>
    </w:p>
    <w:p>
      <w:pPr>
        <w:pStyle w:val="TextBody"/>
        <w:bidi w:val="0"/>
        <w:spacing w:before="0" w:after="160"/>
        <w:jc w:val="left"/>
        <w:rPr>
          <w:rFonts w:ascii="Times New Roman" w:hAnsi="Times New Roman"/>
          <w:sz w:val="20"/>
        </w:rPr>
      </w:pPr>
      <w:r>
        <w:rPr>
          <w:rFonts w:ascii="Times New Roman;serif" w:hAnsi="Times New Roman;serif"/>
          <w:b w:val="false"/>
          <w:sz w:val="20"/>
        </w:rPr>
        <w:t>We are also currently a “smaller reporting company” as defined in the Exchange Act. However, effective December 31, 2023, due to large accelerated filer status, we will no longer qualify as a smaller reporting company and accordingly will no longer be permitted to take advantage of the reduced reporting requirements for smaller reporting companies, subject to a transition period that allows us to use smaller reporting company scaled disclosure for our Annual Report on Form 10-K for the year ending December 31, 2023.</w:t>
      </w:r>
      <w:r>
        <w:rPr>
          <w:rFonts w:ascii="Times New Roman" w:hAnsi="Times New Roman"/>
          <w:sz w:val="20"/>
        </w:rPr>
        <w:t xml:space="preserve"> </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As a public company we incur significant legal, accounting and other expenses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if we are an accelerated filer or large accelerated filer.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95</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20"/>
        <w:jc w:val="left"/>
        <w:rPr>
          <w:rFonts w:ascii="Times New Roman;serif" w:hAnsi="Times New Roman;serif"/>
          <w:b/>
          <w:i/>
          <w:sz w:val="20"/>
        </w:rPr>
      </w:pPr>
      <w:r>
        <w:rPr>
          <w:rFonts w:ascii="Times New Roman;serif" w:hAnsi="Times New Roman;serif"/>
          <w:b/>
          <w:i/>
          <w:sz w:val="20"/>
        </w:rPr>
        <w:t>We do not intend to pay dividends on our common stock so any returns will be limited to the value of our stock.</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pStyle w:val="TextBody"/>
        <w:bidi w:val="0"/>
        <w:spacing w:before="0" w:after="120"/>
        <w:jc w:val="left"/>
        <w:rPr>
          <w:rFonts w:ascii="Times New Roman;serif" w:hAnsi="Times New Roman;serif"/>
          <w:b/>
          <w:i/>
          <w:sz w:val="20"/>
        </w:rPr>
      </w:pPr>
      <w:r>
        <w:rPr>
          <w:rFonts w:ascii="Times New Roman;serif" w:hAnsi="Times New Roman;serif"/>
          <w:b/>
          <w:i/>
          <w:sz w:val="20"/>
        </w:rPr>
        <w:t>Provisions in our certificate of incorporation, bylaws and Delaware law might discourage, delay or prevent a change in control of our company or changes in our management and, therefore, depress the market price of our common stock.</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establish a classified Board of Directors so that not all members of our board are elected at one time;</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permit only the Board of Directors to establish the number of directors and fill vacancies on the board;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provide that directors may only be removed “for cause” and only with the approval of two-thirds of our stockholders;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authorize the issuance of “blank check” preferred stock that our board could use to implement a stockholder rights plan (also known as a poison pill);</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eliminate the ability of our stockholders to call special meetings of stockholders;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prohibit stockholder action by written consent, which requires all stockholder actions to be taken at a meeting of our stockholders;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prohibit cumulative voting;</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authorize our Board of Directors to amend the bylaws;</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establish advance notice requirements for nominations for election to our board or for proposing matters that can be acted upon by stockholders at annual stockholder meetings;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require a super-majority vote of stockholders to amend some provisions described above.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any derivative action or proceeding brought on our behalf;</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96</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any action asserting a claim of breach of fiduciary duty;</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any action asserting a claim against us arising under the DGCL, our amended and restated certificate of incorporation or our bylaws; and</w:t>
      </w:r>
    </w:p>
    <w:p>
      <w:pPr>
        <w:pStyle w:val="TextBody"/>
        <w:bidi w:val="0"/>
        <w:spacing w:before="0" w:after="160"/>
        <w:jc w:val="left"/>
        <w:rPr/>
      </w:pPr>
      <w:r>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any action asserting a claim against us that is governed by the internal-affairs doctrine.</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 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This Delaware forum provision does not apply to actions arising under the Securities Exchange Act of 1934 because the federal courts have exclusive jurisdiction over such claims.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Board of Directors are authorized to issue and designate shares of our preferred stock in additional series without stockholder approval.</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pStyle w:val="TextBody"/>
        <w:bidi w:val="0"/>
        <w:spacing w:before="0" w:after="120"/>
        <w:jc w:val="left"/>
        <w:rPr>
          <w:rFonts w:ascii="Times New Roman;serif" w:hAnsi="Times New Roman;serif"/>
          <w:b/>
          <w:i/>
          <w:sz w:val="20"/>
        </w:rPr>
      </w:pPr>
      <w:r>
        <w:rPr>
          <w:rFonts w:ascii="Times New Roman;serif" w:hAnsi="Times New Roman;serif"/>
          <w:b/>
          <w:i/>
          <w:sz w:val="20"/>
        </w:rPr>
        <w:t>Changes in tax laws or regulations that are applied adversely to us or our customers may have a material adverse effect on our business, cash flow, financial condition or results of operations.</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97</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As an example, beginning in 2022, the Tax Act eliminates the option to immediately deduct research and development expenditures currently and requires taxpayers to capitalize and amortize them over five or fifteen years pursuant to Section 174 of the Code, which may impact our effective tax rate and our cash tax liability in 2022 or in future years. Regulatory or legislative developments may arise from the proposed U.S. tax reform under the Biden Administration, which has proposed several changes to the corporate income tax regime,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will become effective beginning in fiscal year 2023. We do not currently expect that the IRA will have a material impact on our income tax liability.</w:t>
      </w:r>
    </w:p>
    <w:p>
      <w:pPr>
        <w:pStyle w:val="TextBody"/>
        <w:bidi w:val="0"/>
        <w:spacing w:before="0" w:after="120"/>
        <w:jc w:val="left"/>
        <w:rPr>
          <w:rFonts w:ascii="Times New Roman;serif" w:hAnsi="Times New Roman;serif"/>
          <w:b/>
          <w:sz w:val="20"/>
        </w:rPr>
      </w:pPr>
      <w:r>
        <w:rPr>
          <w:rFonts w:ascii="Times New Roman;serif" w:hAnsi="Times New Roman;serif"/>
          <w:b/>
          <w:sz w:val="20"/>
        </w:rPr>
        <w:t>General risk factors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success is highly dependent on our ability to attract and retain highly skilled executive officers and employees.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business and operations would suffer in the event of system failures or security breaches or incidents.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computer systems, as well as those of our contractors and consultants, are vulnerable to damage from computer viruses, ransomware and other malicious code, unauthorized access, natural disasters (including hurricanes), terrorism, war and telecommunication and electrical failures. If such an event were to occur and cause interruptions in our operations, it could result in a material disruption of the commercialization of our RxSight system and our future products.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98</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 w:hAnsi="Times New Roman"/>
          <w:sz w:val="20"/>
        </w:rPr>
      </w:pPr>
      <w:r>
        <w:rPr>
          <w:rFonts w:ascii="Times New Roman;serif" w:hAnsi="Times New Roman;serif"/>
          <w:b w:val="false"/>
          <w:sz w:val="20"/>
        </w:rPr>
        <w:t>The secure processing, maintenance and transmission of this information is critical to our operations. Despite our security measures, our information technology and infrastructure may be vulnerable to attacks by hackers or internal bad actors, or breached due to technical vulnerabilities, employee error, malfeasance or other disruptions. Although, to our knowledge, we have not experienced such material security breach to date , any security breach or security incident could compromise our networks and the information stored there could be accessed, publicly disclosed, lost, stolen, or otherwise processed without authorization. Any such actual or perceived access, disclosure or other security breach or incident, loss, or unauthorized processing of information (whether affecting us or one of our third-party service providers)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r>
        <w:rPr>
          <w:rFonts w:ascii="Times New Roman" w:hAnsi="Times New Roman"/>
          <w:sz w:val="20"/>
        </w:rPr>
        <w:t xml:space="preserve">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The techniques and sophistication used to conduct cyber-attacks and breaches of information technology systems, as well as the sources and targets of these attacks, may take many forms (including phishing, social engineering, denial or degradation of service attacks, ransomware, malware or other malicious code), change frequently and are often not recognized until such attacks are launched or have been in place for a period of time. In addition, our employees, contractors, or third parties with whom we do business or to whom we outsource business operations may attempt to circumvent our security measures in order to misappropriate regulated, protected, or personally identifiable information, and may purposefully or inadvertently cause a breach or incident involving or compromise of such information. Third parties may have the technology or know-how to breach the security of the information collected, stored, or transmitted by us, and our respective security measures, as well as those of our third-party service providers, may not effectively prohibit others from obtaining improper access to this information. Advances in computer and software capabilities and encryption technology, new tools, and other developments may increase the risk of such a breach, incident, or compromise. There is no assurance that any security procedures or controls that we or our third-party providers have implemented will be sufficient to prevent data-security related incidents from occurring.</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Economic conditions may adversely affect our business.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Global economic, political and market conditions, conflicts in Eastern Europe, and general economic downturns, may negatively impact our business. A significant change in the liquidity or financial condition of our customers could cause unfavorable trends in their purchases and also in our receivable collections, and additional allowances may be required, which could adversely affect our business, financial condition and results of operations. Adverse worldwide economic conditions may also adversely impact our suppliers’ ability to provide us with materials and components, which could have a material adverse effect on our business, financial condition and results of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Litigation and other legal proceedings may adversely affect our business.</w:t>
      </w:r>
    </w:p>
    <w:p>
      <w:pPr>
        <w:pStyle w:val="TextBody"/>
        <w:bidi w:val="0"/>
        <w:spacing w:before="0" w:after="160"/>
        <w:jc w:val="left"/>
        <w:rPr>
          <w:rFonts w:ascii="Times New Roman" w:hAnsi="Times New Roman"/>
          <w:sz w:val="20"/>
        </w:rPr>
      </w:pPr>
      <w:r>
        <w:rPr>
          <w:rFonts w:ascii="Times New Roman;serif" w:hAnsi="Times New Roman;serif"/>
          <w:b w:val="false"/>
          <w:sz w:val="20"/>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w:t>
      </w:r>
      <w:r>
        <w:rPr>
          <w:rFonts w:ascii="Times New Roman" w:hAnsi="Times New Roman"/>
          <w:sz w:val="20"/>
        </w:rPr>
        <w:t xml:space="preserve"> </w:t>
      </w:r>
    </w:p>
    <w:p>
      <w:pPr>
        <w:pStyle w:val="TextBody"/>
        <w:bidi w:val="0"/>
        <w:spacing w:before="0" w:after="0"/>
        <w:jc w:val="left"/>
        <w:rPr/>
      </w:pPr>
      <w:r>
        <w:rPr/>
        <w:t> </w:t>
      </w:r>
    </w:p>
    <w:tbl>
      <w:tblPr>
        <w:tblW w:w="713" w:type="dxa"/>
        <w:jc w:val="left"/>
        <w:tblInd w:w="0" w:type="dxa"/>
        <w:tblLayout w:type="fixed"/>
        <w:tblCellMar>
          <w:top w:w="28" w:type="dxa"/>
          <w:left w:w="28" w:type="dxa"/>
          <w:bottom w:w="28" w:type="dxa"/>
          <w:right w:w="28" w:type="dxa"/>
        </w:tblCellMar>
      </w:tblPr>
      <w:tblGrid>
        <w:gridCol w:w="376"/>
        <w:gridCol w:w="146"/>
        <w:gridCol w:w="19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99</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Business disruptions could seriously harm our future revenue and financial condition and increase our costs and expenses.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pStyle w:val="TextBody"/>
        <w:bidi w:val="0"/>
        <w:spacing w:before="0" w:after="120"/>
        <w:jc w:val="left"/>
        <w:rPr>
          <w:rFonts w:ascii="Times New Roman;serif" w:hAnsi="Times New Roman;serif"/>
          <w:b/>
          <w:i/>
          <w:sz w:val="20"/>
        </w:rPr>
      </w:pPr>
      <w:r>
        <w:rPr>
          <w:rFonts w:ascii="Times New Roman;serif" w:hAnsi="Times New Roman;serif"/>
          <w:b/>
          <w:i/>
          <w:sz w:val="20"/>
        </w:rPr>
        <w:t>Our results of operations could be materially harmed if we are unable to accurately forecast customer demand for our products and manage our inventory.</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We seek to maintain sufficient levels of inventory in order to protect ourselves from supply interruptions, but due to the expansion of global lead times, particularly in Europe and Asia,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bidi w:val="0"/>
        <w:spacing w:before="0" w:after="120"/>
        <w:jc w:val="left"/>
        <w:rPr/>
      </w:pPr>
      <w:r>
        <w:rPr/>
        <w:t> </w:t>
      </w:r>
    </w:p>
    <w:p>
      <w:pPr>
        <w:pStyle w:val="TextBody"/>
        <w:bidi w:val="0"/>
        <w:spacing w:before="160" w:after="0"/>
        <w:jc w:val="left"/>
        <w:rPr>
          <w:rFonts w:ascii="Times New Roman" w:hAnsi="Times New Roman"/>
          <w:sz w:val="20"/>
        </w:rPr>
      </w:pPr>
      <w:bookmarkStart w:id="15" w:name="item_2_unregistered_sales_equity_securit"/>
      <w:bookmarkEnd w:id="15"/>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20"/>
        </w:rPr>
      </w:pPr>
      <w:r>
        <w:rPr>
          <w:rFonts w:ascii="Times New Roman;serif" w:hAnsi="Times New Roman;serif"/>
          <w:b/>
          <w:i/>
          <w:sz w:val="20"/>
        </w:rPr>
        <w:t>(a) Recent Sales of Unregistered Securities</w:t>
      </w:r>
    </w:p>
    <w:p>
      <w:pPr>
        <w:pStyle w:val="TextBody"/>
        <w:bidi w:val="0"/>
        <w:spacing w:before="0" w:after="0"/>
        <w:jc w:val="left"/>
        <w:rPr/>
      </w:pPr>
      <w:r>
        <w:rPr/>
        <w:t> </w:t>
      </w:r>
    </w:p>
    <w:tbl>
      <w:tblPr>
        <w:tblW w:w="818" w:type="dxa"/>
        <w:jc w:val="left"/>
        <w:tblInd w:w="0" w:type="dxa"/>
        <w:tblLayout w:type="fixed"/>
        <w:tblCellMar>
          <w:top w:w="28" w:type="dxa"/>
          <w:left w:w="28" w:type="dxa"/>
          <w:bottom w:w="28" w:type="dxa"/>
          <w:right w:w="28" w:type="dxa"/>
        </w:tblCellMar>
      </w:tblPr>
      <w:tblGrid>
        <w:gridCol w:w="481"/>
        <w:gridCol w:w="146"/>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100</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left"/>
        <w:rPr>
          <w:rFonts w:ascii="Times New Roman;serif" w:hAnsi="Times New Roman;serif"/>
          <w:b/>
          <w:i/>
          <w:sz w:val="20"/>
        </w:rPr>
      </w:pPr>
      <w:r>
        <w:rPr>
          <w:rFonts w:ascii="Times New Roman;serif" w:hAnsi="Times New Roman;serif"/>
          <w:b/>
          <w:i/>
          <w:sz w:val="20"/>
        </w:rPr>
        <w:t>(b) Use of Proceeds from Registered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 Issuer Purchases of Equity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60" w:after="0"/>
        <w:jc w:val="left"/>
        <w:rPr>
          <w:rFonts w:ascii="Times New Roman;serif" w:hAnsi="Times New Roman;serif"/>
          <w:b/>
          <w:sz w:val="20"/>
        </w:rPr>
      </w:pPr>
      <w:bookmarkStart w:id="16" w:name="item3_defaults"/>
      <w:bookmarkEnd w:id="16"/>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60" w:after="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160" w:after="0"/>
        <w:jc w:val="left"/>
        <w:rPr>
          <w:rFonts w:ascii="Times New Roman;serif" w:hAnsi="Times New Roman;serif"/>
          <w:b/>
          <w:sz w:val="20"/>
        </w:rPr>
      </w:pPr>
      <w:bookmarkStart w:id="18" w:name="item5otherinformation"/>
      <w:bookmarkEnd w:id="18"/>
      <w:r>
        <w:rPr>
          <w:rFonts w:ascii="Times New Roman;serif" w:hAnsi="Times New Roman;serif"/>
          <w:b/>
          <w:sz w:val="20"/>
        </w:rPr>
        <w:t>Item 5. Other Information.</w:t>
      </w:r>
    </w:p>
    <w:p>
      <w:pPr>
        <w:pStyle w:val="TextBody"/>
        <w:bidi w:val="0"/>
        <w:spacing w:before="160" w:after="0"/>
        <w:jc w:val="left"/>
        <w:rPr>
          <w:rFonts w:ascii="Times New Roman;serif" w:hAnsi="Times New Roman;serif"/>
          <w:b/>
          <w:sz w:val="20"/>
        </w:rPr>
      </w:pPr>
      <w:r>
        <w:rPr>
          <w:rFonts w:ascii="Times New Roman;serif" w:hAnsi="Times New Roman;serif"/>
          <w:b/>
          <w:sz w:val="20"/>
        </w:rPr>
        <w:t>Refinancing and Payoff of Oxford Debt</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4, 2023, the Company prepaid all of its outstanding loans (the “Retired Loans”) under the June 2023 LSA with Oxford. The Company primarily used cash raised under the ATM Facility, to prepay the Retired Loans and terminate the June 2023 LSA with Oxford and the related liens on the Company’s assets which had secured the Retired Loans. See Note 6 – Term Loans for more information.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disclosure is provided in this Part II, Item 5 in lieu of disclosure under Items 1.02 of Form 8-K.</w:t>
      </w:r>
    </w:p>
    <w:p>
      <w:pPr>
        <w:pStyle w:val="TextBody"/>
        <w:bidi w:val="0"/>
        <w:spacing w:before="0" w:after="0"/>
        <w:jc w:val="left"/>
        <w:rPr/>
      </w:pPr>
      <w:r>
        <w:rPr/>
        <w:t> </w:t>
      </w:r>
    </w:p>
    <w:tbl>
      <w:tblPr>
        <w:tblW w:w="818" w:type="dxa"/>
        <w:jc w:val="left"/>
        <w:tblInd w:w="0" w:type="dxa"/>
        <w:tblLayout w:type="fixed"/>
        <w:tblCellMar>
          <w:top w:w="28" w:type="dxa"/>
          <w:left w:w="28" w:type="dxa"/>
          <w:bottom w:w="28" w:type="dxa"/>
          <w:right w:w="28" w:type="dxa"/>
        </w:tblCellMar>
      </w:tblPr>
      <w:tblGrid>
        <w:gridCol w:w="481"/>
        <w:gridCol w:w="146"/>
        <w:gridCol w:w="19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101</w:t>
            </w:r>
            <w:r>
              <w:rPr>
                <w:rFonts w:ascii="Times New Roman" w:hAnsi="Times New Roman"/>
                <w:sz w:val="20"/>
              </w:rPr>
              <w:t xml:space="preserve"> </w:t>
            </w:r>
          </w:p>
        </w:tc>
        <w:tc>
          <w:tcPr>
            <w:tcW w:w="146"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1" w:type="dxa"/>
            <w:tcBorders>
              <w:bottom w:val="single" w:sz="16"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exhibits are filed as part of, or incorporated by reference into, this report unless otherwise stated.</w:t>
      </w:r>
    </w:p>
    <w:p>
      <w:pPr>
        <w:pStyle w:val="TextBody"/>
        <w:bidi w:val="0"/>
        <w:spacing w:before="0" w:after="120"/>
        <w:jc w:val="center"/>
        <w:rPr>
          <w:rFonts w:ascii="Times New Roman;serif" w:hAnsi="Times New Roman;serif"/>
          <w:b/>
          <w:sz w:val="20"/>
        </w:rPr>
      </w:pPr>
      <w:r>
        <w:rPr>
          <w:rFonts w:ascii="Times New Roman;serif" w:hAnsi="Times New Roman;serif"/>
          <w:b/>
          <w:sz w:val="20"/>
        </w:rPr>
        <w:t>EXHIBIT INDEX</w:t>
      </w:r>
    </w:p>
    <w:tbl>
      <w:tblPr>
        <w:tblW w:w="10205" w:type="dxa"/>
        <w:jc w:val="left"/>
        <w:tblInd w:w="0" w:type="dxa"/>
        <w:tblLayout w:type="fixed"/>
        <w:tblCellMar>
          <w:top w:w="28" w:type="dxa"/>
          <w:left w:w="28" w:type="dxa"/>
          <w:bottom w:w="28" w:type="dxa"/>
          <w:right w:w="28" w:type="dxa"/>
        </w:tblCellMar>
      </w:tblPr>
      <w:tblGrid>
        <w:gridCol w:w="831"/>
        <w:gridCol w:w="6467"/>
        <w:gridCol w:w="586"/>
        <w:gridCol w:w="757"/>
        <w:gridCol w:w="736"/>
        <w:gridCol w:w="828"/>
      </w:tblGrid>
      <w:tr>
        <w:trPr/>
        <w:tc>
          <w:tcPr>
            <w:tcW w:w="831" w:type="dxa"/>
            <w:tcBorders/>
            <w:vAlign w:val="center"/>
          </w:tcPr>
          <w:p>
            <w:pPr>
              <w:pStyle w:val="TableContents"/>
              <w:bidi w:val="0"/>
              <w:spacing w:before="0" w:after="283"/>
              <w:jc w:val="left"/>
              <w:rPr>
                <w:sz w:val="4"/>
                <w:szCs w:val="4"/>
              </w:rPr>
            </w:pPr>
            <w:r>
              <w:rPr>
                <w:sz w:val="4"/>
                <w:szCs w:val="4"/>
              </w:rPr>
            </w:r>
          </w:p>
        </w:tc>
        <w:tc>
          <w:tcPr>
            <w:tcW w:w="64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Exhibit</w:t>
            </w:r>
          </w:p>
        </w:tc>
        <w:tc>
          <w:tcPr>
            <w:tcW w:w="646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907" w:type="dxa"/>
            <w:gridSpan w:val="4"/>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Incorporated by Reference</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Number</w:t>
            </w:r>
          </w:p>
        </w:tc>
        <w:tc>
          <w:tcPr>
            <w:tcW w:w="646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Description</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Form</w:t>
            </w:r>
          </w:p>
        </w:tc>
        <w:tc>
          <w:tcPr>
            <w:tcW w:w="7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File No.</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Exhibit</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u w:val="single"/>
              </w:rPr>
            </w:pPr>
            <w:r>
              <w:rPr>
                <w:rFonts w:ascii="Times New Roman;serif" w:hAnsi="Times New Roman;serif"/>
                <w:b/>
                <w:sz w:val="20"/>
                <w:u w:val="single"/>
              </w:rPr>
              <w:t>Filing Date</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46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5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6467"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rxst-ex3_1.htm">
              <w:r>
                <w:rPr>
                  <w:rStyle w:val="InternetLink"/>
                  <w:rFonts w:ascii="Times New Roman;serif" w:hAnsi="Times New Roman;serif"/>
                  <w:b w:val="false"/>
                  <w:sz w:val="20"/>
                  <w:u w:val="single"/>
                </w:rPr>
                <w:t>Amended and Restated Certificate of Incorporation of the Registrant, as amended</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57"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6467" w:type="dxa"/>
            <w:tcBorders/>
            <w:tcMar>
              <w:top w:w="0" w:type="dxa"/>
              <w:left w:w="0" w:type="dxa"/>
              <w:bottom w:w="0" w:type="dxa"/>
              <w:right w:w="0" w:type="dxa"/>
            </w:tcMar>
            <w:vAlign w:val="center"/>
          </w:tcPr>
          <w:p>
            <w:pPr>
              <w:pStyle w:val="TableContents"/>
              <w:bidi w:val="0"/>
              <w:spacing w:before="0" w:after="160"/>
              <w:ind w:left="0" w:right="0" w:hanging="0"/>
              <w:jc w:val="left"/>
              <w:rPr/>
            </w:pPr>
            <w:hyperlink r:id="rId2">
              <w:r>
                <w:rPr>
                  <w:rStyle w:val="InternetLink"/>
                  <w:rFonts w:ascii="Times New Roman;serif" w:hAnsi="Times New Roman;serif"/>
                  <w:b w:val="false"/>
                  <w:sz w:val="20"/>
                  <w:u w:val="single"/>
                </w:rPr>
                <w:t>Loan and Security Agreement, by and among the Company, Oxford, as collateral agent thereunder, and the Lenders, dated as of June 30, 2023.</w:t>
              </w:r>
            </w:hyperlink>
          </w:p>
        </w:tc>
        <w:tc>
          <w:tcPr>
            <w:tcW w:w="5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757"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001-40690</w:t>
            </w:r>
          </w:p>
        </w:tc>
        <w:tc>
          <w:tcPr>
            <w:tcW w:w="7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10.1</w:t>
            </w:r>
          </w:p>
        </w:tc>
        <w:tc>
          <w:tcPr>
            <w:tcW w:w="828"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July 5, 2023</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6467" w:type="dxa"/>
            <w:tcBorders/>
            <w:tcMar>
              <w:top w:w="0" w:type="dxa"/>
              <w:left w:w="0" w:type="dxa"/>
              <w:bottom w:w="0" w:type="dxa"/>
              <w:right w:w="0" w:type="dxa"/>
            </w:tcMar>
            <w:vAlign w:val="center"/>
          </w:tcPr>
          <w:p>
            <w:pPr>
              <w:pStyle w:val="TableContents"/>
              <w:bidi w:val="0"/>
              <w:spacing w:before="0" w:after="160"/>
              <w:ind w:left="0" w:right="0" w:hanging="0"/>
              <w:jc w:val="left"/>
              <w:rPr/>
            </w:pPr>
            <w:hyperlink w:anchor="rxst-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hyperlink w:anchor="rxst-ex31_1.htm">
              <w:r>
                <w:rPr>
                  <w:rStyle w:val="InternetLink"/>
                  <w:rFonts w:ascii="Times New Roman" w:hAnsi="Times New Roman"/>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6467" w:type="dxa"/>
            <w:tcBorders/>
            <w:tcMar>
              <w:top w:w="0" w:type="dxa"/>
              <w:left w:w="0" w:type="dxa"/>
              <w:bottom w:w="0" w:type="dxa"/>
              <w:right w:w="0" w:type="dxa"/>
            </w:tcMar>
            <w:vAlign w:val="center"/>
          </w:tcPr>
          <w:p>
            <w:pPr>
              <w:pStyle w:val="TableContents"/>
              <w:bidi w:val="0"/>
              <w:spacing w:before="0" w:after="160"/>
              <w:ind w:left="0" w:right="0" w:hanging="0"/>
              <w:jc w:val="left"/>
              <w:rPr/>
            </w:pPr>
            <w:hyperlink w:anchor="rxst-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hyperlink w:anchor="rxst-ex31_2.htm">
              <w:r>
                <w:rPr>
                  <w:rStyle w:val="InternetLink"/>
                  <w:rFonts w:ascii="Times New Roman" w:hAnsi="Times New Roman"/>
                  <w:sz w:val="20"/>
                </w:rPr>
                <w:t xml:space="preserve"> </w:t>
              </w:r>
            </w:hyperlink>
          </w:p>
        </w:tc>
        <w:tc>
          <w:tcPr>
            <w:tcW w:w="5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6467" w:type="dxa"/>
            <w:tcBorders/>
            <w:tcMar>
              <w:top w:w="0" w:type="dxa"/>
              <w:left w:w="0" w:type="dxa"/>
              <w:bottom w:w="0" w:type="dxa"/>
              <w:right w:w="0" w:type="dxa"/>
            </w:tcMar>
            <w:vAlign w:val="center"/>
          </w:tcPr>
          <w:p>
            <w:pPr>
              <w:pStyle w:val="TableContents"/>
              <w:bidi w:val="0"/>
              <w:spacing w:before="0" w:after="160"/>
              <w:ind w:left="0" w:right="0" w:hanging="0"/>
              <w:jc w:val="left"/>
              <w:rPr/>
            </w:pPr>
            <w:hyperlink w:anchor="rxst-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6467" w:type="dxa"/>
            <w:tcBorders/>
            <w:tcMar>
              <w:top w:w="0" w:type="dxa"/>
              <w:left w:w="0" w:type="dxa"/>
              <w:bottom w:w="0" w:type="dxa"/>
              <w:right w:w="0" w:type="dxa"/>
            </w:tcMar>
            <w:vAlign w:val="center"/>
          </w:tcPr>
          <w:p>
            <w:pPr>
              <w:pStyle w:val="TableContents"/>
              <w:bidi w:val="0"/>
              <w:spacing w:before="0" w:after="160"/>
              <w:ind w:left="0" w:right="0" w:hanging="0"/>
              <w:jc w:val="left"/>
              <w:rPr/>
            </w:pPr>
            <w:hyperlink w:anchor="rxst-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c>
          <w:tcPr>
            <w:tcW w:w="5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5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374" w:type="dxa"/>
            <w:gridSpan w:val="5"/>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9374" w:type="dxa"/>
            <w:gridSpan w:val="5"/>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9374" w:type="dxa"/>
            <w:gridSpan w:val="5"/>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9374" w:type="dxa"/>
            <w:gridSpan w:val="5"/>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9374" w:type="dxa"/>
            <w:gridSpan w:val="5"/>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9374" w:type="dxa"/>
            <w:gridSpan w:val="5"/>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9374" w:type="dxa"/>
            <w:gridSpan w:val="5"/>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9374" w:type="dxa"/>
            <w:gridSpan w:val="5"/>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 the Inline XBRL document).</w:t>
            </w:r>
          </w:p>
        </w:tc>
      </w:tr>
    </w:tbl>
    <w:p>
      <w:pPr>
        <w:pStyle w:val="TextBody"/>
        <w:pBdr>
          <w:bottom w:val="single" w:sz="6" w:space="1" w:color="000000"/>
        </w:pBdr>
        <w:bidi w:val="0"/>
        <w:spacing w:before="0" w:after="0"/>
        <w:jc w:val="left"/>
        <w:rPr/>
      </w:pPr>
      <w:r>
        <w:rPr/>
        <w:t> </w:t>
      </w:r>
    </w:p>
    <w:p>
      <w:pPr>
        <w:pStyle w:val="TextBody"/>
        <w:bidi w:val="0"/>
        <w:spacing w:before="240" w:after="160"/>
        <w:jc w:val="center"/>
        <w:rPr>
          <w:rFonts w:ascii="Times New Roman;serif" w:hAnsi="Times New Roman;serif"/>
          <w:b w:val="false"/>
          <w:sz w:val="20"/>
        </w:rPr>
      </w:pPr>
      <w:r>
        <w:rPr>
          <w:rFonts w:ascii="Times New Roman;serif" w:hAnsi="Times New Roman;serif"/>
          <w:b w:val="false"/>
          <w:sz w:val="20"/>
        </w:rPr>
        <w:t>102</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40" w:after="160"/>
        <w:jc w:val="left"/>
        <w:rPr>
          <w:rFonts w:ascii="Times New Roman;serif" w:hAnsi="Times New Roman;serif"/>
          <w:b w:val="false"/>
          <w:sz w:val="20"/>
        </w:rPr>
      </w:pPr>
      <w:r>
        <w:rPr>
          <w:rFonts w:ascii="Times New Roman;serif" w:hAnsi="Times New Roman;serif"/>
          <w:b w:val="false"/>
          <w:sz w:val="20"/>
        </w:rPr>
        <w:t>* Filed herewith</w:t>
      </w:r>
    </w:p>
    <w:p>
      <w:pPr>
        <w:pStyle w:val="TextBody"/>
        <w:bidi w:val="0"/>
        <w:spacing w:before="40" w:after="160"/>
        <w:jc w:val="left"/>
        <w:rPr>
          <w:rFonts w:ascii="Times New Roman;serif" w:hAnsi="Times New Roman;serif"/>
          <w:b w:val="false"/>
          <w:sz w:val="20"/>
        </w:rPr>
      </w:pPr>
      <w:r>
        <w:rPr>
          <w:rFonts w:ascii="Times New Roman;serif" w:hAnsi="Times New Roman;serif"/>
          <w:b w:val="false"/>
          <w:sz w:val="20"/>
        </w:rPr>
        <w:t>+ Portions of the exhibit were omitted pursuant to Item 601(b)(10) of Regulation S-K. The Company agrees to furnish to the Securities and Exchange Commission a copy of any omitted portions of the exhibit upon request.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 The certifications attached as Exhibit 32.1 and 32.2 that accompany this report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report, irrespective of any general incorporation language contained in such filing.</w:t>
      </w:r>
    </w:p>
    <w:p>
      <w:pPr>
        <w:pStyle w:val="TextBody"/>
        <w:pBdr>
          <w:bottom w:val="single" w:sz="6" w:space="1" w:color="000000"/>
        </w:pBdr>
        <w:bidi w:val="0"/>
        <w:spacing w:before="0" w:after="160"/>
        <w:jc w:val="left"/>
        <w:rPr/>
      </w:pPr>
      <w:r>
        <w:rPr/>
        <w:t> </w:t>
      </w:r>
    </w:p>
    <w:p>
      <w:pPr>
        <w:pStyle w:val="TextBody"/>
        <w:bidi w:val="0"/>
        <w:spacing w:before="40" w:after="0"/>
        <w:jc w:val="left"/>
        <w:rPr/>
      </w:pPr>
      <w:r>
        <w:rPr/>
        <w:t> </w:t>
      </w:r>
    </w:p>
    <w:p>
      <w:pPr>
        <w:pStyle w:val="TextBody"/>
        <w:bidi w:val="0"/>
        <w:spacing w:before="240" w:after="160"/>
        <w:jc w:val="center"/>
        <w:rPr>
          <w:rFonts w:ascii="Times New Roman;serif" w:hAnsi="Times New Roman;serif"/>
          <w:b w:val="false"/>
          <w:sz w:val="20"/>
        </w:rPr>
      </w:pPr>
      <w:r>
        <w:rPr>
          <w:rFonts w:ascii="Times New Roman;serif" w:hAnsi="Times New Roman;serif"/>
          <w:b w:val="false"/>
          <w:sz w:val="20"/>
        </w:rPr>
        <w:t>103</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t> </w:t>
      </w:r>
    </w:p>
    <w:tbl>
      <w:tblPr>
        <w:tblW w:w="6164" w:type="dxa"/>
        <w:jc w:val="left"/>
        <w:tblInd w:w="0" w:type="dxa"/>
        <w:tblLayout w:type="fixed"/>
        <w:tblCellMar>
          <w:top w:w="28" w:type="dxa"/>
          <w:left w:w="28" w:type="dxa"/>
          <w:bottom w:w="28" w:type="dxa"/>
          <w:right w:w="28" w:type="dxa"/>
        </w:tblCellMar>
      </w:tblPr>
      <w:tblGrid>
        <w:gridCol w:w="1846"/>
        <w:gridCol w:w="406"/>
        <w:gridCol w:w="14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318"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RxSight, Inc.</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7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/s/ Ron Kurtz, M.D.</w:t>
            </w:r>
            <w:r>
              <w:rPr>
                <w:rFonts w:ascii="Times New Roman" w:hAnsi="Times New Roman"/>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Ron Kurtz, M.D.</w:t>
            </w:r>
            <w:r>
              <w:rPr>
                <w:rFonts w:ascii="Times New Roman" w:hAnsi="Times New Roman"/>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Chief Executive Officer</w:t>
            </w:r>
            <w:r>
              <w:rPr>
                <w:rFonts w:ascii="Times New Roman" w:hAnsi="Times New Roman"/>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766"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center"/>
              <w:rPr>
                <w:rFonts w:ascii="Times New Roman;serif" w:hAnsi="Times New Roman;serif"/>
                <w:b w:val="false"/>
                <w:sz w:val="20"/>
              </w:rPr>
            </w:pPr>
            <w:r>
              <w:rPr>
                <w:rFonts w:ascii="Times New Roman;serif" w:hAnsi="Times New Roman;serif"/>
                <w:b w:val="false"/>
                <w:sz w:val="20"/>
              </w:rPr>
              <w:t>/s/ Shelley Thunen</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Shelley Thunen</w:t>
            </w:r>
            <w:r>
              <w:rPr>
                <w:rFonts w:ascii="Times New Roman" w:hAnsi="Times New Roman"/>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37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240" w:after="160"/>
        <w:jc w:val="center"/>
        <w:rPr>
          <w:rFonts w:ascii="Times New Roman;serif" w:hAnsi="Times New Roman;serif"/>
          <w:b w:val="false"/>
          <w:sz w:val="20"/>
        </w:rPr>
      </w:pPr>
      <w:r>
        <w:rPr>
          <w:rFonts w:ascii="Times New Roman;serif" w:hAnsi="Times New Roman;serif"/>
          <w:b w:val="false"/>
          <w:sz w:val="20"/>
        </w:rPr>
        <w:t>104</w:t>
      </w:r>
    </w:p>
    <w:p>
      <w:pPr>
        <w:pStyle w:val="HorizontalLine"/>
        <w:pBdr>
          <w:bottom w:val="double" w:sz="2" w:space="0" w:color="808080"/>
        </w:pBdr>
        <w:bidi w:val="0"/>
        <w:spacing w:before="0" w:after="283"/>
        <w:jc w:val="left"/>
        <w:rPr/>
      </w:pPr>
      <w:r>
        <w:rPr/>
      </w:r>
    </w:p>
    <w:p>
      <w:pPr>
        <w:pStyle w:val="TextBody"/>
        <w:bidi w:val="0"/>
        <w:spacing w:before="0" w:after="0"/>
        <w:jc w:val="right"/>
        <w:rPr/>
      </w:pPr>
      <w:bookmarkStart w:id="21" w:name="rxst-ex3_1.htm"/>
      <w:bookmarkStart w:id="22" w:name="ksrxstex3_1"/>
      <w:bookmarkEnd w:id="21"/>
      <w:bookmarkEnd w:id="22"/>
      <w:r>
        <w:rPr/>
        <w:t> </w:t>
      </w:r>
      <w:r>
        <w:br w:type="page"/>
      </w:r>
    </w:p>
    <w:p>
      <w:pPr>
        <w:pStyle w:val="TextBody"/>
        <w:bidi w:val="0"/>
        <w:spacing w:before="240" w:after="0"/>
        <w:jc w:val="right"/>
        <w:rPr>
          <w:rFonts w:ascii="Times New Roman;serif" w:hAnsi="Times New Roman;serif"/>
          <w:b/>
          <w:sz w:val="22"/>
        </w:rPr>
      </w:pPr>
      <w:r>
        <w:rPr>
          <w:rFonts w:ascii="Times New Roman;serif" w:hAnsi="Times New Roman;serif"/>
          <w:b/>
          <w:sz w:val="22"/>
        </w:rPr>
        <w:t>Exhibit 3.1</w:t>
      </w:r>
    </w:p>
    <w:p>
      <w:pPr>
        <w:pStyle w:val="TextBody"/>
        <w:bidi w:val="0"/>
        <w:spacing w:before="240" w:after="0"/>
        <w:jc w:val="center"/>
        <w:rPr>
          <w:rFonts w:ascii="Times New Roman;serif" w:hAnsi="Times New Roman;serif"/>
          <w:b/>
          <w:sz w:val="22"/>
        </w:rPr>
      </w:pPr>
      <w:r>
        <w:rPr>
          <w:rFonts w:ascii="Times New Roman;serif" w:hAnsi="Times New Roman;serif"/>
          <w:b/>
          <w:sz w:val="22"/>
        </w:rPr>
        <w:t>AMENDED AND RESTATED CERTIFICATE OF INCORPORATION OF</w:t>
      </w:r>
    </w:p>
    <w:p>
      <w:pPr>
        <w:pStyle w:val="TextBody"/>
        <w:bidi w:val="0"/>
        <w:spacing w:before="240" w:after="0"/>
        <w:jc w:val="center"/>
        <w:rPr>
          <w:rFonts w:ascii="Times New Roman;serif" w:hAnsi="Times New Roman;serif"/>
          <w:b/>
          <w:sz w:val="22"/>
        </w:rPr>
      </w:pPr>
      <w:r>
        <w:rPr>
          <w:rFonts w:ascii="Times New Roman;serif" w:hAnsi="Times New Roman;serif"/>
          <w:b/>
          <w:sz w:val="22"/>
        </w:rPr>
        <w:t>RXSIGHT, INC.</w:t>
      </w:r>
    </w:p>
    <w:p>
      <w:pPr>
        <w:pStyle w:val="TextBody"/>
        <w:bidi w:val="0"/>
        <w:spacing w:before="240" w:after="0"/>
        <w:jc w:val="center"/>
        <w:rPr>
          <w:rFonts w:ascii="Times New Roman;serif" w:hAnsi="Times New Roman;serif"/>
          <w:b/>
          <w:sz w:val="22"/>
        </w:rPr>
      </w:pPr>
      <w:r>
        <w:rPr>
          <w:rFonts w:ascii="Times New Roman;serif" w:hAnsi="Times New Roman;serif"/>
          <w:b/>
          <w:sz w:val="22"/>
        </w:rPr>
        <w:t>a Delaware corporation</w:t>
      </w:r>
    </w:p>
    <w:p>
      <w:pPr>
        <w:pStyle w:val="TextBody"/>
        <w:bidi w:val="0"/>
        <w:spacing w:before="240" w:after="0"/>
        <w:jc w:val="both"/>
        <w:rPr>
          <w:rFonts w:ascii="Times New Roman" w:hAnsi="Times New Roman"/>
          <w:sz w:val="20"/>
        </w:rPr>
      </w:pPr>
      <w:r>
        <w:rPr>
          <w:rFonts w:ascii="Times New Roman;serif" w:hAnsi="Times New Roman;serif"/>
          <w:b w:val="false"/>
          <w:sz w:val="22"/>
        </w:rPr>
        <w:t>RxSight, Inc., a corporation organized and existing under the laws of the State of Delaware (the “</w:t>
      </w:r>
      <w:r>
        <w:rPr>
          <w:rFonts w:ascii="Times New Roman;serif" w:hAnsi="Times New Roman;serif"/>
          <w:b/>
          <w:sz w:val="22"/>
        </w:rPr>
        <w:t>Company</w:t>
      </w:r>
      <w:r>
        <w:rPr>
          <w:rFonts w:ascii="Times New Roman" w:hAnsi="Times New Roman"/>
          <w:sz w:val="20"/>
        </w:rPr>
        <w:t>”</w:t>
      </w:r>
      <w:r>
        <w:rPr>
          <w:rFonts w:ascii="Times New Roman;serif" w:hAnsi="Times New Roman;serif"/>
          <w:b w:val="false"/>
          <w:sz w:val="22"/>
        </w:rPr>
        <w:t>), does hereby certify as follows:</w:t>
      </w:r>
    </w:p>
    <w:p>
      <w:pPr>
        <w:pStyle w:val="TextBody"/>
        <w:bidi w:val="0"/>
        <w:spacing w:before="240" w:after="0"/>
        <w:jc w:val="both"/>
        <w:rPr>
          <w:rFonts w:ascii="Times New Roman" w:hAnsi="Times New Roman"/>
          <w:b w:val="false"/>
          <w:sz w:val="22"/>
        </w:rPr>
      </w:pPr>
      <w:r>
        <w:rPr>
          <w:rFonts w:ascii="Times New Roman" w:hAnsi="Times New Roman"/>
          <w:b w:val="false"/>
          <w:sz w:val="22"/>
        </w:rPr>
        <w:t>A.</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original Certificate of Incorporation of the Company was filed with the Secretary of State of the State of Delaware on July 1, 2021.</w:t>
      </w:r>
    </w:p>
    <w:p>
      <w:pPr>
        <w:pStyle w:val="TextBody"/>
        <w:bidi w:val="0"/>
        <w:spacing w:before="240" w:after="0"/>
        <w:jc w:val="both"/>
        <w:rPr>
          <w:rFonts w:ascii="Times New Roman" w:hAnsi="Times New Roman"/>
          <w:b w:val="false"/>
          <w:sz w:val="22"/>
        </w:rPr>
      </w:pPr>
      <w:r>
        <w:rPr>
          <w:rFonts w:ascii="Times New Roman" w:hAnsi="Times New Roman"/>
          <w:b w:val="false"/>
          <w:sz w:val="22"/>
        </w:rPr>
        <w:t>B.</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both"/>
        <w:rPr/>
      </w:pPr>
      <w:bookmarkStart w:id="23" w:name="ole_link9"/>
      <w:bookmarkEnd w:id="23"/>
      <w:r>
        <w:rPr>
          <w:rFonts w:ascii="Times New Roman;serif" w:hAnsi="Times New Roman;serif"/>
          <w:b w:val="false"/>
          <w:sz w:val="22"/>
        </w:rPr>
        <w:t>This Amended and Restated Certificate of Incorporation was duly adopted in accordance with Sections 242 and 245 of the General Corporation Law of the State of Delaware (the “</w:t>
      </w:r>
      <w:r>
        <w:rPr>
          <w:rFonts w:ascii="Times New Roman;serif" w:hAnsi="Times New Roman;serif"/>
          <w:b/>
          <w:sz w:val="22"/>
        </w:rPr>
        <w:t>DGCL</w:t>
      </w:r>
      <w:r>
        <w:rPr/>
        <w:t>”</w:t>
      </w:r>
      <w:r>
        <w:rPr>
          <w:rFonts w:ascii="Times New Roman;serif" w:hAnsi="Times New Roman;serif"/>
          <w:b w:val="false"/>
          <w:sz w:val="22"/>
        </w:rPr>
        <w:t>) by the Board of Directors of the Company (the “</w:t>
      </w:r>
      <w:r>
        <w:rPr>
          <w:rFonts w:ascii="Times New Roman;serif" w:hAnsi="Times New Roman;serif"/>
          <w:b/>
          <w:sz w:val="22"/>
        </w:rPr>
        <w:t>Board of Directors</w:t>
      </w:r>
      <w:r>
        <w:rPr/>
        <w:t>”</w:t>
      </w:r>
      <w:r>
        <w:rPr>
          <w:rFonts w:ascii="Times New Roman;serif" w:hAnsi="Times New Roman;serif"/>
          <w:b w:val="false"/>
          <w:sz w:val="22"/>
        </w:rPr>
        <w:t>) and has been duly approved by the written consent of the stockholders of the Company in accordance with Section 228 of the DGCL.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b w:val="false"/>
          <w:sz w:val="22"/>
        </w:rPr>
      </w:pPr>
      <w:r>
        <w:rPr>
          <w:rFonts w:ascii="Times New Roman" w:hAnsi="Times New Roman"/>
          <w:b w:val="false"/>
          <w:sz w:val="22"/>
        </w:rPr>
        <w:t>C.</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text of the Amended and Restated Certificate of Incorporation is hereby amended and restated in its entirety to read as follows:</w:t>
      </w:r>
    </w:p>
    <w:p>
      <w:pPr>
        <w:pStyle w:val="TextBody"/>
        <w:bidi w:val="0"/>
        <w:spacing w:before="240" w:after="283"/>
        <w:jc w:val="center"/>
        <w:rPr>
          <w:rFonts w:ascii="Times New Roman" w:hAnsi="Times New Roman"/>
          <w:b/>
          <w:sz w:val="22"/>
        </w:rPr>
      </w:pPr>
      <w:r>
        <w:rPr>
          <w:rFonts w:ascii="Times New Roman" w:hAnsi="Times New Roman"/>
          <w:b/>
          <w:sz w:val="22"/>
        </w:rPr>
        <w:t>ARTICLE I</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name of the Company is RxSight, Inc.</w:t>
      </w:r>
    </w:p>
    <w:p>
      <w:pPr>
        <w:pStyle w:val="TextBody"/>
        <w:bidi w:val="0"/>
        <w:spacing w:before="240" w:after="283"/>
        <w:jc w:val="center"/>
        <w:rPr>
          <w:rFonts w:ascii="Times New Roman" w:hAnsi="Times New Roman"/>
          <w:b/>
          <w:sz w:val="22"/>
        </w:rPr>
      </w:pPr>
      <w:r>
        <w:rPr>
          <w:rFonts w:ascii="Times New Roman" w:hAnsi="Times New Roman"/>
          <w:b/>
          <w:sz w:val="22"/>
        </w:rPr>
        <w:t>ARTICLE II</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address of the Company’s registered office in the State of Delaware is 1209 Orange Street, in the City of Wilmington, County of New Castle, Delaware 19801. The name of its registered agent at such address is The Corporation Trust Company.</w:t>
      </w:r>
    </w:p>
    <w:p>
      <w:pPr>
        <w:pStyle w:val="TextBody"/>
        <w:bidi w:val="0"/>
        <w:spacing w:before="240" w:after="283"/>
        <w:jc w:val="center"/>
        <w:rPr>
          <w:rFonts w:ascii="Times New Roman" w:hAnsi="Times New Roman"/>
          <w:b/>
          <w:sz w:val="22"/>
        </w:rPr>
      </w:pPr>
      <w:r>
        <w:rPr>
          <w:rFonts w:ascii="Times New Roman" w:hAnsi="Times New Roman"/>
          <w:b/>
          <w:sz w:val="22"/>
        </w:rPr>
        <w:t>ARTICLE III</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nature of the business or purposes to be conducted or promoted by the Company is to engage in any lawful act or activity for which corporations may be organized under the DGCL.</w:t>
      </w:r>
    </w:p>
    <w:p>
      <w:pPr>
        <w:pStyle w:val="TextBody"/>
        <w:bidi w:val="0"/>
        <w:spacing w:before="240" w:after="0"/>
        <w:jc w:val="center"/>
        <w:rPr>
          <w:rFonts w:ascii="Times New Roman" w:hAnsi="Times New Roman"/>
          <w:b/>
          <w:sz w:val="22"/>
        </w:rPr>
      </w:pPr>
      <w:r>
        <w:rPr>
          <w:rFonts w:ascii="Times New Roman" w:hAnsi="Times New Roman"/>
          <w:b/>
          <w:sz w:val="22"/>
        </w:rPr>
        <w:t>ARTICLE IV</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This Company is authorized to issue two classes of stock, to be designated, respectively, Common Stock and Preferred Stock. The total number of shares of stock that the Company shall have authority to issue is 1,000,000,000 shares, of which 900,000,000 shares are Common Stock, $0.001 par value per share, and 100,000,000 shares are Preferred Stock, $0.001 par value per share.</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Each share of Common Stock outstanding as of the applicable record date shall entitle the holder thereof to one (1) vote on any matter submitted to a vote at a meeting of stockholders.</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3.</w:t>
      </w:r>
    </w:p>
    <w:p>
      <w:pPr>
        <w:pStyle w:val="TextBody"/>
        <w:bidi w:val="0"/>
        <w:spacing w:before="240" w:after="283"/>
        <w:jc w:val="both"/>
        <w:rPr>
          <w:rFonts w:ascii="Times New Roman;serif" w:hAnsi="Times New Roman;serif"/>
          <w:b w:val="false"/>
          <w:sz w:val="22"/>
        </w:rPr>
      </w:pPr>
      <w:r>
        <w:rPr>
          <w:rFonts w:ascii="Times New Roman;serif" w:hAnsi="Times New Roman;serif"/>
          <w:b w:val="false"/>
          <w:sz w:val="22"/>
        </w:rPr>
        <w:t xml:space="preserve">The Preferred Stock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4.</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5.</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pStyle w:val="TextBody"/>
        <w:bidi w:val="0"/>
        <w:spacing w:before="240" w:after="0"/>
        <w:jc w:val="center"/>
        <w:rPr>
          <w:rFonts w:ascii="Times New Roman" w:hAnsi="Times New Roman"/>
          <w:b/>
          <w:sz w:val="22"/>
        </w:rPr>
      </w:pPr>
      <w:r>
        <w:rPr>
          <w:rFonts w:ascii="Times New Roman" w:hAnsi="Times New Roman"/>
          <w:b/>
          <w:sz w:val="22"/>
        </w:rPr>
        <w:t>ARTICLE V</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pPr>
      <w:r>
        <w:rPr>
          <w:rFonts w:ascii="Times New Roman;serif" w:hAnsi="Times New Roman;serif"/>
          <w:b w:val="false"/>
          <w:sz w:val="22"/>
        </w:rPr>
        <w:t>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t>
      </w:r>
      <w:r>
        <w:rPr>
          <w:rFonts w:ascii="Times New Roman;serif" w:hAnsi="Times New Roman;serif"/>
          <w:b/>
          <w:sz w:val="22"/>
        </w:rPr>
        <w:t>Whole Board</w:t>
      </w:r>
      <w:r>
        <w:rPr/>
        <w:t xml:space="preserve">” </w:t>
      </w:r>
      <w:r>
        <w:rPr>
          <w:rFonts w:ascii="Times New Roman;serif" w:hAnsi="Times New Roman;serif"/>
          <w:b w:val="false"/>
          <w:sz w:val="22"/>
        </w:rPr>
        <w:t>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283"/>
        <w:jc w:val="both"/>
        <w:rPr>
          <w:rFonts w:ascii="Times New Roman;serif" w:hAnsi="Times New Roman;serif"/>
          <w:b w:val="false"/>
          <w:sz w:val="22"/>
        </w:rPr>
      </w:pPr>
      <w:r>
        <w:rPr>
          <w:rFonts w:ascii="Times New Roman;serif" w:hAnsi="Times New Roman;serif"/>
          <w:b w:val="false"/>
          <w:sz w:val="22"/>
        </w:rPr>
        <w:t xml:space="preserve">From and after the effectiveness of this Amended and Restated Certificate of Incorporation,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pPr>
      <w:r>
        <w:rPr>
          <w:rFonts w:ascii="Times New Roman;serif" w:hAnsi="Times New Roman;serif"/>
          <w:b w:val="false"/>
          <w:sz w:val="22"/>
        </w:rPr>
        <w:t xml:space="preserve">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serif" w:hAnsi="Times New Roman;serif"/>
          <w:b w:val="false"/>
          <w:i/>
          <w:sz w:val="22"/>
        </w:rPr>
        <w:t>provided that</w:t>
      </w:r>
      <w:r>
        <w:rPr/>
        <w:t xml:space="preserve"> </w:t>
      </w:r>
      <w:r>
        <w:rPr>
          <w:rFonts w:ascii="Times New Roman;serif" w:hAnsi="Times New Roman;serif"/>
          <w:b w:val="false"/>
          <w:sz w:val="22"/>
        </w:rPr>
        <w:t>no decrease in the number of directors constituting the Board of Directors shall shorten the term of any incumbent director.</w:t>
      </w:r>
    </w:p>
    <w:p>
      <w:pPr>
        <w:pStyle w:val="TextBody"/>
        <w:bidi w:val="0"/>
        <w:spacing w:before="240" w:after="0"/>
        <w:jc w:val="center"/>
        <w:rPr>
          <w:rFonts w:ascii="Times New Roman" w:hAnsi="Times New Roman"/>
          <w:b/>
          <w:sz w:val="22"/>
        </w:rPr>
      </w:pPr>
      <w:r>
        <w:rPr>
          <w:rFonts w:ascii="Times New Roman" w:hAnsi="Times New Roman"/>
          <w:b/>
          <w:sz w:val="22"/>
        </w:rPr>
        <w:t>ARTICLE VI</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Company entitled to vote in the election of directors.</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pStyle w:val="TextBody"/>
        <w:bidi w:val="0"/>
        <w:spacing w:before="240" w:after="0"/>
        <w:jc w:val="center"/>
        <w:rPr>
          <w:rFonts w:ascii="Times New Roman" w:hAnsi="Times New Roman"/>
          <w:b/>
          <w:sz w:val="22"/>
        </w:rPr>
      </w:pPr>
      <w:r>
        <w:rPr>
          <w:rFonts w:ascii="Times New Roman" w:hAnsi="Times New Roman"/>
          <w:b/>
          <w:sz w:val="22"/>
        </w:rPr>
        <w:t>ARTICLE VII</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Company is to have perpetual existence.</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3.</w:t>
      </w:r>
    </w:p>
    <w:p>
      <w:pPr>
        <w:pStyle w:val="TextBody"/>
        <w:bidi w:val="0"/>
        <w:spacing w:before="240" w:after="283"/>
        <w:jc w:val="both"/>
        <w:rPr>
          <w:rFonts w:ascii="Times New Roman;serif" w:hAnsi="Times New Roman;serif"/>
          <w:b w:val="false"/>
          <w:sz w:val="22"/>
        </w:rPr>
      </w:pPr>
      <w:r>
        <w:rPr>
          <w:rFonts w:ascii="Times New Roman;serif" w:hAnsi="Times New Roman;serif"/>
          <w:b w:val="false"/>
          <w:sz w:val="22"/>
        </w:rPr>
        <w:t xml:space="preserve">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Amended and Restated Certificate of Incorporation, the Bylaws of the Company may not be amended, altered or repealed except in accordance with the provisions of the Bylaws relating to amendments to the Bylaws. No Bylaw hereafter legally adopted, amended, altered or repealed shall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invalidate any prior act of the directors or officers of the Company that would have been valid if such Bylaw had not been adopted, amended, altered or repealed.</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4.</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election of directors need not be by written ballot unless the Bylaws of the Company shall so provide.</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5.</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No stockholder will be permitted to cumulate votes at any election of directors.</w:t>
      </w:r>
    </w:p>
    <w:p>
      <w:pPr>
        <w:pStyle w:val="TextBody"/>
        <w:bidi w:val="0"/>
        <w:spacing w:before="240" w:after="0"/>
        <w:jc w:val="center"/>
        <w:rPr>
          <w:rFonts w:ascii="Times New Roman" w:hAnsi="Times New Roman"/>
          <w:b/>
          <w:sz w:val="22"/>
        </w:rPr>
      </w:pPr>
      <w:r>
        <w:rPr>
          <w:rFonts w:ascii="Times New Roman" w:hAnsi="Times New Roman"/>
          <w:b/>
          <w:sz w:val="22"/>
        </w:rPr>
        <w:t>ARTICLE VIII</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From and after the closing of a firm commitment underwritten initial public offering of securities of the Company pursuant to an effective registration statement filed under the Securities Act of 1933, as amended,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3.</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Advance notice of stockholder nominations for the election of directors and of business to be brought by stockholders before any meeting of the stockholders of the Company shall be given in the manner and to the extent provided in the Bylaws of the Company.</w:t>
      </w:r>
    </w:p>
    <w:p>
      <w:pPr>
        <w:pStyle w:val="TextBody"/>
        <w:bidi w:val="0"/>
        <w:spacing w:before="240" w:after="0"/>
        <w:jc w:val="center"/>
        <w:rPr>
          <w:rFonts w:ascii="Times New Roman" w:hAnsi="Times New Roman"/>
          <w:b/>
          <w:sz w:val="22"/>
        </w:rPr>
      </w:pPr>
      <w:r>
        <w:rPr>
          <w:rFonts w:ascii="Times New Roman" w:hAnsi="Times New Roman"/>
          <w:b/>
          <w:sz w:val="22"/>
        </w:rPr>
        <w:t>ARTICLE IX</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2.</w:t>
      </w:r>
    </w:p>
    <w:p>
      <w:pPr>
        <w:pStyle w:val="TextBody"/>
        <w:bidi w:val="0"/>
        <w:spacing w:before="240" w:after="0"/>
        <w:jc w:val="both"/>
        <w:rPr/>
      </w:pPr>
      <w:r>
        <w:rPr>
          <w:rFonts w:ascii="Times New Roman;serif" w:hAnsi="Times New Roman;serif"/>
          <w:b w:val="false"/>
          <w:sz w:val="22"/>
        </w:rPr>
        <w:t>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Times New Roman;serif" w:hAnsi="Times New Roman;serif"/>
          <w:b/>
          <w:sz w:val="22"/>
        </w:rPr>
        <w:t>Proceeding</w:t>
      </w:r>
      <w:r>
        <w:rPr/>
        <w:t>”</w:t>
      </w:r>
      <w:r>
        <w:rPr>
          <w:rFonts w:ascii="Times New Roman;serif" w:hAnsi="Times New Roman;serif"/>
          <w:b w:val="false"/>
          <w:sz w:val="22"/>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3.</w:t>
      </w:r>
    </w:p>
    <w:p>
      <w:pPr>
        <w:pStyle w:val="TextBody"/>
        <w:bidi w:val="0"/>
        <w:spacing w:before="240" w:after="283"/>
        <w:jc w:val="both"/>
        <w:rPr>
          <w:rFonts w:ascii="Times New Roman;serif" w:hAnsi="Times New Roman;serif"/>
          <w:b w:val="false"/>
          <w:sz w:val="22"/>
        </w:rPr>
      </w:pPr>
      <w:r>
        <w:rPr>
          <w:rFonts w:ascii="Times New Roman;serif" w:hAnsi="Times New Roman;serif"/>
          <w:b w:val="false"/>
          <w:sz w:val="22"/>
        </w:rPr>
        <w:t xml:space="preserve">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bidi w:val="0"/>
        <w:spacing w:before="240" w:after="0"/>
        <w:jc w:val="both"/>
        <w:rPr>
          <w:rFonts w:ascii="Times New Roman" w:hAnsi="Times New Roman"/>
          <w:b w:val="false"/>
          <w:sz w:val="22"/>
        </w:rPr>
      </w:pPr>
      <w:r>
        <w:rPr>
          <w:rFonts w:ascii="Times New Roman" w:hAnsi="Times New Roman"/>
          <w:b w:val="false"/>
          <w:sz w:val="22"/>
        </w:rPr>
        <w:t>Section 4.</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Neither any amendment, nor repeal, nor elimination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elimination or adoption of an inconsistent provision.</w:t>
      </w:r>
    </w:p>
    <w:p>
      <w:pPr>
        <w:pStyle w:val="TextBody"/>
        <w:bidi w:val="0"/>
        <w:spacing w:before="240" w:after="283"/>
        <w:jc w:val="center"/>
        <w:rPr>
          <w:rFonts w:ascii="Times New Roman" w:hAnsi="Times New Roman"/>
          <w:b/>
          <w:sz w:val="22"/>
        </w:rPr>
      </w:pPr>
      <w:r>
        <w:rPr>
          <w:rFonts w:ascii="Times New Roman" w:hAnsi="Times New Roman"/>
          <w:b/>
          <w:sz w:val="22"/>
        </w:rPr>
        <w:t>ARTICLE X</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pStyle w:val="TextBody"/>
        <w:bidi w:val="0"/>
        <w:spacing w:before="240" w:after="283"/>
        <w:jc w:val="center"/>
        <w:rPr>
          <w:rFonts w:ascii="Times New Roman" w:hAnsi="Times New Roman"/>
          <w:b/>
          <w:sz w:val="22"/>
        </w:rPr>
      </w:pPr>
      <w:r>
        <w:rPr>
          <w:rFonts w:ascii="Times New Roman" w:hAnsi="Times New Roman"/>
          <w:b/>
          <w:sz w:val="22"/>
        </w:rPr>
        <w:t>ARTICLE XI</w:t>
      </w:r>
    </w:p>
    <w:p>
      <w:pPr>
        <w:pStyle w:val="TextBody"/>
        <w:bidi w:val="0"/>
        <w:spacing w:before="240" w:after="0"/>
        <w:jc w:val="both"/>
        <w:rPr>
          <w:rFonts w:ascii="Times New Roman" w:hAnsi="Times New Roman"/>
          <w:sz w:val="20"/>
        </w:rPr>
      </w:pPr>
      <w:r>
        <w:rPr>
          <w:rFonts w:ascii="Times New Roman;serif" w:hAnsi="Times New Roman;serif"/>
          <w:b w:val="false"/>
          <w:sz w:val="22"/>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Times New Roman;serif" w:hAnsi="Times New Roman;serif"/>
          <w:b w:val="false"/>
          <w:i/>
          <w:sz w:val="22"/>
        </w:rPr>
        <w:t>provided</w:t>
      </w:r>
      <w:r>
        <w:rPr>
          <w:rFonts w:ascii="Times New Roman;serif" w:hAnsi="Times New Roman;serif"/>
          <w:b w:val="false"/>
          <w:sz w:val="22"/>
        </w:rPr>
        <w:t xml:space="preserve">, </w:t>
      </w:r>
      <w:r>
        <w:rPr>
          <w:rFonts w:ascii="Times New Roman;serif" w:hAnsi="Times New Roman;serif"/>
          <w:b w:val="false"/>
          <w:i/>
          <w:sz w:val="22"/>
        </w:rPr>
        <w:t>however</w:t>
      </w:r>
      <w:r>
        <w:rPr>
          <w:rFonts w:ascii="Times New Roman;serif" w:hAnsi="Times New Roman;serif"/>
          <w:b w:val="false"/>
          <w:sz w:val="22"/>
        </w:rPr>
        <w:t>, that notwithstanding any other provision of this Amended and Restated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IN WITNESS WHEREOF, RxSight, Inc. has caused this Amended and Restated Certificate of Incorporation to be signed by the President and Chief Executive Officer of the Company on this 3rd day of August 2021.</w:t>
      </w:r>
    </w:p>
    <w:p>
      <w:pPr>
        <w:pStyle w:val="TextBody"/>
        <w:bidi w:val="0"/>
        <w:spacing w:before="24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 xml:space="preserve">/s/ Ron Kurtz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Ron Kurtz</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Chief Executive Officer</w:t>
      </w:r>
    </w:p>
    <w:p>
      <w:pPr>
        <w:pStyle w:val="TextBody"/>
        <w:bidi w:val="0"/>
        <w:spacing w:before="12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4"/>
        </w:rPr>
        <w:t>CERTIFICATE OF AMENDMENT</w:t>
      </w:r>
      <w:r>
        <w:rPr>
          <w:rFonts w:ascii="Times New Roman" w:hAnsi="Times New Roman"/>
          <w:sz w:val="20"/>
        </w:rPr>
        <w:t xml:space="preserve"> </w:t>
      </w:r>
    </w:p>
    <w:p>
      <w:pPr>
        <w:pStyle w:val="TextBody"/>
        <w:bidi w:val="0"/>
        <w:spacing w:before="0" w:after="0"/>
        <w:jc w:val="center"/>
        <w:rPr>
          <w:rFonts w:ascii="Times New Roman;serif" w:hAnsi="Times New Roman;serif"/>
          <w:b/>
          <w:sz w:val="24"/>
        </w:rPr>
      </w:pPr>
      <w:r>
        <w:rPr>
          <w:rFonts w:ascii="Times New Roman;serif" w:hAnsi="Times New Roman;serif"/>
          <w:b/>
          <w:sz w:val="24"/>
        </w:rPr>
        <w:t>TO THE</w:t>
      </w:r>
    </w:p>
    <w:p>
      <w:pPr>
        <w:pStyle w:val="TextBody"/>
        <w:bidi w:val="0"/>
        <w:spacing w:before="0" w:after="0"/>
        <w:jc w:val="center"/>
        <w:rPr>
          <w:rFonts w:ascii="Times New Roman" w:hAnsi="Times New Roman"/>
          <w:sz w:val="20"/>
        </w:rPr>
      </w:pPr>
      <w:r>
        <w:rPr>
          <w:rFonts w:ascii="Times New Roman;serif" w:hAnsi="Times New Roman;serif"/>
          <w:b/>
          <w:sz w:val="24"/>
        </w:rPr>
        <w:t>AMENDED AND RESTATED CERTIFICATE OF INCORPORATION</w:t>
      </w:r>
      <w:r>
        <w:rPr>
          <w:rFonts w:ascii="Times New Roman" w:hAnsi="Times New Roman"/>
          <w:sz w:val="20"/>
        </w:rPr>
        <w:t xml:space="preserve"> </w:t>
      </w:r>
    </w:p>
    <w:p>
      <w:pPr>
        <w:pStyle w:val="TextBody"/>
        <w:bidi w:val="0"/>
        <w:spacing w:before="0" w:after="0"/>
        <w:jc w:val="center"/>
        <w:rPr>
          <w:rFonts w:ascii="Times New Roman;serif" w:hAnsi="Times New Roman;serif"/>
          <w:b/>
          <w:sz w:val="24"/>
        </w:rPr>
      </w:pPr>
      <w:r>
        <w:rPr>
          <w:rFonts w:ascii="Times New Roman;serif" w:hAnsi="Times New Roman;serif"/>
          <w:b/>
          <w:sz w:val="24"/>
        </w:rPr>
        <w:t>OF</w:t>
      </w:r>
    </w:p>
    <w:p>
      <w:pPr>
        <w:pStyle w:val="TextBody"/>
        <w:bidi w:val="0"/>
        <w:spacing w:before="0" w:after="0"/>
        <w:jc w:val="center"/>
        <w:rPr>
          <w:rFonts w:ascii="Times New Roman;serif" w:hAnsi="Times New Roman;serif"/>
          <w:b/>
          <w:caps/>
          <w:sz w:val="24"/>
        </w:rPr>
      </w:pPr>
      <w:r>
        <w:rPr>
          <w:rFonts w:ascii="Times New Roman;serif" w:hAnsi="Times New Roman;serif"/>
          <w:b/>
          <w:caps/>
          <w:sz w:val="24"/>
        </w:rPr>
        <w:t>RXSIGHT, INC.</w:t>
      </w:r>
    </w:p>
    <w:p>
      <w:pPr>
        <w:pStyle w:val="TextBody"/>
        <w:bidi w:val="0"/>
        <w:spacing w:before="240" w:after="0"/>
        <w:jc w:val="both"/>
        <w:rPr>
          <w:rFonts w:ascii="Times New Roman" w:hAnsi="Times New Roman"/>
          <w:sz w:val="20"/>
        </w:rPr>
      </w:pPr>
      <w:r>
        <w:rPr>
          <w:rFonts w:ascii="Times New Roman;serif" w:hAnsi="Times New Roman;serif"/>
          <w:b w:val="false"/>
          <w:sz w:val="22"/>
        </w:rPr>
        <w:t>RxSight, Inc., a corporation organized and existing under the laws of the State of Delaware (the “</w:t>
      </w:r>
      <w:r>
        <w:rPr>
          <w:rFonts w:ascii="Times New Roman;serif" w:hAnsi="Times New Roman;serif"/>
          <w:b/>
          <w:sz w:val="22"/>
        </w:rPr>
        <w:t>Corporation</w:t>
      </w:r>
      <w:r>
        <w:rPr>
          <w:rFonts w:ascii="Times New Roman" w:hAnsi="Times New Roman"/>
          <w:sz w:val="20"/>
        </w:rPr>
        <w:t>”</w:t>
      </w:r>
      <w:r>
        <w:rPr>
          <w:rFonts w:ascii="Times New Roman;serif" w:hAnsi="Times New Roman;serif"/>
          <w:b w:val="false"/>
          <w:sz w:val="22"/>
        </w:rPr>
        <w:t>), certifies that:</w:t>
      </w:r>
    </w:p>
    <w:p>
      <w:pPr>
        <w:pStyle w:val="TextBody"/>
        <w:bidi w:val="0"/>
        <w:spacing w:before="240" w:after="0"/>
        <w:jc w:val="both"/>
        <w:rPr>
          <w:rFonts w:ascii="Times New Roman" w:hAnsi="Times New Roman"/>
          <w:b w:val="false"/>
          <w:sz w:val="22"/>
        </w:rPr>
      </w:pPr>
      <w:r>
        <w:rPr>
          <w:rFonts w:ascii="Times New Roman" w:hAnsi="Times New Roman"/>
          <w:b w:val="false"/>
          <w:sz w:val="22"/>
        </w:rPr>
        <w:t>1.</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The name of the Corporation is RxSight, Inc. The Corporation’s original Certificate of Incorporation was filed with the Secretary of State of the State of Delaware on July 1, 2021.</w:t>
      </w:r>
    </w:p>
    <w:p>
      <w:pPr>
        <w:pStyle w:val="TextBody"/>
        <w:bidi w:val="0"/>
        <w:spacing w:before="240" w:after="0"/>
        <w:jc w:val="both"/>
        <w:rPr>
          <w:rFonts w:ascii="Times New Roman" w:hAnsi="Times New Roman"/>
          <w:b w:val="false"/>
          <w:sz w:val="22"/>
        </w:rPr>
      </w:pPr>
      <w:r>
        <w:rPr>
          <w:rFonts w:ascii="Times New Roman" w:hAnsi="Times New Roman"/>
          <w:b w:val="false"/>
          <w:sz w:val="22"/>
        </w:rPr>
        <w:t>2.</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This Certificate of Amendment to the Amended and Restated Certificate of Incorporation of RxSight, Inc. has been duly adopted in accordance with the applicable provisions of Section 242 of the General Corporation Law of the State of Delaware, by the Board of Directors and the stockholders of the Corporation.</w:t>
      </w:r>
    </w:p>
    <w:p>
      <w:pPr>
        <w:pStyle w:val="TextBody"/>
        <w:bidi w:val="0"/>
        <w:spacing w:before="240" w:after="0"/>
        <w:jc w:val="both"/>
        <w:rPr>
          <w:rFonts w:ascii="Times New Roman" w:hAnsi="Times New Roman"/>
          <w:b w:val="false"/>
          <w:sz w:val="22"/>
        </w:rPr>
      </w:pPr>
      <w:r>
        <w:rPr>
          <w:rFonts w:ascii="Times New Roman" w:hAnsi="Times New Roman"/>
          <w:b w:val="false"/>
          <w:sz w:val="22"/>
        </w:rPr>
        <w:t>3.</w:t>
      </w:r>
    </w:p>
    <w:p>
      <w:pPr>
        <w:pStyle w:val="TextBody"/>
        <w:bidi w:val="0"/>
        <w:spacing w:before="240" w:after="283"/>
        <w:jc w:val="both"/>
        <w:rPr>
          <w:rFonts w:ascii="Times New Roman;serif" w:hAnsi="Times New Roman;serif"/>
          <w:b w:val="false"/>
          <w:sz w:val="22"/>
        </w:rPr>
      </w:pPr>
      <w:r>
        <w:rPr>
          <w:rFonts w:ascii="Times New Roman;serif" w:hAnsi="Times New Roman;serif"/>
          <w:b w:val="false"/>
          <w:sz w:val="22"/>
        </w:rPr>
        <w:t xml:space="preserve">Section 1 of Article IX of the Corporation’s Amended and Restated Certificate of Incorporation is hereby amended and restated in its entirety to read as follows: </w:t>
      </w:r>
    </w:p>
    <w:p>
      <w:pPr>
        <w:pStyle w:val="TextBody"/>
        <w:bidi w:val="0"/>
        <w:spacing w:before="0" w:after="0"/>
        <w:jc w:val="left"/>
        <w:rPr/>
      </w:pPr>
      <w:r>
        <w:rPr/>
        <w:t>“</w:t>
      </w:r>
      <w:r>
        <w:rPr>
          <w:rFonts w:ascii="Times New Roman;serif" w:hAnsi="Times New Roman;serif"/>
          <w:b w:val="false"/>
          <w:sz w:val="22"/>
        </w:rPr>
        <w:t>Section 1. To the fullest extent permitted by the DGCL as the same exists or as may hereafter be amended from time to time, a director or officer of the Company shall not be personally liable to the Company or its stockholders for monetary damages for breach of fiduciary duty as a director or officer, as applicable. If the DGCL is amended to authorize corporate action further eliminating or limiting the personal liability of directors or officers, then the liability of a director or officer of the Company, as applicable, shall be eliminated or limited to the fullest extent permitted by the DGCL, as so amended.”</w:t>
      </w:r>
    </w:p>
    <w:p>
      <w:pPr>
        <w:pStyle w:val="TextBody"/>
        <w:bidi w:val="0"/>
        <w:spacing w:before="240" w:after="0"/>
        <w:jc w:val="both"/>
        <w:rPr>
          <w:rFonts w:ascii="Times New Roman;serif" w:hAnsi="Times New Roman;serif"/>
          <w:b w:val="false"/>
          <w:sz w:val="22"/>
        </w:rPr>
      </w:pPr>
      <w:r>
        <w:rPr>
          <w:rFonts w:ascii="Times New Roman;serif" w:hAnsi="Times New Roman;serif"/>
          <w:b w:val="false"/>
          <w:sz w:val="22"/>
        </w:rPr>
        <w:t>IN WITNESS WHEREOF, the Corporation has caused this Certificate of Amendment to be signed by a duly authorized officer of the Corporation, on June 8, 2023.</w:t>
      </w:r>
    </w:p>
    <w:p>
      <w:pPr>
        <w:pStyle w:val="TextBody"/>
        <w:bidi w:val="0"/>
        <w:spacing w:before="24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 xml:space="preserve">By: </w:t>
      </w:r>
      <w:r>
        <w:rPr>
          <w:rFonts w:ascii="Times New Roman;serif" w:hAnsi="Times New Roman;serif"/>
          <w:b w:val="false"/>
          <w:sz w:val="22"/>
          <w:u w:val="single"/>
        </w:rPr>
        <w:t>/s/ Ron Kurtz</w:t>
      </w:r>
      <w:r>
        <w:rPr>
          <w:rFonts w:ascii="Times New Roman;serif" w:hAnsi="Times New Roman;serif"/>
          <w:b w:val="false"/>
          <w:sz w:val="22"/>
        </w:rPr>
        <w:t>_______________________</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Name: Ron Kurtz</w:t>
      </w:r>
    </w:p>
    <w:p>
      <w:pPr>
        <w:pStyle w:val="TextBody"/>
        <w:bidi w:val="0"/>
        <w:spacing w:before="0" w:after="0"/>
        <w:jc w:val="left"/>
        <w:rPr>
          <w:rFonts w:ascii="Times New Roman" w:hAnsi="Times New Roman"/>
          <w:sz w:val="20"/>
        </w:rPr>
      </w:pPr>
      <w:r>
        <w:rPr>
          <w:rFonts w:ascii="Times New Roman;serif" w:hAnsi="Times New Roman;serif"/>
          <w:b w:val="false"/>
          <w:sz w:val="22"/>
        </w:rPr>
        <w:t>Title: Chief Executive Officer</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7</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4" w:name="rxst-ex31_1.htm"/>
      <w:bookmarkStart w:id="25" w:name="ksrxstex31_1"/>
      <w:bookmarkEnd w:id="24"/>
      <w:bookmarkEnd w:id="25"/>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 Ron Kurtz, M.D., certify that:</w:t>
      </w:r>
    </w:p>
    <w:tbl>
      <w:tblPr>
        <w:tblW w:w="5897" w:type="dxa"/>
        <w:jc w:val="left"/>
        <w:tblInd w:w="0" w:type="dxa"/>
        <w:tblLayout w:type="fixed"/>
        <w:tblCellMar>
          <w:top w:w="28" w:type="dxa"/>
          <w:left w:w="28" w:type="dxa"/>
          <w:bottom w:w="28" w:type="dxa"/>
          <w:right w:w="28" w:type="dxa"/>
        </w:tblCellMar>
      </w:tblPr>
      <w:tblGrid>
        <w:gridCol w:w="271"/>
        <w:gridCol w:w="5626"/>
      </w:tblGrid>
      <w:tr>
        <w:trPr/>
        <w:tc>
          <w:tcPr>
            <w:tcW w:w="271"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56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 have reviewed this quarterly report on Form 10-Q of RxSight, Inc.;</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9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96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996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8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w:t>
            </w:r>
          </w:p>
        </w:tc>
        <w:tc>
          <w:tcPr>
            <w:tcW w:w="98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w:t>
            </w:r>
          </w:p>
        </w:tc>
        <w:tc>
          <w:tcPr>
            <w:tcW w:w="98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99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5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8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4994" w:type="dxa"/>
        <w:jc w:val="left"/>
        <w:tblInd w:w="0" w:type="dxa"/>
        <w:tblLayout w:type="fixed"/>
        <w:tblCellMar>
          <w:top w:w="28" w:type="dxa"/>
          <w:left w:w="28" w:type="dxa"/>
          <w:bottom w:w="28" w:type="dxa"/>
          <w:right w:w="28" w:type="dxa"/>
        </w:tblCellMar>
      </w:tblPr>
      <w:tblGrid>
        <w:gridCol w:w="1846"/>
        <w:gridCol w:w="146"/>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Ron Kurtz, M.D.</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Ron Kurtz, M.D.</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6" w:name="rxst-ex31_2.htm"/>
      <w:bookmarkStart w:id="27" w:name="ksrxstex31_2"/>
      <w:bookmarkEnd w:id="26"/>
      <w:bookmarkEnd w:id="27"/>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31.2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bidi w:val="0"/>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 Shelley Thunen, certify that:</w:t>
      </w:r>
    </w:p>
    <w:tbl>
      <w:tblPr>
        <w:tblW w:w="5897" w:type="dxa"/>
        <w:jc w:val="left"/>
        <w:tblInd w:w="0" w:type="dxa"/>
        <w:tblLayout w:type="fixed"/>
        <w:tblCellMar>
          <w:top w:w="28" w:type="dxa"/>
          <w:left w:w="28" w:type="dxa"/>
          <w:bottom w:w="28" w:type="dxa"/>
          <w:right w:w="28" w:type="dxa"/>
        </w:tblCellMar>
      </w:tblPr>
      <w:tblGrid>
        <w:gridCol w:w="271"/>
        <w:gridCol w:w="5626"/>
      </w:tblGrid>
      <w:tr>
        <w:trPr/>
        <w:tc>
          <w:tcPr>
            <w:tcW w:w="271"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562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 have reviewed this quarterly report on Form 10-Q of RxSight, Inc.;</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96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w:t>
            </w:r>
          </w:p>
        </w:tc>
        <w:tc>
          <w:tcPr>
            <w:tcW w:w="996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w:t>
            </w:r>
          </w:p>
        </w:tc>
        <w:tc>
          <w:tcPr>
            <w:tcW w:w="996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8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w:t>
            </w:r>
          </w:p>
        </w:tc>
        <w:tc>
          <w:tcPr>
            <w:tcW w:w="98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w:t>
            </w:r>
          </w:p>
        </w:tc>
        <w:tc>
          <w:tcPr>
            <w:tcW w:w="98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99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w:t>
            </w:r>
          </w:p>
        </w:tc>
        <w:tc>
          <w:tcPr>
            <w:tcW w:w="985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w:t>
            </w:r>
          </w:p>
        </w:tc>
        <w:tc>
          <w:tcPr>
            <w:tcW w:w="982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ableContents"/>
              <w:bidi w:val="0"/>
              <w:spacing w:before="0" w:after="0"/>
              <w:ind w:left="0" w:right="0" w:hanging="0"/>
              <w:jc w:val="left"/>
              <w:rPr/>
            </w:pPr>
            <w:r>
              <w:rPr/>
              <w:t> </w:t>
            </w:r>
          </w:p>
        </w:tc>
      </w:tr>
    </w:tbl>
    <w:p>
      <w:pPr>
        <w:pStyle w:val="TextBody"/>
        <w:bidi w:val="0"/>
        <w:spacing w:before="0" w:after="0"/>
        <w:jc w:val="left"/>
        <w:rPr/>
      </w:pPr>
      <w:r>
        <w:rPr/>
        <w:t> </w:t>
      </w:r>
    </w:p>
    <w:tbl>
      <w:tblPr>
        <w:tblW w:w="4964" w:type="dxa"/>
        <w:jc w:val="left"/>
        <w:tblInd w:w="0" w:type="dxa"/>
        <w:tblLayout w:type="fixed"/>
        <w:tblCellMar>
          <w:top w:w="28" w:type="dxa"/>
          <w:left w:w="28" w:type="dxa"/>
          <w:bottom w:w="28" w:type="dxa"/>
          <w:right w:w="28" w:type="dxa"/>
        </w:tblCellMar>
      </w:tblPr>
      <w:tblGrid>
        <w:gridCol w:w="1846"/>
        <w:gridCol w:w="1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Shelley Thunen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Shelley Thunen</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24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8" w:name="rxst-ex32_1.htm"/>
      <w:bookmarkStart w:id="29" w:name="ksrxstex32_1"/>
      <w:bookmarkEnd w:id="28"/>
      <w:bookmarkEnd w:id="29"/>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32.1</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of RxSight, Inc. (the “Company”) on Form 10-Q for the quarterly period ended June 30, 2023, as filed with the Securities and Exchange Commission on the date hereof (the “Report”), I, Ron Kurtz, M.D., Chief Executive Officer of the Company, certify, pursuant to 18 U.S.C. §1350, as adopted pursuant to §906 of the Sarbanes-Oxley Act of 2002, that, to my knowledge:</w:t>
      </w:r>
    </w:p>
    <w:p>
      <w:pPr>
        <w:pStyle w:val="TextBody"/>
        <w:bidi w:val="0"/>
        <w:spacing w:before="0" w:after="0"/>
        <w:jc w:val="left"/>
        <w:rPr/>
      </w:pPr>
      <w:r>
        <w:rPr/>
        <w:t> </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9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t> </w:t>
      </w:r>
    </w:p>
    <w:tbl>
      <w:tblPr>
        <w:tblW w:w="4994" w:type="dxa"/>
        <w:jc w:val="left"/>
        <w:tblInd w:w="0" w:type="dxa"/>
        <w:tblLayout w:type="fixed"/>
        <w:tblCellMar>
          <w:top w:w="28" w:type="dxa"/>
          <w:left w:w="28" w:type="dxa"/>
          <w:bottom w:w="28" w:type="dxa"/>
          <w:right w:w="28" w:type="dxa"/>
        </w:tblCellMar>
      </w:tblPr>
      <w:tblGrid>
        <w:gridCol w:w="1846"/>
        <w:gridCol w:w="146"/>
        <w:gridCol w:w="40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9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Ron Kurtz, M.D.</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Ron Kurtz, M.D.</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9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Executive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0" w:name="rxst-ex32_2.htm"/>
      <w:bookmarkStart w:id="31" w:name="ksrxstex32_2"/>
      <w:bookmarkEnd w:id="30"/>
      <w:bookmarkEnd w:id="31"/>
      <w:r>
        <w:rPr/>
        <w:t> </w:t>
      </w:r>
      <w:r>
        <w:br w:type="page"/>
      </w:r>
    </w:p>
    <w:p>
      <w:pPr>
        <w:pStyle w:val="TextBody"/>
        <w:bidi w:val="0"/>
        <w:spacing w:before="0" w:after="0"/>
        <w:jc w:val="right"/>
        <w:rPr>
          <w:rFonts w:ascii="Times New Roman;serif" w:hAnsi="Times New Roman;serif"/>
          <w:b/>
          <w:sz w:val="20"/>
        </w:rPr>
      </w:pPr>
      <w:r>
        <w:rPr>
          <w:rFonts w:ascii="Times New Roman;serif" w:hAnsi="Times New Roman;serif"/>
          <w:b/>
          <w:sz w:val="20"/>
        </w:rPr>
        <w:t>Exhibit 32.2</w:t>
      </w:r>
    </w:p>
    <w:p>
      <w:pPr>
        <w:pStyle w:val="TextBody"/>
        <w:bidi w:val="0"/>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18 U.S.C. SECTION 1350, AS ADOPTED PURSUANT TO</w:t>
      </w:r>
    </w:p>
    <w:p>
      <w:pPr>
        <w:pStyle w:val="TextBody"/>
        <w:bidi w:val="0"/>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of RxSight, Inc. (the “Company”) on Form 10-Q for the quarterly period ended June 30, 2023, as filed with the Securities and Exchange Commission on the date hereof (the “Report”), I, Shelley Thunen, Chief Financial Officer of the Company, certify, pursuant to 18 U.S.C. §1350, as adopted pursuant to §906 of the Sarbanes-Oxley Act of 2002, that, to my knowledge:</w:t>
      </w:r>
    </w:p>
    <w:tbl>
      <w:tblPr>
        <w:tblW w:w="10101" w:type="dxa"/>
        <w:jc w:val="left"/>
        <w:tblInd w:w="0" w:type="dxa"/>
        <w:tblLayout w:type="fixed"/>
        <w:tblCellMar>
          <w:top w:w="28" w:type="dxa"/>
          <w:left w:w="28" w:type="dxa"/>
          <w:bottom w:w="28" w:type="dxa"/>
          <w:right w:w="28" w:type="dxa"/>
        </w:tblCellMar>
      </w:tblPr>
      <w:tblGrid>
        <w:gridCol w:w="124"/>
        <w:gridCol w:w="256"/>
        <w:gridCol w:w="9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w:t>
            </w:r>
          </w:p>
        </w:tc>
        <w:tc>
          <w:tcPr>
            <w:tcW w:w="97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Report fully complies with the requirements of Section 13(a) or 15(d) of the Securities Exchange Act of 1934; and</w:t>
            </w:r>
          </w:p>
        </w:tc>
      </w:tr>
    </w:tbl>
    <w:tbl>
      <w:tblPr>
        <w:tblW w:w="10205" w:type="dxa"/>
        <w:jc w:val="left"/>
        <w:tblInd w:w="0" w:type="dxa"/>
        <w:tblLayout w:type="fixed"/>
        <w:tblCellMar>
          <w:top w:w="28" w:type="dxa"/>
          <w:left w:w="28" w:type="dxa"/>
          <w:bottom w:w="28" w:type="dxa"/>
          <w:right w:w="28" w:type="dxa"/>
        </w:tblCellMar>
      </w:tblPr>
      <w:tblGrid>
        <w:gridCol w:w="124"/>
        <w:gridCol w:w="247"/>
        <w:gridCol w:w="9834"/>
      </w:tblGrid>
      <w:tr>
        <w:trPr/>
        <w:tc>
          <w:tcPr>
            <w:tcW w:w="12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3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2.</w:t>
            </w:r>
          </w:p>
        </w:tc>
        <w:tc>
          <w:tcPr>
            <w:tcW w:w="98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t> </w:t>
      </w:r>
    </w:p>
    <w:tbl>
      <w:tblPr>
        <w:tblW w:w="4964" w:type="dxa"/>
        <w:jc w:val="left"/>
        <w:tblInd w:w="0" w:type="dxa"/>
        <w:tblLayout w:type="fixed"/>
        <w:tblCellMar>
          <w:top w:w="28" w:type="dxa"/>
          <w:left w:w="28" w:type="dxa"/>
          <w:bottom w:w="28" w:type="dxa"/>
          <w:right w:w="28" w:type="dxa"/>
        </w:tblCellMar>
      </w:tblPr>
      <w:tblGrid>
        <w:gridCol w:w="1846"/>
        <w:gridCol w:w="146"/>
        <w:gridCol w:w="406"/>
        <w:gridCol w:w="25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7, 2023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5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Shelley Thunen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Shelley Thunen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5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(Principal Financial Officer)</w:t>
            </w:r>
          </w:p>
        </w:tc>
      </w:tr>
    </w:tbl>
    <w:p>
      <w:pPr>
        <w:pStyle w:val="TextBody"/>
        <w:bidi w:val="0"/>
        <w:spacing w:before="24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11485/000095017023031482/rxst-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70268</Words>
  <Characters>384946</Characters>
  <CharactersWithSpaces>456014</CharactersWithSpaces>
  <Paragraphs>7015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