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7197dsctoia.htm"/>
      <w:bookmarkStart w:id="1" w:name="ksd147197dsctoi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TO/A </w:t>
      </w:r>
    </w:p>
    <w:p>
      <w:pPr>
        <w:pStyle w:val="TextBody"/>
        <w:bidi w:val="0"/>
        <w:spacing w:before="240" w:after="0"/>
        <w:jc w:val="center"/>
        <w:rPr>
          <w:rFonts w:ascii="Times New Roman" w:hAnsi="Times New Roman"/>
          <w:b/>
          <w:sz w:val="24"/>
        </w:rPr>
      </w:pPr>
      <w:r>
        <w:rPr>
          <w:rFonts w:ascii="Times New Roman" w:hAnsi="Times New Roman"/>
          <w:b/>
          <w:sz w:val="24"/>
        </w:rPr>
        <w:t xml:space="preserve">(Amendment No. 2) </w:t>
      </w:r>
    </w:p>
    <w:p>
      <w:pPr>
        <w:pStyle w:val="TextBody"/>
        <w:bidi w:val="0"/>
        <w:spacing w:before="0" w:after="0"/>
        <w:jc w:val="center"/>
        <w:rPr>
          <w:rFonts w:ascii="Times New Roman" w:hAnsi="Times New Roman"/>
          <w:b/>
          <w:sz w:val="24"/>
        </w:rPr>
      </w:pPr>
      <w:r>
        <w:rPr>
          <w:rFonts w:ascii="Times New Roman" w:hAnsi="Times New Roman"/>
          <w:b/>
          <w:sz w:val="24"/>
        </w:rPr>
        <w:t xml:space="preserve">Tender Offer Statement Under Section 14(d)(1) or 13(e)(1)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(Issuer) and Filing Person (Offeror))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Options to Purchase Common Stock, $0.001 par value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78349D107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Underlying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Aziz Mottiwala</w:t>
      </w:r>
    </w:p>
    <w:p>
      <w:pPr>
        <w:pStyle w:val="TextBody"/>
        <w:bidi w:val="0"/>
        <w:spacing w:before="0" w:after="0"/>
        <w:jc w:val="center"/>
        <w:rPr>
          <w:rFonts w:ascii="Times New Roman" w:hAnsi="Times New Roman"/>
          <w:b/>
          <w:sz w:val="20"/>
        </w:rPr>
      </w:pPr>
      <w:r>
        <w:rPr>
          <w:rFonts w:ascii="Times New Roman" w:hAnsi="Times New Roman"/>
          <w:b/>
          <w:sz w:val="20"/>
        </w:rPr>
        <w:t>President and Chief Executive Officer</w:t>
      </w:r>
    </w:p>
    <w:p>
      <w:pPr>
        <w:pStyle w:val="TextBody"/>
        <w:bidi w:val="0"/>
        <w:spacing w:before="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100 Columbia </w:t>
      </w:r>
    </w:p>
    <w:p>
      <w:pPr>
        <w:pStyle w:val="TextBody"/>
        <w:bidi w:val="0"/>
        <w:spacing w:before="0" w:after="0"/>
        <w:jc w:val="center"/>
        <w:rPr>
          <w:rFonts w:ascii="Times New Roman" w:hAnsi="Times New Roman"/>
          <w:b/>
          <w:sz w:val="20"/>
        </w:rPr>
      </w:pPr>
      <w:r>
        <w:rPr>
          <w:rFonts w:ascii="Times New Roman" w:hAnsi="Times New Roman"/>
          <w:b/>
          <w:sz w:val="20"/>
        </w:rPr>
        <w:t>Aliso Viejo, California 92656</w:t>
      </w:r>
    </w:p>
    <w:p>
      <w:pPr>
        <w:pStyle w:val="TextBody"/>
        <w:bidi w:val="0"/>
        <w:spacing w:before="0" w:after="0"/>
        <w:jc w:val="center"/>
        <w:rPr>
          <w:rFonts w:ascii="Times New Roman" w:hAnsi="Times New Roman"/>
          <w:b/>
          <w:sz w:val="20"/>
        </w:rPr>
      </w:pPr>
      <w:r>
        <w:rPr>
          <w:rFonts w:ascii="Times New Roman" w:hAnsi="Times New Roman"/>
          <w:b/>
          <w:sz w:val="20"/>
        </w:rPr>
        <w:t>(949) 521-7830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numbers of person authorized to receive notices and communications on behalf of filing persons)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Martin J. Waters</w:t>
            </w:r>
          </w:p>
          <w:p>
            <w:pPr>
              <w:pStyle w:val="TableContents"/>
              <w:bidi w:val="0"/>
              <w:spacing w:before="0" w:after="0"/>
              <w:jc w:val="center"/>
              <w:rPr>
                <w:rFonts w:ascii="Times New Roman" w:hAnsi="Times New Roman"/>
                <w:b/>
                <w:sz w:val="20"/>
              </w:rPr>
            </w:pPr>
            <w:r>
              <w:rPr>
                <w:rFonts w:ascii="Times New Roman" w:hAnsi="Times New Roman"/>
                <w:b/>
                <w:sz w:val="20"/>
              </w:rPr>
              <w:t>Robert L. Wernli, Jr.</w:t>
            </w:r>
          </w:p>
          <w:p>
            <w:pPr>
              <w:pStyle w:val="TableContents"/>
              <w:bidi w:val="0"/>
              <w:spacing w:before="0" w:after="0"/>
              <w:jc w:val="center"/>
              <w:rPr>
                <w:rFonts w:ascii="Times New Roman" w:hAnsi="Times New Roman"/>
                <w:b/>
                <w:sz w:val="20"/>
              </w:rPr>
            </w:pPr>
            <w:r>
              <w:rPr>
                <w:rFonts w:ascii="Times New Roman" w:hAnsi="Times New Roman"/>
                <w:b/>
                <w:sz w:val="20"/>
              </w:rPr>
              <w:t>Wilson Sonsini Goodrich &amp; Rosati, P.C.</w:t>
            </w:r>
          </w:p>
          <w:p>
            <w:pPr>
              <w:pStyle w:val="TableContents"/>
              <w:bidi w:val="0"/>
              <w:spacing w:before="0" w:after="0"/>
              <w:jc w:val="center"/>
              <w:rPr>
                <w:rFonts w:ascii="Times New Roman" w:hAnsi="Times New Roman"/>
                <w:b/>
                <w:sz w:val="20"/>
              </w:rPr>
            </w:pPr>
            <w:r>
              <w:rPr>
                <w:rFonts w:ascii="Times New Roman" w:hAnsi="Times New Roman"/>
                <w:b/>
                <w:sz w:val="20"/>
              </w:rPr>
              <w:t>12235 El Camino Real</w:t>
            </w:r>
          </w:p>
          <w:p>
            <w:pPr>
              <w:pStyle w:val="TableContents"/>
              <w:bidi w:val="0"/>
              <w:spacing w:before="0" w:after="0"/>
              <w:jc w:val="center"/>
              <w:rPr>
                <w:rFonts w:ascii="Times New Roman" w:hAnsi="Times New Roman"/>
                <w:b/>
                <w:sz w:val="20"/>
              </w:rPr>
            </w:pPr>
            <w:r>
              <w:rPr>
                <w:rFonts w:ascii="Times New Roman" w:hAnsi="Times New Roman"/>
                <w:b/>
                <w:sz w:val="20"/>
              </w:rPr>
              <w:t>San Diego, CA 92130</w:t>
            </w:r>
          </w:p>
          <w:p>
            <w:pPr>
              <w:pStyle w:val="TableContents"/>
              <w:bidi w:val="0"/>
              <w:spacing w:before="0" w:after="20"/>
              <w:jc w:val="center"/>
              <w:rPr>
                <w:rFonts w:ascii="Times New Roman" w:hAnsi="Times New Roman"/>
                <w:b/>
                <w:sz w:val="20"/>
              </w:rPr>
            </w:pPr>
            <w:r>
              <w:rPr>
                <w:rFonts w:ascii="Times New Roman" w:hAnsi="Times New Roman"/>
                <w:b/>
                <w:sz w:val="20"/>
              </w:rPr>
              <w:t>(858) 350-2300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Mark Wilterding</w:t>
            </w:r>
          </w:p>
          <w:p>
            <w:pPr>
              <w:pStyle w:val="TableContents"/>
              <w:bidi w:val="0"/>
              <w:spacing w:before="0" w:after="0"/>
              <w:jc w:val="center"/>
              <w:rPr>
                <w:rFonts w:ascii="Times New Roman" w:hAnsi="Times New Roman"/>
                <w:b/>
                <w:sz w:val="20"/>
              </w:rPr>
            </w:pPr>
            <w:r>
              <w:rPr>
                <w:rFonts w:ascii="Times New Roman" w:hAnsi="Times New Roman"/>
                <w:b/>
                <w:sz w:val="20"/>
              </w:rPr>
              <w:t>Chief Financial Officer</w:t>
            </w:r>
          </w:p>
          <w:p>
            <w:pPr>
              <w:pStyle w:val="TableContents"/>
              <w:bidi w:val="0"/>
              <w:spacing w:before="0" w:after="0"/>
              <w:jc w:val="center"/>
              <w:rPr>
                <w:rFonts w:ascii="Times New Roman" w:hAnsi="Times New Roman"/>
                <w:b/>
                <w:sz w:val="20"/>
              </w:rPr>
            </w:pPr>
            <w:r>
              <w:rPr>
                <w:rFonts w:ascii="Times New Roman" w:hAnsi="Times New Roman"/>
                <w:b/>
                <w:sz w:val="20"/>
              </w:rPr>
              <w:t>RxSight, Inc.</w:t>
            </w:r>
          </w:p>
          <w:p>
            <w:pPr>
              <w:pStyle w:val="TableContents"/>
              <w:bidi w:val="0"/>
              <w:spacing w:before="0" w:after="0"/>
              <w:jc w:val="center"/>
              <w:rPr>
                <w:rFonts w:ascii="Times New Roman" w:hAnsi="Times New Roman"/>
                <w:b/>
                <w:sz w:val="20"/>
              </w:rPr>
            </w:pPr>
            <w:r>
              <w:rPr>
                <w:rFonts w:ascii="Times New Roman" w:hAnsi="Times New Roman"/>
                <w:b/>
                <w:sz w:val="20"/>
              </w:rPr>
              <w:t>100 Columbia</w:t>
            </w:r>
          </w:p>
          <w:p>
            <w:pPr>
              <w:pStyle w:val="TableContents"/>
              <w:bidi w:val="0"/>
              <w:spacing w:before="0" w:after="0"/>
              <w:jc w:val="center"/>
              <w:rPr>
                <w:rFonts w:ascii="Times New Roman" w:hAnsi="Times New Roman"/>
                <w:b/>
                <w:sz w:val="20"/>
              </w:rPr>
            </w:pPr>
            <w:r>
              <w:rPr>
                <w:rFonts w:ascii="Times New Roman" w:hAnsi="Times New Roman"/>
                <w:b/>
                <w:sz w:val="20"/>
              </w:rPr>
              <w:t>Aliso Viejo, California 92656</w:t>
            </w:r>
          </w:p>
          <w:p>
            <w:pPr>
              <w:pStyle w:val="TableContents"/>
              <w:bidi w:val="0"/>
              <w:spacing w:before="0" w:after="20"/>
              <w:jc w:val="center"/>
              <w:rPr>
                <w:rFonts w:ascii="Times New Roman" w:hAnsi="Times New Roman"/>
                <w:b/>
                <w:sz w:val="20"/>
              </w:rPr>
            </w:pPr>
            <w:r>
              <w:rPr>
                <w:rFonts w:ascii="Times New Roman" w:hAnsi="Times New Roman"/>
                <w:b/>
                <w:sz w:val="20"/>
              </w:rPr>
              <w:t>(949) 521-7830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240" w:after="0"/>
        <w:jc w:val="left"/>
        <w:rPr>
          <w:rFonts w:ascii="Times New Roman" w:hAnsi="Times New Roman"/>
          <w:sz w:val="20"/>
        </w:rPr>
      </w:pPr>
      <w:r>
        <w:rPr>
          <w:rFonts w:ascii="Times New Roman" w:hAnsi="Times New Roman"/>
          <w:sz w:val="20"/>
        </w:rPr>
        <w:t>Check the appropriate boxes below to designate any transactions to which the statement relates: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tender offer subject to Rule 14d-1.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issuer tender offer subject to Rule 13e-4.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going-private transaction subject to Rule 13e-3.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to Schedule 13D under Rule 13d-2.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240" w:after="0"/>
        <w:jc w:val="left"/>
        <w:rPr>
          <w:rFonts w:ascii="Times New Roman" w:hAnsi="Times New Roman"/>
          <w:sz w:val="20"/>
        </w:rPr>
      </w:pPr>
      <w:r>
        <w:rPr>
          <w:rFonts w:ascii="Times New Roman" w:hAnsi="Times New Roman"/>
          <w:sz w:val="20"/>
        </w:rPr>
        <w:t xml:space="preserve">If applicable, check the appropriate box(es) below to designate the appropriate rule provision(s) relied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13e-4(i) (Cross-Border Issuer Tender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14d-1(d) (Cross-Border Third-Party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Amendment No. 2 to Schedule TO (this “</w:t>
      </w:r>
      <w:r>
        <w:rPr>
          <w:rFonts w:ascii="Times New Roman" w:hAnsi="Times New Roman"/>
          <w:sz w:val="20"/>
          <w:u w:val="single"/>
        </w:rPr>
        <w:t>Amendment No. 2</w:t>
      </w:r>
      <w:r>
        <w:rPr>
          <w:rFonts w:ascii="Times New Roman" w:hAnsi="Times New Roman"/>
          <w:sz w:val="20"/>
        </w:rPr>
        <w:t>”) is filed by RxSight, Inc., a Delaware corporation (the “</w:t>
      </w:r>
      <w:r>
        <w:rPr>
          <w:rFonts w:ascii="Times New Roman" w:hAnsi="Times New Roman"/>
          <w:sz w:val="20"/>
          <w:u w:val="single"/>
        </w:rPr>
        <w:t>Company</w:t>
      </w:r>
      <w:r>
        <w:rPr>
          <w:rFonts w:ascii="Times New Roman" w:hAnsi="Times New Roman"/>
          <w:sz w:val="20"/>
        </w:rPr>
        <w:t>”), and amends and supplements the Tender Offer Statement on Schedule TO originally filed by the Company with the Securities and Exchange Commission on August 10, 2026, and amended on August 25, 2026 (the “</w:t>
      </w:r>
      <w:r>
        <w:rPr>
          <w:rFonts w:ascii="Times New Roman" w:hAnsi="Times New Roman"/>
          <w:sz w:val="20"/>
          <w:u w:val="single"/>
        </w:rPr>
        <w:t>Schedule TO</w:t>
      </w:r>
      <w:r>
        <w:rPr>
          <w:rFonts w:ascii="Times New Roman" w:hAnsi="Times New Roman"/>
          <w:sz w:val="20"/>
        </w:rPr>
        <w:t>”). The Schedule TO relates to an offer by the Company (the “</w:t>
      </w:r>
      <w:r>
        <w:rPr>
          <w:rFonts w:ascii="Times New Roman" w:hAnsi="Times New Roman"/>
          <w:sz w:val="20"/>
          <w:u w:val="single"/>
        </w:rPr>
        <w:t>Exchange Offer</w:t>
      </w:r>
      <w:r>
        <w:rPr>
          <w:rFonts w:ascii="Times New Roman" w:hAnsi="Times New Roman"/>
          <w:sz w:val="20"/>
        </w:rPr>
        <w:t>”) to certain eligible employees to exchange some or all of their eligible outstanding options to purchase shares of the Company’s common stock for new equity awards, upon the terms and subject to the conditions set forth in the Offer to Exchange Certain Outstanding Options for New Awards dated August 10, 2026 (the “</w:t>
      </w:r>
      <w:r>
        <w:rPr>
          <w:rFonts w:ascii="Times New Roman" w:hAnsi="Times New Roman"/>
          <w:sz w:val="20"/>
          <w:u w:val="single"/>
        </w:rPr>
        <w:t>Offer to Exchange</w:t>
      </w:r>
      <w:r>
        <w:rPr>
          <w:rFonts w:ascii="Times New Roman" w:hAnsi="Times New Roman"/>
          <w:sz w:val="20"/>
        </w:rPr>
        <w:t>”), included as Exhibit (a)(1)(A) to the Schedule TO and incorporated herein by reference.</w:t>
      </w:r>
    </w:p>
    <w:p>
      <w:pPr>
        <w:pStyle w:val="TextBody"/>
        <w:bidi w:val="0"/>
        <w:spacing w:before="240" w:after="0"/>
        <w:jc w:val="left"/>
        <w:rPr>
          <w:rFonts w:ascii="Times New Roman" w:hAnsi="Times New Roman"/>
          <w:sz w:val="20"/>
        </w:rPr>
      </w:pPr>
      <w:r>
        <w:rPr>
          <w:rFonts w:ascii="Times New Roman" w:hAnsi="Times New Roman"/>
          <w:sz w:val="20"/>
        </w:rPr>
        <w:t>Filed in satisfaction of the reporting requirements of Rule 13e-4(c)(4) promulgated under the Securities Exchange Act of 1934, as amended, this Amendment No. 2 is being filed solely to amend “Item 4. Terms of the Transaction” under the caption “Material Terms” to reflect the final results of the Offer to Exchange. Only those items amended are reported in this Amendment No. 2. Except as specifically provided herein, the information contained in the Schedule TO remains unchanged, and this Amendment No. 2 does not modify any of the information previously reported in the Schedule TO other than as specifically provided herein.</w:t>
      </w:r>
    </w:p>
    <w:p>
      <w:pPr>
        <w:pStyle w:val="TextBody"/>
        <w:bidi w:val="0"/>
        <w:spacing w:before="360" w:after="0"/>
        <w:jc w:val="left"/>
        <w:rPr>
          <w:rFonts w:ascii="Times New Roman" w:hAnsi="Times New Roman"/>
          <w:b/>
          <w:sz w:val="20"/>
        </w:rPr>
      </w:pPr>
      <w:r>
        <w:rPr>
          <w:rFonts w:ascii="Times New Roman" w:hAnsi="Times New Roman"/>
          <w:b/>
          <w:sz w:val="20"/>
        </w:rPr>
        <w:t xml:space="preserve">Item 4. Terms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Material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Item 4 of the Schedule TO is hereby amended and supplemented to add the following information: </w:t>
      </w:r>
    </w:p>
    <w:p>
      <w:pPr>
        <w:pStyle w:val="TextBody"/>
        <w:bidi w:val="0"/>
        <w:spacing w:before="120" w:after="0"/>
        <w:jc w:val="left"/>
        <w:rPr/>
      </w:pPr>
      <w:r>
        <w:rPr/>
        <w:t>“</w:t>
      </w:r>
      <w:r>
        <w:rPr>
          <w:rFonts w:ascii="Times New Roman" w:hAnsi="Times New Roman"/>
          <w:sz w:val="20"/>
        </w:rPr>
        <w:t xml:space="preserve">The Offer to Exchange expired at 9:00 p.m., Pacific Time, on September 4, 2026. Pursuant to the Offer to Exchange, as of the expiration of the Offer to Exchange, 205 Eligible Employees tendered, and the Company accepted for cancellation, Eligible Options to purchase an aggregate of 3,761,461 shares of the Company’s common stock, representing approximately 91.9% of the total shares of the Company’s common stock underlying the Eligible Options held by Eligible Employees. On September 5, 2026, following the expiration of the Offer to Exchange, the Company granted (i) options to purchase 1,643,324 shares of the Company’s common stock in exchange for the cancellation of the Eligible Options tendered by our named executive officers, and (ii) restricted stock units covering 760,738 shares of the Company’s common stock in exchange for the cancellation of the Eligible Options tendered by our non-executive employees, pursuant to the terms of the Offer to Exchange and the Company’s 2021 Equity Incentive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RXSIGHT,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Aziz Mottiwala</w:t>
            </w:r>
          </w:p>
        </w:tc>
      </w:tr>
      <w:tr>
        <w:trPr/>
        <w:tc>
          <w:tcPr>
            <w:tcW w:w="4082" w:type="dxa"/>
            <w:tcBorders/>
          </w:tcPr>
          <w:p>
            <w:pPr>
              <w:pStyle w:val="TableContents"/>
              <w:bidi w:val="0"/>
              <w:spacing w:before="0" w:after="283"/>
              <w:jc w:val="left"/>
              <w:rPr/>
            </w:pPr>
            <w:r>
              <w:rPr/>
              <w:t>Aziz Mottiwala</w:t>
            </w:r>
          </w:p>
        </w:tc>
      </w:tr>
      <w:tr>
        <w:trPr/>
        <w:tc>
          <w:tcPr>
            <w:tcW w:w="4082" w:type="dxa"/>
            <w:tcBorders/>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714</Words>
  <Characters>3858</Characters>
  <CharactersWithSpaces>4579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TO-I/A</dc:title>
</cp:coreProperties>
</file>