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8" w:lineRule="exact"/>
        <w:rPr>
          <w:sz w:val="24"/>
          <w:szCs w:val="24"/>
          <w:color w:val="auto"/>
        </w:rPr>
      </w:pPr>
    </w:p>
    <w:p>
      <w:pPr>
        <w:ind w:left="42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RxSIGHT,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9" w:lineRule="exact"/>
        <w:rPr>
          <w:sz w:val="24"/>
          <w:szCs w:val="24"/>
          <w:color w:val="auto"/>
        </w:rPr>
      </w:pPr>
    </w:p>
    <w:tbl>
      <w:tblPr>
        <w:tblLayout w:type="fixed"/>
        <w:tblInd w:w="1640" w:type="dxa"/>
        <w:tblCellMar>
          <w:top w:w="0" w:type="dxa"/>
          <w:left w:w="0" w:type="dxa"/>
          <w:bottom w:w="0" w:type="dxa"/>
          <w:right w:w="0" w:type="dxa"/>
        </w:tblCellMar>
      </w:tblPr>
      <w:tr>
        <w:trPr>
          <w:trHeight w:val="175"/>
        </w:trPr>
        <w:tc>
          <w:tcPr>
            <w:tcW w:w="430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94-3268801</w:t>
            </w:r>
          </w:p>
        </w:tc>
      </w:tr>
      <w:tr>
        <w:trPr>
          <w:trHeight w:val="160"/>
        </w:trPr>
        <w:tc>
          <w:tcPr>
            <w:tcW w:w="4300" w:type="dxa"/>
            <w:vAlign w:val="bottom"/>
          </w:tcPr>
          <w:p>
            <w:pPr>
              <w:jc w:val="center"/>
              <w:ind w:right="186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7"/>
        </w:trPr>
        <w:tc>
          <w:tcPr>
            <w:tcW w:w="43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100 Columbia</w:t>
            </w:r>
          </w:p>
        </w:tc>
        <w:tc>
          <w:tcPr>
            <w:tcW w:w="3060" w:type="dxa"/>
            <w:vAlign w:val="bottom"/>
          </w:tcPr>
          <w:p>
            <w:pPr>
              <w:spacing w:after="0"/>
              <w:rPr>
                <w:sz w:val="22"/>
                <w:szCs w:val="22"/>
                <w:color w:val="auto"/>
              </w:rPr>
            </w:pPr>
          </w:p>
        </w:tc>
      </w:tr>
      <w:tr>
        <w:trPr>
          <w:trHeight w:val="175"/>
        </w:trPr>
        <w:tc>
          <w:tcPr>
            <w:tcW w:w="4300" w:type="dxa"/>
            <w:vAlign w:val="bottom"/>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Aliso Viejo, CA</w:t>
            </w:r>
          </w:p>
        </w:tc>
        <w:tc>
          <w:tcPr>
            <w:tcW w:w="3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92656</w:t>
            </w:r>
          </w:p>
        </w:tc>
      </w:tr>
      <w:tr>
        <w:trPr>
          <w:trHeight w:val="188"/>
        </w:trPr>
        <w:tc>
          <w:tcPr>
            <w:tcW w:w="430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RXST</w:t>
            </w:r>
          </w:p>
        </w:tc>
        <w:tc>
          <w:tcPr>
            <w:tcW w:w="100" w:type="dxa"/>
            <w:vAlign w:val="bottom"/>
          </w:tcPr>
          <w:p>
            <w:pPr>
              <w:spacing w:after="0"/>
              <w:rPr>
                <w:sz w:val="15"/>
                <w:szCs w:val="15"/>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83" w:lineRule="exact"/>
        <w:rPr>
          <w:sz w:val="24"/>
          <w:szCs w:val="24"/>
          <w:color w:val="auto"/>
        </w:rPr>
      </w:pPr>
    </w:p>
    <w:p>
      <w:pPr>
        <w:ind w:right="2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6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jc w:val="both"/>
        <w:ind w:right="80"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2024, the registrant had 37,196,339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w:t>
            </w:r>
          </w:p>
        </w:tc>
        <w:tc>
          <w:tcPr>
            <w:tcW w:w="20" w:type="dxa"/>
            <w:vAlign w:val="bottom"/>
            <w:tcBorders>
              <w:top w:val="single" w:sz="8" w:color="0000FF"/>
              <w:bottom w:val="single" w:sz="8" w:color="0000EE"/>
            </w:tcBorders>
          </w:tcPr>
          <w:p>
            <w:pPr>
              <w:spacing w:after="0"/>
              <w:rPr>
                <w:sz w:val="18"/>
                <w:szCs w:val="18"/>
                <w:color w:val="auto"/>
              </w:rPr>
            </w:pPr>
          </w:p>
        </w:tc>
        <w:tc>
          <w:tcPr>
            <w:tcW w:w="2140" w:type="dxa"/>
            <w:vAlign w:val="bottom"/>
            <w:tcBorders>
              <w:top w:val="single" w:sz="8" w:color="0000FF"/>
            </w:tcBorders>
            <w:gridSpan w:val="6"/>
          </w:tcPr>
          <w:p>
            <w:pPr>
              <w:spacing w:after="0"/>
              <w:rPr>
                <w:sz w:val="18"/>
                <w:szCs w:val="18"/>
                <w:color w:val="auto"/>
              </w:rPr>
            </w:pPr>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5"/>
        </w:trPr>
        <w:tc>
          <w:tcPr>
            <w:tcW w:w="2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16"/>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37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concerning the following:</w:t>
      </w:r>
    </w:p>
    <w:p>
      <w:pPr>
        <w:spacing w:after="0" w:line="117" w:lineRule="exact"/>
        <w:rPr>
          <w:sz w:val="20"/>
          <w:szCs w:val="20"/>
          <w:color w:val="auto"/>
        </w:rPr>
      </w:pPr>
    </w:p>
    <w:p>
      <w:pPr>
        <w:ind w:left="1020" w:right="20" w:hanging="504"/>
        <w:spacing w:after="0" w:line="276"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 provided that we may opportunistically seek to raise capital under advantageous circumstances from time to time in order to support the expansion of our sales and operations in the U.S. and internationally and to pursue other business opportunities;</w:t>
      </w:r>
    </w:p>
    <w:p>
      <w:pPr>
        <w:spacing w:after="0" w:line="62"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conduct further clinical trials and any expectations related to the timing or outcomes of such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expected timelines related to our products, or developing new products, to address additional indications or otherwise;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acceptance and use of our products by doctors;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expand regulatory clearances for our products and any new products we create;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business and our organization;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intentions regarding investment in our business as we pursue growth;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uses of our existing resources;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payer coverage and reimbursement;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 including the continued development of a sales and marketing infrastructure;</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supply of materials and components for our products from our third-party suppliers, including single and sole source suppliers;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our products with appropriate quality;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products and protect our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into new geographic markets;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SEC rules and Nasdaq continued listing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future government laws, rules and regulations both in the United States and internationally;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allocation of resources toward expenses associated with being a public company;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our expenses, ongoing losses, future revenue, capital requirements and our need for, or ability to obtain, additional financing;</w:t>
      </w:r>
    </w:p>
    <w:p>
      <w:pPr>
        <w:spacing w:after="0" w:line="128"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3" w:name="page4"/>
    <w:bookmarkEnd w:id="3"/>
    <w:p>
      <w:pPr>
        <w:spacing w:after="0" w:line="84"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and planned products and/or acquire new products;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projections relating to our competitors or our industry, including anticipated growth rates for the conventional and premium intraocular lens (“IOL”) markets;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or political conditions and events; and</w:t>
      </w:r>
    </w:p>
    <w:p>
      <w:pPr>
        <w:spacing w:after="0" w:line="116"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political and economic conditions and unknown future events on our business, financial condition and results of operations.</w:t>
      </w:r>
    </w:p>
    <w:p>
      <w:pPr>
        <w:spacing w:after="0" w:line="95"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9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22"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INDUSTRY, BUSINESS AND MARKET DATA</w:t>
      </w:r>
    </w:p>
    <w:p>
      <w:pPr>
        <w:spacing w:after="0" w:line="148"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1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61"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 (Unaudited)</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148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460" w:type="dxa"/>
            <w:vAlign w:val="bottom"/>
          </w:tcPr>
          <w:p>
            <w:pPr>
              <w:spacing w:after="0"/>
              <w:rPr>
                <w:sz w:val="16"/>
                <w:szCs w:val="16"/>
                <w:color w:val="auto"/>
              </w:rPr>
            </w:pPr>
          </w:p>
        </w:tc>
        <w:tc>
          <w:tcPr>
            <w:tcW w:w="1480" w:type="dxa"/>
            <w:vAlign w:val="bottom"/>
            <w:tcBorders>
              <w:bottom w:val="single" w:sz="8" w:color="auto"/>
            </w:tcBorders>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148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(Unaudited)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80" w:type="dxa"/>
            <w:vAlign w:val="bottom"/>
            <w:shd w:val="clear" w:color="auto" w:fill="CFF0FC"/>
          </w:tcPr>
          <w:p>
            <w:pPr>
              <w:jc w:val="right"/>
              <w:ind w:right="1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32,645</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Short-term investments</w:t>
            </w:r>
          </w:p>
        </w:tc>
        <w:tc>
          <w:tcPr>
            <w:tcW w:w="1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92,709</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14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21,550</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1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18,700</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4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3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168,559</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11,617</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1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80" w:type="dxa"/>
            <w:vAlign w:val="bottom"/>
            <w:tcBorders>
              <w:bottom w:val="single" w:sz="8" w:color="auto"/>
            </w:tcBorders>
            <w:shd w:val="clear" w:color="auto" w:fill="CFF0FC"/>
          </w:tcPr>
          <w:p>
            <w:pPr>
              <w:jc w:val="right"/>
              <w:ind w:right="1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183,165</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182,550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480" w:type="dxa"/>
            <w:vAlign w:val="bottom"/>
            <w:shd w:val="clear" w:color="auto" w:fill="CFF0FC"/>
          </w:tcPr>
          <w:p>
            <w:pPr>
              <w:jc w:val="right"/>
              <w:ind w:right="1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11,657</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Lease liabilities</w:t>
            </w:r>
          </w:p>
        </w:tc>
        <w:tc>
          <w:tcPr>
            <w:tcW w:w="14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3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18,328</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4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19,236</w:t>
            </w:r>
          </w:p>
        </w:tc>
        <w:tc>
          <w:tcPr>
            <w:tcW w:w="3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spacing w:after="0"/>
              <w:rPr>
                <w:sz w:val="14"/>
                <w:szCs w:val="14"/>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22,188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$0.001 par value, 900,000,000 shares authorized,</w:t>
            </w:r>
          </w:p>
        </w:tc>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37,161,753 shares issued and outstanding as of March 31, 2024 and</w:t>
            </w:r>
          </w:p>
        </w:tc>
        <w:tc>
          <w:tcPr>
            <w:tcW w:w="14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36,139,513 shares issued and outstanding as of December 31, 2023</w:t>
            </w:r>
          </w:p>
        </w:tc>
        <w:tc>
          <w:tcPr>
            <w:tcW w:w="14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100,000,000 shares authorized,</w:t>
            </w:r>
          </w:p>
        </w:tc>
        <w:tc>
          <w:tcPr>
            <w:tcW w:w="14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19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6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no shares issued and outstanding</w:t>
            </w:r>
          </w:p>
        </w:tc>
        <w:tc>
          <w:tcPr>
            <w:tcW w:w="148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9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767,685</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754,971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(53 )</w:t>
            </w:r>
          </w:p>
        </w:tc>
        <w:tc>
          <w:tcPr>
            <w:tcW w:w="40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75"/>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14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(603,740 )</w:t>
            </w:r>
          </w:p>
        </w:tc>
        <w:tc>
          <w:tcPr>
            <w:tcW w:w="400" w:type="dxa"/>
            <w:vAlign w:val="bottom"/>
          </w:tcPr>
          <w:p>
            <w:pPr>
              <w:spacing w:after="0"/>
              <w:rPr>
                <w:sz w:val="15"/>
                <w:szCs w:val="15"/>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(594,640 )</w:t>
            </w:r>
          </w:p>
        </w:tc>
        <w:tc>
          <w:tcPr>
            <w:tcW w:w="0" w:type="dxa"/>
            <w:vAlign w:val="bottom"/>
          </w:tcPr>
          <w:p>
            <w:pPr>
              <w:spacing w:after="0"/>
              <w:rPr>
                <w:sz w:val="1"/>
                <w:szCs w:val="1"/>
                <w:color w:val="auto"/>
              </w:rPr>
            </w:pPr>
          </w:p>
        </w:tc>
      </w:tr>
      <w:tr>
        <w:trPr>
          <w:trHeight w:val="169"/>
        </w:trPr>
        <w:tc>
          <w:tcPr>
            <w:tcW w:w="6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163,929</w:t>
            </w:r>
          </w:p>
        </w:tc>
        <w:tc>
          <w:tcPr>
            <w:tcW w:w="3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spacing w:after="0"/>
              <w:rPr>
                <w:sz w:val="14"/>
                <w:szCs w:val="14"/>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160,362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80" w:type="dxa"/>
            <w:vAlign w:val="bottom"/>
            <w:tcBorders>
              <w:bottom w:val="single" w:sz="8" w:color="auto"/>
            </w:tcBorders>
            <w:shd w:val="clear" w:color="auto" w:fill="CFF0FC"/>
          </w:tcPr>
          <w:p>
            <w:pPr>
              <w:jc w:val="right"/>
              <w:ind w:right="1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183,165</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182,550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-3287395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-3287395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-2602230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-2585085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-2585085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-1908810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-1446530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-256540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1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r>
      <w:tr>
        <w:trPr>
          <w:trHeight w:val="169"/>
        </w:trPr>
        <w:tc>
          <w:tcPr>
            <w:tcW w:w="5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5"/>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Sales</w:t>
            </w:r>
          </w:p>
        </w:tc>
        <w:tc>
          <w:tcPr>
            <w:tcW w:w="1560" w:type="dxa"/>
            <w:vAlign w:val="bottom"/>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29,512</w:t>
            </w: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17,489</w:t>
            </w:r>
          </w:p>
        </w:tc>
        <w:tc>
          <w:tcPr>
            <w:tcW w:w="440" w:type="dxa"/>
            <w:vAlign w:val="bottom"/>
            <w:shd w:val="clear" w:color="auto" w:fill="CFF0FC"/>
          </w:tcPr>
          <w:p>
            <w:pPr>
              <w:spacing w:after="0"/>
              <w:rPr>
                <w:sz w:val="15"/>
                <w:szCs w:val="15"/>
                <w:color w:val="auto"/>
              </w:rPr>
            </w:pPr>
          </w:p>
        </w:tc>
      </w:tr>
      <w:tr>
        <w:trPr>
          <w:trHeight w:val="175"/>
        </w:trPr>
        <w:tc>
          <w:tcPr>
            <w:tcW w:w="5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 of sales</w:t>
            </w:r>
          </w:p>
        </w:tc>
        <w:tc>
          <w:tcPr>
            <w:tcW w:w="1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8,827</w:t>
            </w:r>
          </w:p>
        </w:tc>
        <w:tc>
          <w:tcPr>
            <w:tcW w:w="4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440" w:type="dxa"/>
            <w:vAlign w:val="bottom"/>
          </w:tcPr>
          <w:p>
            <w:pPr>
              <w:spacing w:after="0"/>
              <w:rPr>
                <w:sz w:val="15"/>
                <w:szCs w:val="15"/>
                <w:color w:val="auto"/>
              </w:rPr>
            </w:pPr>
          </w:p>
        </w:tc>
      </w:tr>
      <w:tr>
        <w:trPr>
          <w:trHeight w:val="169"/>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15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20,685</w:t>
            </w:r>
          </w:p>
        </w:tc>
        <w:tc>
          <w:tcPr>
            <w:tcW w:w="4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440" w:type="dxa"/>
            <w:vAlign w:val="bottom"/>
            <w:tcBorders>
              <w:bottom w:val="single" w:sz="8" w:color="CFF0FC"/>
            </w:tcBorders>
            <w:shd w:val="clear" w:color="auto" w:fill="CFF0FC"/>
          </w:tcPr>
          <w:p>
            <w:pPr>
              <w:spacing w:after="0"/>
              <w:rPr>
                <w:sz w:val="14"/>
                <w:szCs w:val="14"/>
                <w:color w:val="auto"/>
              </w:rPr>
            </w:pPr>
          </w:p>
        </w:tc>
      </w:tr>
      <w:tr>
        <w:trPr>
          <w:trHeight w:val="169"/>
        </w:trPr>
        <w:tc>
          <w:tcPr>
            <w:tcW w:w="5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expenses:</w:t>
            </w: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5"/>
        </w:trPr>
        <w:tc>
          <w:tcPr>
            <w:tcW w:w="5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5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23,324</w:t>
            </w: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16,255</w:t>
            </w:r>
          </w:p>
        </w:tc>
        <w:tc>
          <w:tcPr>
            <w:tcW w:w="440" w:type="dxa"/>
            <w:vAlign w:val="bottom"/>
            <w:shd w:val="clear" w:color="auto" w:fill="CFF0FC"/>
          </w:tcPr>
          <w:p>
            <w:pPr>
              <w:spacing w:after="0"/>
              <w:rPr>
                <w:sz w:val="15"/>
                <w:szCs w:val="15"/>
                <w:color w:val="auto"/>
              </w:rPr>
            </w:pPr>
          </w:p>
        </w:tc>
      </w:tr>
      <w:tr>
        <w:trPr>
          <w:trHeight w:val="175"/>
        </w:trPr>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8,031</w:t>
            </w:r>
          </w:p>
        </w:tc>
        <w:tc>
          <w:tcPr>
            <w:tcW w:w="4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440" w:type="dxa"/>
            <w:vAlign w:val="bottom"/>
          </w:tcPr>
          <w:p>
            <w:pPr>
              <w:spacing w:after="0"/>
              <w:rPr>
                <w:sz w:val="15"/>
                <w:szCs w:val="15"/>
                <w:color w:val="auto"/>
              </w:rPr>
            </w:pPr>
          </w:p>
        </w:tc>
      </w:tr>
      <w:tr>
        <w:trPr>
          <w:trHeight w:val="169"/>
        </w:trPr>
        <w:tc>
          <w:tcPr>
            <w:tcW w:w="5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31,355</w:t>
            </w:r>
          </w:p>
        </w:tc>
        <w:tc>
          <w:tcPr>
            <w:tcW w:w="4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23,463</w:t>
            </w:r>
          </w:p>
        </w:tc>
        <w:tc>
          <w:tcPr>
            <w:tcW w:w="440" w:type="dxa"/>
            <w:vAlign w:val="bottom"/>
            <w:tcBorders>
              <w:bottom w:val="single" w:sz="8" w:color="CFF0FC"/>
            </w:tcBorders>
            <w:shd w:val="clear" w:color="auto" w:fill="CFF0FC"/>
          </w:tcPr>
          <w:p>
            <w:pPr>
              <w:spacing w:after="0"/>
              <w:rPr>
                <w:sz w:val="14"/>
                <w:szCs w:val="14"/>
                <w:color w:val="auto"/>
              </w:rPr>
            </w:pPr>
          </w:p>
        </w:tc>
      </w:tr>
      <w:tr>
        <w:trPr>
          <w:trHeight w:val="169"/>
        </w:trPr>
        <w:tc>
          <w:tcPr>
            <w:tcW w:w="55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Loss from operations</w:t>
            </w:r>
          </w:p>
        </w:tc>
        <w:tc>
          <w:tcPr>
            <w:tcW w:w="156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(10,670 )</w:t>
            </w:r>
          </w:p>
        </w:tc>
        <w:tc>
          <w:tcPr>
            <w:tcW w:w="740" w:type="dxa"/>
            <w:vAlign w:val="bottom"/>
          </w:tcPr>
          <w:p>
            <w:pPr>
              <w:spacing w:after="0"/>
              <w:rPr>
                <w:sz w:val="14"/>
                <w:szCs w:val="14"/>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(13,097 )</w:t>
            </w:r>
          </w:p>
        </w:tc>
      </w:tr>
      <w:tr>
        <w:trPr>
          <w:trHeight w:val="175"/>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5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r>
      <w:tr>
        <w:trPr>
          <w:trHeight w:val="175"/>
        </w:trPr>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expense</w:t>
            </w:r>
          </w:p>
        </w:tc>
        <w:tc>
          <w:tcPr>
            <w:tcW w:w="156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(6 )</w:t>
            </w:r>
          </w:p>
        </w:tc>
        <w:tc>
          <w:tcPr>
            <w:tcW w:w="740" w:type="dxa"/>
            <w:vAlign w:val="bottom"/>
          </w:tcPr>
          <w:p>
            <w:pPr>
              <w:spacing w:after="0"/>
              <w:rPr>
                <w:sz w:val="15"/>
                <w:szCs w:val="15"/>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(1,507 )</w:t>
            </w:r>
          </w:p>
        </w:tc>
      </w:tr>
      <w:tr>
        <w:trPr>
          <w:trHeight w:val="175"/>
        </w:trPr>
        <w:tc>
          <w:tcPr>
            <w:tcW w:w="5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5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4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440" w:type="dxa"/>
            <w:vAlign w:val="bottom"/>
            <w:tcBorders>
              <w:bottom w:val="single" w:sz="8" w:color="CFF0FC"/>
            </w:tcBorders>
            <w:shd w:val="clear" w:color="auto" w:fill="CFF0FC"/>
          </w:tcPr>
          <w:p>
            <w:pPr>
              <w:spacing w:after="0"/>
              <w:rPr>
                <w:sz w:val="15"/>
                <w:szCs w:val="15"/>
                <w:color w:val="auto"/>
              </w:rPr>
            </w:pPr>
          </w:p>
        </w:tc>
      </w:tr>
      <w:tr>
        <w:trPr>
          <w:trHeight w:val="169"/>
        </w:trPr>
        <w:tc>
          <w:tcPr>
            <w:tcW w:w="5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56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(9,091 )</w:t>
            </w:r>
          </w:p>
        </w:tc>
        <w:tc>
          <w:tcPr>
            <w:tcW w:w="740" w:type="dxa"/>
            <w:vAlign w:val="bottom"/>
          </w:tcPr>
          <w:p>
            <w:pPr>
              <w:spacing w:after="0"/>
              <w:rPr>
                <w:sz w:val="14"/>
                <w:szCs w:val="14"/>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(13,212 )</w:t>
            </w:r>
          </w:p>
        </w:tc>
      </w:tr>
      <w:tr>
        <w:trPr>
          <w:trHeight w:val="175"/>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 expense</w:t>
            </w:r>
          </w:p>
        </w:tc>
        <w:tc>
          <w:tcPr>
            <w:tcW w:w="15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540" w:type="dxa"/>
            <w:vAlign w:val="bottom"/>
            <w:tcBorders>
              <w:top w:val="single" w:sz="8" w:color="CFF0FC"/>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440" w:type="dxa"/>
            <w:vAlign w:val="bottom"/>
            <w:tcBorders>
              <w:top w:val="single" w:sz="8" w:color="CFF0FC"/>
            </w:tcBorders>
          </w:tcPr>
          <w:p>
            <w:pPr>
              <w:spacing w:after="0"/>
              <w:rPr>
                <w:sz w:val="14"/>
                <w:szCs w:val="14"/>
                <w:color w:val="auto"/>
              </w:rPr>
            </w:pPr>
          </w:p>
        </w:tc>
      </w:tr>
      <w:tr>
        <w:trPr>
          <w:trHeight w:val="195"/>
        </w:trPr>
        <w:tc>
          <w:tcPr>
            <w:tcW w:w="5540" w:type="dxa"/>
            <w:vAlign w:val="bottom"/>
            <w:shd w:val="clear" w:color="auto" w:fill="CFF0FC"/>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1560" w:type="dxa"/>
            <w:vAlign w:val="bottom"/>
            <w:shd w:val="clear" w:color="auto" w:fill="CFF0FC"/>
          </w:tcPr>
          <w:p>
            <w:pPr>
              <w:jc w:val="right"/>
              <w:ind w:right="13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360"/>
              <w:spacing w:after="0" w:line="155" w:lineRule="exact"/>
              <w:rPr>
                <w:sz w:val="20"/>
                <w:szCs w:val="20"/>
                <w:color w:val="auto"/>
              </w:rPr>
            </w:pPr>
            <w:r>
              <w:rPr>
                <w:rFonts w:ascii="Times New Roman" w:cs="Times New Roman" w:eastAsia="Times New Roman" w:hAnsi="Times New Roman"/>
                <w:sz w:val="14"/>
                <w:szCs w:val="14"/>
                <w:color w:val="auto"/>
              </w:rPr>
              <w:t>(9,100 )</w:t>
            </w:r>
          </w:p>
        </w:tc>
        <w:tc>
          <w:tcPr>
            <w:tcW w:w="740" w:type="dxa"/>
            <w:vAlign w:val="bottom"/>
            <w:shd w:val="clear" w:color="auto" w:fill="CFF0FC"/>
          </w:tcPr>
          <w:p>
            <w:pPr>
              <w:jc w:val="right"/>
              <w:ind w:right="5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gridSpan w:val="2"/>
            <w:shd w:val="clear" w:color="auto" w:fill="CFF0FC"/>
          </w:tcPr>
          <w:p>
            <w:pPr>
              <w:jc w:val="right"/>
              <w:ind w:right="360"/>
              <w:spacing w:after="0" w:line="155" w:lineRule="exact"/>
              <w:rPr>
                <w:sz w:val="20"/>
                <w:szCs w:val="20"/>
                <w:color w:val="auto"/>
              </w:rPr>
            </w:pPr>
            <w:r>
              <w:rPr>
                <w:rFonts w:ascii="Times New Roman" w:cs="Times New Roman" w:eastAsia="Times New Roman" w:hAnsi="Times New Roman"/>
                <w:sz w:val="14"/>
                <w:szCs w:val="14"/>
                <w:color w:val="auto"/>
              </w:rPr>
              <w:t>(13,212 )</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-1403350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-1403350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-941070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-941070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-487680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-487680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-256540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-256540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p>
      <w:pPr>
        <w:ind w:left="200"/>
        <w:spacing w:after="0"/>
        <w:rPr>
          <w:sz w:val="20"/>
          <w:szCs w:val="20"/>
          <w:color w:val="auto"/>
        </w:rPr>
      </w:pPr>
      <w:r>
        <w:rPr>
          <w:rFonts w:ascii="Times New Roman" w:cs="Times New Roman" w:eastAsia="Times New Roman" w:hAnsi="Times New Roman"/>
          <w:sz w:val="14"/>
          <w:szCs w:val="14"/>
          <w:color w:val="auto"/>
        </w:rPr>
        <w:t>Other comprehensive (loss) income</w:t>
      </w:r>
    </w:p>
    <w:p>
      <w:pPr>
        <w:spacing w:after="0" w:line="16" w:lineRule="exact"/>
        <w:rPr>
          <w:sz w:val="20"/>
          <w:szCs w:val="20"/>
          <w:color w:val="auto"/>
        </w:rPr>
      </w:pPr>
    </w:p>
    <w:p>
      <w:pPr>
        <w:ind w:left="380" w:right="1600"/>
        <w:spacing w:after="0" w:line="273" w:lineRule="auto"/>
        <w:rPr>
          <w:sz w:val="20"/>
          <w:szCs w:val="20"/>
          <w:color w:val="auto"/>
        </w:rPr>
      </w:pPr>
      <w:r>
        <w:rPr>
          <w:rFonts w:ascii="Times New Roman" w:cs="Times New Roman" w:eastAsia="Times New Roman" w:hAnsi="Times New Roman"/>
          <w:sz w:val="14"/>
          <w:szCs w:val="14"/>
          <w:color w:val="auto"/>
        </w:rPr>
        <w:t>Unrealized (loss) gain on short-term investments Foreign currency translation (loss) gain</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other comprehensive (loss) income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0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(45 )</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5"/>
        </w:trPr>
        <w:tc>
          <w:tcPr>
            <w:tcW w:w="30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(3 )</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9"/>
        </w:trPr>
        <w:tc>
          <w:tcPr>
            <w:tcW w:w="2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4"/>
              </w:rPr>
              <w:t>)</w:t>
            </w: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-350520</wp:posOffset>
            </wp:positionV>
            <wp:extent cx="713232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-119380</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820" w:space="720"/>
            <w:col w:w="5700"/>
          </w:cols>
          <w:pgMar w:left="320" w:top="1412"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Comprehensive loss</w:t>
            </w:r>
          </w:p>
        </w:tc>
        <w:tc>
          <w:tcPr>
            <w:tcW w:w="106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(9,148 )</w:t>
            </w:r>
          </w:p>
        </w:tc>
        <w:tc>
          <w:tcPr>
            <w:tcW w:w="80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(13,126 )</w:t>
            </w:r>
          </w:p>
        </w:tc>
      </w:tr>
      <w:tr>
        <w:trPr>
          <w:trHeight w:val="156"/>
        </w:trPr>
        <w:tc>
          <w:tcPr>
            <w:tcW w:w="554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4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CFF0FC"/>
            </w:tcBorders>
          </w:tcPr>
          <w:p>
            <w:pPr>
              <w:spacing w:after="0"/>
              <w:rPr>
                <w:sz w:val="13"/>
                <w:szCs w:val="13"/>
                <w:color w:val="auto"/>
              </w:rPr>
            </w:pPr>
          </w:p>
        </w:tc>
      </w:tr>
      <w:tr>
        <w:trPr>
          <w:trHeight w:val="175"/>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 per share:</w:t>
            </w:r>
          </w:p>
        </w:tc>
        <w:tc>
          <w:tcPr>
            <w:tcW w:w="10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r>
      <w:tr>
        <w:trPr>
          <w:trHeight w:val="175"/>
        </w:trPr>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Basic &amp; diluted</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(0.25 )</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(0.42 )</w:t>
            </w:r>
          </w:p>
        </w:tc>
      </w:tr>
      <w:tr>
        <w:trPr>
          <w:trHeight w:val="175"/>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10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r>
      <w:tr>
        <w:trPr>
          <w:trHeight w:val="186"/>
        </w:trPr>
        <w:tc>
          <w:tcPr>
            <w:tcW w:w="5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Attributable to common stock, basic &amp; diluted</w:t>
            </w:r>
          </w:p>
        </w:tc>
        <w:tc>
          <w:tcPr>
            <w:tcW w:w="10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36,843,087</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31,637,097</w:t>
            </w:r>
          </w:p>
        </w:tc>
        <w:tc>
          <w:tcPr>
            <w:tcW w:w="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-588645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-571500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-588645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-571500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16510</wp:posOffset>
            </wp:positionV>
            <wp:extent cx="5026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2602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tcPr>
          <w:p>
            <w:pPr>
              <w:spacing w:after="0"/>
              <w:rPr>
                <w:sz w:val="17"/>
                <w:szCs w:val="17"/>
                <w:color w:val="auto"/>
              </w:rPr>
            </w:pPr>
          </w:p>
        </w:tc>
        <w:tc>
          <w:tcPr>
            <w:tcW w:w="2280" w:type="dxa"/>
            <w:vAlign w:val="bottom"/>
            <w:gridSpan w:val="4"/>
            <w:vMerge w:val="restart"/>
          </w:tcPr>
          <w:p>
            <w:pPr>
              <w:jc w:val="right"/>
              <w:ind w:right="54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400" w:type="dxa"/>
            <w:vAlign w:val="bottom"/>
            <w:gridSpan w:val="2"/>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8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34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9"/>
        </w:trPr>
        <w:tc>
          <w:tcPr>
            <w:tcW w:w="3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20" w:type="dxa"/>
            <w:vAlign w:val="bottom"/>
          </w:tcPr>
          <w:p>
            <w:pPr>
              <w:spacing w:after="0"/>
              <w:rPr>
                <w:sz w:val="19"/>
                <w:szCs w:val="19"/>
                <w:color w:val="auto"/>
              </w:rPr>
            </w:pPr>
          </w:p>
        </w:tc>
        <w:tc>
          <w:tcPr>
            <w:tcW w:w="11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36,139,513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754,971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(594,640 )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for the exercise of stock options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1,061,336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redeemed for employee tax withholdings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(39,096 )</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(2,134 )</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(2,134 )</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1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and cash equivalents, net of tax</w:t>
            </w:r>
          </w:p>
        </w:tc>
        <w:tc>
          <w:tcPr>
            <w:tcW w:w="13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5"/>
                <w:szCs w:val="15"/>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(9,100 )</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(9,100 )</w:t>
            </w:r>
          </w:p>
        </w:tc>
        <w:tc>
          <w:tcPr>
            <w:tcW w:w="0" w:type="dxa"/>
            <w:vAlign w:val="bottom"/>
          </w:tcPr>
          <w:p>
            <w:pPr>
              <w:spacing w:after="0"/>
              <w:rPr>
                <w:sz w:val="1"/>
                <w:szCs w:val="1"/>
                <w:color w:val="auto"/>
              </w:rPr>
            </w:pPr>
          </w:p>
        </w:tc>
      </w:tr>
      <w:tr>
        <w:trPr>
          <w:trHeight w:val="169"/>
        </w:trPr>
        <w:tc>
          <w:tcPr>
            <w:tcW w:w="32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March 31, 2024</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37,161,753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767,685</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(603,740</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163,929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RxSIGHT, INC.</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16510</wp:posOffset>
            </wp:positionV>
            <wp:extent cx="5026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2602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tcPr>
          <w:p>
            <w:pPr>
              <w:spacing w:after="0"/>
              <w:rPr>
                <w:sz w:val="17"/>
                <w:szCs w:val="17"/>
                <w:color w:val="auto"/>
              </w:rPr>
            </w:pPr>
          </w:p>
        </w:tc>
        <w:tc>
          <w:tcPr>
            <w:tcW w:w="2280" w:type="dxa"/>
            <w:vAlign w:val="bottom"/>
            <w:gridSpan w:val="4"/>
            <w:vMerge w:val="restart"/>
          </w:tcPr>
          <w:p>
            <w:pPr>
              <w:jc w:val="right"/>
              <w:ind w:right="54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400" w:type="dxa"/>
            <w:vAlign w:val="bottom"/>
            <w:gridSpan w:val="2"/>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8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34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9"/>
        </w:trPr>
        <w:tc>
          <w:tcPr>
            <w:tcW w:w="3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20" w:type="dxa"/>
            <w:vAlign w:val="bottom"/>
          </w:tcPr>
          <w:p>
            <w:pPr>
              <w:spacing w:after="0"/>
              <w:rPr>
                <w:sz w:val="19"/>
                <w:szCs w:val="19"/>
                <w:color w:val="auto"/>
              </w:rPr>
            </w:pPr>
          </w:p>
        </w:tc>
        <w:tc>
          <w:tcPr>
            <w:tcW w:w="11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28,268,389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636,001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(546,032 )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for the exercise of stock options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243,598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redeemed for employee tax withholdings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(24,631 )</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(337 )</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(337 )</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for public offering, net of</w:t>
            </w: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underwriting discounts, commissions and offering</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53,595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11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for at-the-market</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879,341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issuance costs</w:t>
            </w: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gain on short-term investments</w:t>
            </w:r>
          </w:p>
        </w:tc>
        <w:tc>
          <w:tcPr>
            <w:tcW w:w="1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and cash equivalents, net of tax</w:t>
            </w:r>
          </w:p>
        </w:tc>
        <w:tc>
          <w:tcPr>
            <w:tcW w:w="13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(13,212 )</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(13,212 )</w:t>
            </w:r>
          </w:p>
        </w:tc>
        <w:tc>
          <w:tcPr>
            <w:tcW w:w="0" w:type="dxa"/>
            <w:vAlign w:val="bottom"/>
          </w:tcPr>
          <w:p>
            <w:pPr>
              <w:spacing w:after="0"/>
              <w:rPr>
                <w:sz w:val="1"/>
                <w:szCs w:val="1"/>
                <w:color w:val="auto"/>
              </w:rPr>
            </w:pPr>
          </w:p>
        </w:tc>
      </w:tr>
      <w:tr>
        <w:trPr>
          <w:trHeight w:val="169"/>
        </w:trPr>
        <w:tc>
          <w:tcPr>
            <w:tcW w:w="32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March 31, 2023</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33,966,697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704,228</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(559,244</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RxSIGHT,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w:t>
      </w:r>
    </w:p>
    <w:p>
      <w:pPr>
        <w:ind w:left="4980"/>
        <w:spacing w:after="0" w:line="237" w:lineRule="auto"/>
        <w:rPr>
          <w:sz w:val="20"/>
          <w:szCs w:val="20"/>
          <w:color w:val="auto"/>
        </w:rPr>
      </w:pPr>
      <w:r>
        <w:rPr>
          <w:rFonts w:ascii="Times New Roman" w:cs="Times New Roman" w:eastAsia="Times New Roman" w:hAnsi="Times New Roman"/>
          <w:sz w:val="19"/>
          <w:szCs w:val="19"/>
          <w:b w:val="1"/>
          <w:bCs w:val="1"/>
          <w:color w:val="auto"/>
        </w:rPr>
        <w:t>(UNAUDITED)</w:t>
      </w:r>
    </w:p>
    <w:p>
      <w:pPr>
        <w:ind w:left="504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6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00" w:type="dxa"/>
            <w:vAlign w:val="bottom"/>
          </w:tcPr>
          <w:p>
            <w:pPr>
              <w:spacing w:after="0"/>
              <w:rPr>
                <w:sz w:val="16"/>
                <w:szCs w:val="16"/>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(9,100 )</w:t>
            </w:r>
          </w:p>
        </w:tc>
        <w:tc>
          <w:tcPr>
            <w:tcW w:w="1000" w:type="dxa"/>
            <w:vAlign w:val="bottom"/>
            <w:shd w:val="clear" w:color="auto" w:fill="CFF0FC"/>
          </w:tcPr>
          <w:p>
            <w:pPr>
              <w:jc w:val="right"/>
              <w:ind w:right="85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(13,212 )</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right-of-use lease assets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debt issuance costs and premium</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discount on short-term investments</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(1,505 )</w:t>
            </w:r>
          </w:p>
        </w:tc>
        <w:tc>
          <w:tcPr>
            <w:tcW w:w="10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(1,257 )</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4,696</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receivable</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(1,269 )</w:t>
            </w:r>
          </w:p>
        </w:tc>
        <w:tc>
          <w:tcPr>
            <w:tcW w:w="10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(1,712 )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Inventories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(1,390 )</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(3,241 )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Prepaid and other assets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(460 )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(3,737 )</w:t>
            </w:r>
          </w:p>
        </w:tc>
        <w:tc>
          <w:tcPr>
            <w:tcW w:w="10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(3,490 )</w:t>
            </w:r>
          </w:p>
        </w:tc>
      </w:tr>
      <w:tr>
        <w:trPr>
          <w:trHeight w:val="20"/>
        </w:trPr>
        <w:tc>
          <w:tcPr>
            <w:tcW w:w="7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0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(9,309 )</w:t>
            </w: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(17,764 )</w:t>
            </w:r>
          </w:p>
        </w:tc>
      </w:tr>
      <w:tr>
        <w:trPr>
          <w:trHeight w:val="16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0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(1,967 )</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(747 )</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Maturity of short-term investments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(47,759 )</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(107,618 )</w:t>
            </w:r>
          </w:p>
        </w:tc>
      </w:tr>
      <w:tr>
        <w:trPr>
          <w:trHeight w:val="20"/>
        </w:trPr>
        <w:tc>
          <w:tcPr>
            <w:tcW w:w="7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Net cash provided (used in) by investing activities</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24,274</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(48,365 )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06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from public offering</w:t>
            </w:r>
          </w:p>
        </w:tc>
        <w:tc>
          <w:tcPr>
            <w:tcW w:w="10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54,050</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for at-the-market offerings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10,153</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Payments for employee taxes related to stock compensation</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(2,134 )</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(337 )</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payments on finance lease liabilities</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(27 )</w:t>
            </w:r>
          </w:p>
        </w:tc>
        <w:tc>
          <w:tcPr>
            <w:tcW w:w="10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(41 )</w:t>
            </w: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Payments of deferred offering costs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(230 )</w:t>
            </w:r>
          </w:p>
        </w:tc>
      </w:tr>
      <w:tr>
        <w:trPr>
          <w:trHeight w:val="169"/>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0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7,992</w:t>
            </w:r>
          </w:p>
        </w:tc>
        <w:tc>
          <w:tcPr>
            <w:tcW w:w="260" w:type="dxa"/>
            <w:vAlign w:val="bottom"/>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65,305</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foreign exchange rate on cash, cash equivalents and restricted cash</w:t>
            </w:r>
          </w:p>
        </w:tc>
        <w:tc>
          <w:tcPr>
            <w:tcW w:w="10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(3 )</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22,954</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(822 )</w:t>
            </w: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beginning of period</w:t>
            </w: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10,402</w:t>
            </w: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12,595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end of period</w:t>
            </w:r>
          </w:p>
        </w:tc>
        <w:tc>
          <w:tcPr>
            <w:tcW w:w="10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33,356</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11,773</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0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interest on financing leases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 on term loan</w:t>
            </w:r>
          </w:p>
        </w:tc>
        <w:tc>
          <w:tcPr>
            <w:tcW w:w="10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Right-of-use assets obtained in exchange for lease obligations: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Finance lease</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Lease obligations recorded for right-of-use assets: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Finance lease</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Acquisition of property and equipment included in accounts payable and accrued expenses</w:t>
            </w: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7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and other current liabilities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offering and financing costs included in accounts payable and accrued liabilities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Reclassification of deferred financing costs</w:t>
            </w:r>
          </w:p>
        </w:tc>
        <w:tc>
          <w:tcPr>
            <w:tcW w:w="10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-3398520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-2944495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-2944495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-2049780</wp:posOffset>
            </wp:positionV>
            <wp:extent cx="102235" cy="153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-2049780</wp:posOffset>
            </wp:positionV>
            <wp:extent cx="93980" cy="153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-1574800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RxSight®, Inc. (the “Company”) is a Delaware corporation headquartered in Aliso Viejo, California with one wholly owned subsidiary located in Amsterdam, Netherlands (“RxSight, B.V.”). The wholly owned subsidiary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w:t>
      </w:r>
    </w:p>
    <w:p>
      <w:pPr>
        <w:spacing w:after="0" w:line="101"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Company’s products, which include the Light Adjustable Lens® (“LAL®” and “LAL+™”), collectively the (“LAL”) and a specially designed machine for delivering light to the eye, the Light Delivery Device (“LDD™”),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spacing w:after="0" w:line="115" w:lineRule="exact"/>
        <w:rPr>
          <w:sz w:val="20"/>
          <w:szCs w:val="20"/>
          <w:color w:val="auto"/>
        </w:rPr>
      </w:pP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2023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2023 Annual Report on Form 10-K filed with the SEC on February 28, 2024. The operating results presented in these unaudited condensed consolidated financial statements are not necessarily indicative of the results that may be expected for any future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159"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The Company determined that it operates and manages its business (including its non-U.S. subsidiaries) in one reportable segment: the research and development, manufacture and sale of light adjustable lenses and related capital equipment.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46" w:lineRule="exact"/>
        <w:rPr>
          <w:sz w:val="20"/>
          <w:szCs w:val="20"/>
          <w:color w:val="auto"/>
        </w:rPr>
      </w:pPr>
    </w:p>
    <w:p>
      <w:pPr>
        <w:ind w:right="380" w:firstLine="374"/>
        <w:spacing w:after="0" w:line="281" w:lineRule="auto"/>
        <w:rPr>
          <w:sz w:val="20"/>
          <w:szCs w:val="20"/>
          <w:color w:val="auto"/>
        </w:rPr>
      </w:pPr>
      <w:r>
        <w:rPr>
          <w:rFonts w:ascii="Times New Roman" w:cs="Times New Roman" w:eastAsia="Times New Roman" w:hAnsi="Times New Roman"/>
          <w:sz w:val="18"/>
          <w:szCs w:val="18"/>
          <w:color w:val="auto"/>
        </w:rPr>
        <w:t>As of March 31, 2024 and December 31, 2023 the Company had cash, cash equivalents and short-term investments of $125.4 million and $127.2 million, respectively.</w:t>
      </w:r>
    </w:p>
    <w:p>
      <w:pPr>
        <w:spacing w:after="0" w:line="95" w:lineRule="exact"/>
        <w:rPr>
          <w:sz w:val="20"/>
          <w:szCs w:val="20"/>
          <w:color w:val="auto"/>
        </w:rPr>
      </w:pPr>
    </w:p>
    <w:p>
      <w:pPr>
        <w:ind w:right="260" w:firstLine="374"/>
        <w:spacing w:after="0" w:line="260" w:lineRule="auto"/>
        <w:rPr>
          <w:sz w:val="20"/>
          <w:szCs w:val="20"/>
          <w:color w:val="auto"/>
        </w:rPr>
      </w:pPr>
      <w:r>
        <w:rPr>
          <w:rFonts w:ascii="Times New Roman" w:cs="Times New Roman" w:eastAsia="Times New Roman" w:hAnsi="Times New Roman"/>
          <w:sz w:val="18"/>
          <w:szCs w:val="18"/>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March 31, 2024 and 2023, the Company incurred losses from operations of $10.7 million and $13.1 million, respectively. Based on the Company’s anticipated sales growth in relation to the</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0" w:name="page11"/>
    <w:bookmarkEnd w:id="10"/>
    <w:p>
      <w:pPr>
        <w:spacing w:after="0" w:line="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114"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however for the near future, the Company expects to continue to incur operating losses and negative cash flows. The Company plans to continue to fund its losses from operations using its cash, cash equivalents and short-term investments as of March 31, 2024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There have been no significant changes to the accounting policies during the three months ended March 31, 2024, as compared to the significant accounting policies described in Note 2 of the “Notes to Consolidated Financial Statements” in the Company’s audited consolidated financial statements included in its Annual Report on Form 10-K filed with the SEC on February 28,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9"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1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has been in a continuous loss position for over 12 months;</w:t>
      </w:r>
    </w:p>
    <w:p>
      <w:pPr>
        <w:spacing w:after="0" w:line="14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to maturity of investments;</w:t>
      </w:r>
    </w:p>
    <w:p>
      <w:pPr>
        <w:spacing w:after="0" w:line="157" w:lineRule="exact"/>
        <w:rPr>
          <w:rFonts w:ascii="Times New Roman" w:cs="Times New Roman" w:eastAsia="Times New Roman" w:hAnsi="Times New Roman"/>
          <w:sz w:val="18"/>
          <w:szCs w:val="18"/>
          <w:color w:val="auto"/>
        </w:rPr>
      </w:pPr>
    </w:p>
    <w:p>
      <w:pPr>
        <w:ind w:left="380" w:right="240" w:hanging="372"/>
        <w:spacing w:after="0" w:line="28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 and ability to hold the investment to maturity and if it is not more likely than not that the Company will be required to sell the investment before recovery of the amortized cost basis;</w:t>
      </w:r>
    </w:p>
    <w:p>
      <w:pPr>
        <w:spacing w:after="0" w:line="9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rating, financial condition and near-term prospects of the issuer; and</w:t>
      </w:r>
    </w:p>
    <w:p>
      <w:pPr>
        <w:spacing w:after="0" w:line="14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investments made.</w:t>
      </w:r>
    </w:p>
    <w:p>
      <w:pPr>
        <w:spacing w:after="0" w:line="117" w:lineRule="exact"/>
        <w:rPr>
          <w:sz w:val="20"/>
          <w:szCs w:val="20"/>
          <w:color w:val="auto"/>
        </w:rPr>
      </w:pPr>
    </w:p>
    <w:p>
      <w:pPr>
        <w:ind w:right="400" w:firstLine="374"/>
        <w:spacing w:after="0" w:line="281" w:lineRule="auto"/>
        <w:rPr>
          <w:sz w:val="20"/>
          <w:szCs w:val="20"/>
          <w:color w:val="auto"/>
        </w:rPr>
      </w:pPr>
      <w:r>
        <w:rPr>
          <w:rFonts w:ascii="Times New Roman" w:cs="Times New Roman" w:eastAsia="Times New Roman" w:hAnsi="Times New Roman"/>
          <w:sz w:val="18"/>
          <w:szCs w:val="18"/>
          <w:color w:val="auto"/>
        </w:rPr>
        <w:t>The Company had an unrealized loss of $36,000 and $10,000 of net unrealized gains related to short-term investments as of March 31, 2024 and December 31,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Other Risks and Uncertainties</w:t>
      </w:r>
    </w:p>
    <w:p>
      <w:pPr>
        <w:spacing w:after="0" w:line="159" w:lineRule="exact"/>
        <w:rPr>
          <w:sz w:val="20"/>
          <w:szCs w:val="20"/>
          <w:color w:val="auto"/>
        </w:rPr>
      </w:pPr>
    </w:p>
    <w:p>
      <w:pPr>
        <w:ind w:right="20" w:firstLine="374"/>
        <w:spacing w:after="0" w:line="274"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90"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114" w:lineRule="exact"/>
        <w:rPr>
          <w:sz w:val="20"/>
          <w:szCs w:val="20"/>
          <w:color w:val="auto"/>
        </w:rPr>
      </w:pPr>
    </w:p>
    <w:p>
      <w:pPr>
        <w:jc w:val="both"/>
        <w:ind w:right="180" w:firstLine="374"/>
        <w:spacing w:after="0" w:line="288"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92"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The Company is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The Company has a diverse customer base and as of March 31, 2024 and December 31, 2023 the Company did not have any customers who individually accounted for greater than 10% of accounts receivable. The Company maintains an allowance for credit losses resulting from the inability of its customers, including ambulatory surgery</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8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centers, to make required payments. After evaluation of the collectability of accounts receivable, the Company did not record any significant allowance for credit losses as of March 31, 2024 or December 31, 2023.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101"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Level 1—Observable inputs such as unadjusted quoted prices in active markets that are accessible at the measurement date for identical unrestricted assets or liabilities.</w:t>
      </w:r>
    </w:p>
    <w:p>
      <w:pPr>
        <w:spacing w:after="0" w:line="9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15"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101"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14"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March 31, 2024 and December 31, 2023, approximated their carrying values, based on the borrowing rates that were available for loans with similar terms as of such date.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5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101"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spacing w:after="0" w:line="2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60" w:type="dxa"/>
            <w:vAlign w:val="bottom"/>
          </w:tcPr>
          <w:p>
            <w:pPr>
              <w:spacing w:after="0"/>
              <w:rPr>
                <w:sz w:val="21"/>
                <w:szCs w:val="21"/>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07"/>
        </w:trPr>
        <w:tc>
          <w:tcPr>
            <w:tcW w:w="7980" w:type="dxa"/>
            <w:vAlign w:val="bottom"/>
            <w:tcBorders>
              <w:top w:val="single" w:sz="8" w:color="auto"/>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issued and outstanding under the Calhoun Vision, Inc. 2006 Stock Plan,</w:t>
            </w: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7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Calhoun Vision, Inc. 2015 Equity Incentive Plan and the 2021 Equity Incentive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6,065,073</w:t>
            </w:r>
          </w:p>
        </w:tc>
        <w:tc>
          <w:tcPr>
            <w:tcW w:w="2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1,814,375</w:t>
            </w:r>
          </w:p>
        </w:tc>
        <w:tc>
          <w:tcPr>
            <w:tcW w:w="100" w:type="dxa"/>
            <w:vAlign w:val="bottom"/>
            <w:shd w:val="clear" w:color="auto" w:fill="CFF0FC"/>
          </w:tcPr>
          <w:p>
            <w:pPr>
              <w:spacing w:after="0"/>
              <w:rPr>
                <w:sz w:val="21"/>
                <w:szCs w:val="21"/>
                <w:color w:val="auto"/>
              </w:rPr>
            </w:pPr>
          </w:p>
        </w:tc>
      </w:tr>
      <w:tr>
        <w:trPr>
          <w:trHeight w:val="238"/>
        </w:trPr>
        <w:tc>
          <w:tcPr>
            <w:tcW w:w="7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stock units issued under the 2021 Equity Incentive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590,346</w:t>
            </w: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478,610</w:t>
            </w:r>
          </w:p>
        </w:tc>
        <w:tc>
          <w:tcPr>
            <w:tcW w:w="100" w:type="dxa"/>
            <w:vAlign w:val="bottom"/>
          </w:tcPr>
          <w:p>
            <w:pPr>
              <w:spacing w:after="0"/>
              <w:rPr>
                <w:sz w:val="20"/>
                <w:szCs w:val="20"/>
                <w:color w:val="auto"/>
              </w:rPr>
            </w:pPr>
          </w:p>
        </w:tc>
      </w:tr>
      <w:tr>
        <w:trPr>
          <w:trHeight w:val="247"/>
        </w:trPr>
        <w:tc>
          <w:tcPr>
            <w:tcW w:w="7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issuable in offering period under the 2021 Employee Stock 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43,035</w:t>
            </w:r>
          </w:p>
        </w:tc>
        <w:tc>
          <w:tcPr>
            <w:tcW w:w="2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51,180</w:t>
            </w:r>
          </w:p>
        </w:tc>
        <w:tc>
          <w:tcPr>
            <w:tcW w:w="100" w:type="dxa"/>
            <w:vAlign w:val="bottom"/>
            <w:shd w:val="clear" w:color="auto" w:fill="CFF0FC"/>
          </w:tcPr>
          <w:p>
            <w:pPr>
              <w:spacing w:after="0"/>
              <w:rPr>
                <w:sz w:val="21"/>
                <w:szCs w:val="2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Canada and Europe. Customers are primarily comprised of ambulatory surgery centers, hospitals, and physician private practices.</w:t>
      </w:r>
    </w:p>
    <w:p>
      <w:pPr>
        <w:spacing w:after="0" w:line="110"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7"/>
          <w:szCs w:val="17"/>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w:t>
      </w:r>
    </w:p>
    <w:p>
      <w:pPr>
        <w:spacing w:after="0" w:line="1" w:lineRule="exact"/>
        <w:rPr>
          <w:sz w:val="20"/>
          <w:szCs w:val="20"/>
          <w:color w:val="auto"/>
        </w:rPr>
      </w:pPr>
    </w:p>
    <w:p>
      <w:pPr>
        <w:ind w:firstLine="8"/>
        <w:spacing w:after="0" w:line="277" w:lineRule="auto"/>
        <w:tabs>
          <w:tab w:leader="none" w:pos="30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118"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08"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LALs are generally held at customer sites on consignment. The single performance obligation is satisfied, and revenue from sales is recognized for LALs upon customer notification that the LALs have been implanted in a patient. For the three months ended March 31, 2024 and 2023, credits related to returns and rebates on list prices were not significant.</w:t>
      </w:r>
    </w:p>
    <w:p>
      <w:pPr>
        <w:spacing w:after="0" w:line="110"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2024 and 2023, revenue from contracts with customers consisted of the following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7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 (including training)</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12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FF0FC"/>
          </w:tcPr>
          <w:p>
            <w:pPr>
              <w:spacing w:after="0"/>
              <w:rPr>
                <w:sz w:val="21"/>
                <w:szCs w:val="21"/>
                <w:color w:val="auto"/>
              </w:rPr>
            </w:pP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LAL</w:t>
            </w:r>
          </w:p>
        </w:tc>
        <w:tc>
          <w:tcPr>
            <w:tcW w:w="7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20"/>
                <w:szCs w:val="20"/>
                <w:color w:val="auto"/>
              </w:rPr>
            </w:pPr>
          </w:p>
        </w:tc>
      </w:tr>
      <w:tr>
        <w:trPr>
          <w:trHeight w:val="247"/>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warranty, service contracts, and accessories</w:t>
            </w:r>
          </w:p>
        </w:tc>
        <w:tc>
          <w:tcPr>
            <w:tcW w:w="700" w:type="dxa"/>
            <w:vAlign w:val="bottom"/>
            <w:tcBorders>
              <w:bottom w:val="single" w:sz="8" w:color="auto"/>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2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-187960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did not have any customers who individually accounted for greater than 10% of revenue.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4" w:lineRule="exact"/>
        <w:rPr>
          <w:sz w:val="20"/>
          <w:szCs w:val="20"/>
          <w:color w:val="auto"/>
        </w:rPr>
      </w:pPr>
    </w:p>
    <w:p>
      <w:pPr>
        <w:ind w:right="6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represents the contract liabilities from sales activity for the three months ended March 31, 2024 and 2023, respectively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0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47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320" w:type="dxa"/>
            <w:vAlign w:val="bottom"/>
          </w:tcPr>
          <w:p>
            <w:pPr>
              <w:spacing w:after="0"/>
              <w:rPr>
                <w:sz w:val="24"/>
                <w:szCs w:val="24"/>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4"/>
                <w:szCs w:val="24"/>
                <w:color w:val="auto"/>
              </w:rPr>
            </w:pPr>
          </w:p>
        </w:tc>
      </w:tr>
      <w:tr>
        <w:trPr>
          <w:trHeight w:val="249"/>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62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21"/>
                <w:szCs w:val="21"/>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620" w:type="dxa"/>
            <w:vAlign w:val="bottom"/>
          </w:tcPr>
          <w:p>
            <w:pPr>
              <w:spacing w:after="0"/>
              <w:rPr>
                <w:sz w:val="20"/>
                <w:szCs w:val="20"/>
                <w:color w:val="auto"/>
              </w:rPr>
            </w:pPr>
          </w:p>
        </w:tc>
        <w:tc>
          <w:tcPr>
            <w:tcW w:w="2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(840 )</w:t>
            </w:r>
          </w:p>
        </w:tc>
        <w:tc>
          <w:tcPr>
            <w:tcW w:w="8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(598 )</w:t>
            </w:r>
          </w:p>
        </w:tc>
      </w:tr>
      <w:tr>
        <w:trPr>
          <w:trHeight w:val="276"/>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6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spacing w:after="0" w:line="110"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condensed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Forfeitures of unvested stock option awards are recognized as reductions of expense as they occur.</w:t>
      </w:r>
    </w:p>
    <w:p>
      <w:pPr>
        <w:spacing w:after="0" w:line="118"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Black-Scholes option-pricing model requires the use of assumptions about a number of variables, such as the fair market value of the Company’s common stock, expected volatility, expected term, risk-free interest rate, and dividend yield as discussed below:</w:t>
      </w:r>
    </w:p>
    <w:p>
      <w:pPr>
        <w:spacing w:after="0" w:line="161" w:lineRule="exact"/>
        <w:rPr>
          <w:sz w:val="20"/>
          <w:szCs w:val="20"/>
          <w:color w:val="auto"/>
        </w:rPr>
      </w:pPr>
    </w:p>
    <w:p>
      <w:pPr>
        <w:ind w:left="660" w:right="580"/>
        <w:spacing w:after="0" w:line="283" w:lineRule="auto"/>
        <w:rPr>
          <w:sz w:val="20"/>
          <w:szCs w:val="20"/>
          <w:color w:val="auto"/>
        </w:rPr>
      </w:pP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—The fair value of common stock is determined by using the closing price per share of common stock as reported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Global Market.</w:t>
      </w:r>
    </w:p>
    <w:p>
      <w:pPr>
        <w:spacing w:after="0" w:line="7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—Effective January 1, 2024, the Company based the expected volatility on the historic volatility of its common stock.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the expected volatility was estimated based on the average historical volatilities for comparable publicly traded medical device companies over a period equal to the expected term of the stock option grants. Comparable companies were chosen based on their similar size, stage in the life cycle and area of specialty.</w:t>
      </w:r>
    </w:p>
    <w:p>
      <w:pPr>
        <w:spacing w:after="0" w:line="178"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Company’s expected term represents the period that the Company’s stock-based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used the simplified method (based on the mid-point between the vesting date and the end of the contractual term) to determine the expected term.</w:t>
      </w:r>
    </w:p>
    <w:p>
      <w:pPr>
        <w:spacing w:after="0" w:line="172" w:lineRule="exact"/>
        <w:rPr>
          <w:sz w:val="20"/>
          <w:szCs w:val="20"/>
          <w:color w:val="auto"/>
        </w:rPr>
      </w:pPr>
    </w:p>
    <w:p>
      <w:pPr>
        <w:ind w:left="640" w:right="100"/>
        <w:spacing w:after="0" w:line="283"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used is based on the published U.S. Department of Treasury interest rates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grant for zero coupon U.S. Treasury notes with maturities approximating each grant’s expected term.</w:t>
      </w:r>
    </w:p>
    <w:p>
      <w:pPr>
        <w:spacing w:after="0" w:line="159" w:lineRule="exact"/>
        <w:rPr>
          <w:sz w:val="20"/>
          <w:szCs w:val="20"/>
          <w:color w:val="auto"/>
        </w:rPr>
      </w:pPr>
    </w:p>
    <w:p>
      <w:pPr>
        <w:ind w:left="640" w:right="120"/>
        <w:spacing w:after="0" w:line="283"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has never paid dividends on its common stock and has no plans to pay dividends on its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used an expected dividend yield of zero.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59"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March 31, 2024 that are of significance or potential significance to the</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Short-Term Investments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Short-term investments, principally U.S. Treasury bills, are available-for-sale and consisted of the following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Unrealized Loss, Net</w:t>
            </w:r>
          </w:p>
        </w:tc>
        <w:tc>
          <w:tcPr>
            <w:tcW w:w="34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r>
      <w:tr>
        <w:trPr>
          <w:trHeight w:val="274"/>
        </w:trPr>
        <w:tc>
          <w:tcPr>
            <w:tcW w:w="3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92,745</w:t>
            </w:r>
          </w:p>
        </w:tc>
        <w:tc>
          <w:tcPr>
            <w:tcW w:w="360" w:type="dxa"/>
            <w:vAlign w:val="bottom"/>
            <w:shd w:val="clear" w:color="auto" w:fill="CFF0FC"/>
          </w:tcPr>
          <w:p>
            <w:pPr>
              <w:spacing w:after="0"/>
              <w:rPr>
                <w:sz w:val="23"/>
                <w:szCs w:val="23"/>
                <w:color w:val="auto"/>
              </w:rPr>
            </w:pP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92,709</w:t>
            </w:r>
          </w:p>
        </w:tc>
        <w:tc>
          <w:tcPr>
            <w:tcW w:w="100" w:type="dxa"/>
            <w:vAlign w:val="bottom"/>
            <w:shd w:val="clear" w:color="auto" w:fill="CFF0FC"/>
          </w:tcPr>
          <w:p>
            <w:pPr>
              <w:spacing w:after="0"/>
              <w:rPr>
                <w:sz w:val="23"/>
                <w:szCs w:val="23"/>
                <w:color w:val="auto"/>
              </w:rPr>
            </w:pPr>
          </w:p>
        </w:tc>
      </w:tr>
      <w:tr>
        <w:trPr>
          <w:trHeight w:val="342"/>
        </w:trPr>
        <w:tc>
          <w:tcPr>
            <w:tcW w:w="3180" w:type="dxa"/>
            <w:vAlign w:val="bottom"/>
            <w:tcBorders>
              <w:top w:val="single" w:sz="8" w:color="CFF0FC"/>
            </w:tcBorders>
          </w:tcPr>
          <w:p>
            <w:pPr>
              <w:spacing w:after="0"/>
              <w:rPr>
                <w:sz w:val="24"/>
                <w:szCs w:val="24"/>
                <w:color w:val="auto"/>
              </w:rPr>
            </w:pPr>
          </w:p>
        </w:tc>
        <w:tc>
          <w:tcPr>
            <w:tcW w:w="2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CFF0FC"/>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40" w:type="dxa"/>
            <w:vAlign w:val="bottom"/>
            <w:tcBorders>
              <w:top w:val="single" w:sz="8" w:color="CFF0FC"/>
              <w:bottom w:val="single" w:sz="8" w:color="auto"/>
            </w:tcBorders>
            <w:gridSpan w:val="2"/>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0"/>
        </w:trPr>
        <w:tc>
          <w:tcPr>
            <w:tcW w:w="3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Unrealized Gain, Net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r>
      <w:tr>
        <w:trPr>
          <w:trHeight w:val="274"/>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117,480</w:t>
            </w:r>
          </w:p>
        </w:tc>
        <w:tc>
          <w:tcPr>
            <w:tcW w:w="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gridSpan w:val="2"/>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-607060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-589915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-607060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-589915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All available-for-sale securities held as of March 31, 2024 and December 31, 2023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reserve for excess and obsolete inventory</w:t>
            </w:r>
          </w:p>
        </w:tc>
        <w:tc>
          <w:tcPr>
            <w:tcW w:w="28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(585 )</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(496 )</w:t>
            </w:r>
          </w:p>
        </w:tc>
      </w:tr>
      <w:tr>
        <w:trPr>
          <w:trHeight w:val="236"/>
        </w:trPr>
        <w:tc>
          <w:tcPr>
            <w:tcW w:w="20" w:type="dxa"/>
            <w:vAlign w:val="bottom"/>
          </w:tcPr>
          <w:p>
            <w:pPr>
              <w:spacing w:after="0"/>
              <w:rPr>
                <w:sz w:val="20"/>
                <w:szCs w:val="20"/>
                <w:color w:val="auto"/>
              </w:rPr>
            </w:pPr>
          </w:p>
        </w:tc>
        <w:tc>
          <w:tcPr>
            <w:tcW w:w="66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6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2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-504825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-504825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-187960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At March 31, 2024 and December 31, 2023, finished goods included $4.9 million and $4.4 million of inventory held on consignment at customer sites,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121"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securities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6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92,709</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92,709</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7"/>
        </w:trPr>
        <w:tc>
          <w:tcPr>
            <w:tcW w:w="4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6"/>
        </w:trPr>
        <w:tc>
          <w:tcPr>
            <w:tcW w:w="4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-1309370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-1309370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000" w:type="dxa"/>
            <w:vAlign w:val="bottom"/>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securities</w:t>
            </w: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Pr>
          <w:p>
            <w:pPr>
              <w:spacing w:after="0"/>
              <w:rPr>
                <w:sz w:val="20"/>
                <w:szCs w:val="20"/>
                <w:color w:val="auto"/>
              </w:rPr>
            </w:pPr>
          </w:p>
        </w:tc>
      </w:tr>
      <w:tr>
        <w:trPr>
          <w:trHeight w:val="247"/>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5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121,965</w:t>
            </w:r>
          </w:p>
        </w:tc>
        <w:tc>
          <w:tcPr>
            <w:tcW w:w="10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-187960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 Expense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three equity incentive compensation plans: the 2006 Plan, the 2015 Plan and the 2021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2006 Plan</w:t>
      </w:r>
    </w:p>
    <w:p>
      <w:pPr>
        <w:spacing w:after="0" w:line="121" w:lineRule="exact"/>
        <w:rPr>
          <w:sz w:val="20"/>
          <w:szCs w:val="20"/>
          <w:color w:val="auto"/>
        </w:rPr>
      </w:pPr>
    </w:p>
    <w:p>
      <w:pPr>
        <w:jc w:val="both"/>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Plan</w:t>
      </w:r>
    </w:p>
    <w:p>
      <w:pPr>
        <w:spacing w:after="0" w:line="121" w:lineRule="exact"/>
        <w:rPr>
          <w:sz w:val="20"/>
          <w:szCs w:val="20"/>
          <w:color w:val="auto"/>
        </w:rPr>
      </w:pPr>
    </w:p>
    <w:p>
      <w:pPr>
        <w:jc w:val="both"/>
        <w:ind w:right="300" w:firstLine="374"/>
        <w:spacing w:after="0" w:line="265" w:lineRule="auto"/>
        <w:rPr>
          <w:sz w:val="20"/>
          <w:szCs w:val="20"/>
          <w:color w:val="auto"/>
        </w:rPr>
      </w:pPr>
      <w:r>
        <w:rPr>
          <w:rFonts w:ascii="Times New Roman" w:cs="Times New Roman" w:eastAsia="Times New Roman" w:hAnsi="Times New Roman"/>
          <w:sz w:val="18"/>
          <w:szCs w:val="18"/>
          <w:color w:val="auto"/>
        </w:rPr>
        <w:t>The 2015 Plan was originally adopted by the Board and approved by the Company’s stockholders in 2015. In July 2021,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On July 28, 2021, the 2021 Plan was adopted and approved by the Board and stockholders prior to the IPO and became effective on the business day immediately prior to the effective date of the Company’s IPO registration statement.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 shares of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Evergreen provision</w:t>
      </w:r>
    </w:p>
    <w:p>
      <w:pPr>
        <w:spacing w:after="0" w:line="121"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7"/>
          <w:szCs w:val="17"/>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our common stock; (ii) 4% of the outstanding shares of our common stock on the last day of the immediately preceding fiscal year; or</w:t>
      </w:r>
    </w:p>
    <w:p>
      <w:pPr>
        <w:spacing w:after="0" w:line="1" w:lineRule="exact"/>
        <w:rPr>
          <w:sz w:val="20"/>
          <w:szCs w:val="20"/>
          <w:color w:val="auto"/>
        </w:rPr>
      </w:pPr>
    </w:p>
    <w:p>
      <w:pPr>
        <w:ind w:right="20" w:firstLine="8"/>
        <w:spacing w:after="0" w:line="253" w:lineRule="auto"/>
        <w:tabs>
          <w:tab w:leader="none" w:pos="3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lesser number of shares of our common stock as the administrator may determine. The 2021 Plan is administered by the Board. On January 1, 2024 and 2023, the number of shares available under the 2021 Plan increased by 1,445,580 and 1,130,735 shares of common stock, respectively pursuant to this feature. As of March 31, 2024, the number of shares of the Company’s common stock available for future issuance under the 2021 Plan was equal to 976,356 shares of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ESPP</w:t>
      </w:r>
    </w:p>
    <w:p>
      <w:pPr>
        <w:spacing w:after="0" w:line="121" w:lineRule="exact"/>
        <w:rPr>
          <w:sz w:val="20"/>
          <w:szCs w:val="20"/>
          <w:color w:val="auto"/>
        </w:rPr>
      </w:pPr>
    </w:p>
    <w:p>
      <w:pPr>
        <w:ind w:right="240" w:firstLine="374"/>
        <w:spacing w:after="0" w:line="281" w:lineRule="auto"/>
        <w:rPr>
          <w:sz w:val="20"/>
          <w:szCs w:val="20"/>
          <w:color w:val="auto"/>
        </w:rPr>
      </w:pPr>
      <w:r>
        <w:rPr>
          <w:rFonts w:ascii="Times New Roman" w:cs="Times New Roman" w:eastAsia="Times New Roman" w:hAnsi="Times New Roman"/>
          <w:sz w:val="18"/>
          <w:szCs w:val="18"/>
          <w:color w:val="auto"/>
        </w:rPr>
        <w:t>On July 28, 2021, the Board and stockholders adopted and approved the 2021 ESPP. As of March 31, 2024, the number of shares of the Company’s common stock available for future issuance under the 2021 ESPP was equal to 577,847 shares of common stock.</w:t>
      </w:r>
    </w:p>
    <w:p>
      <w:pPr>
        <w:spacing w:after="0" w:line="95"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The 2021 ESPP provides eligible employees of the Company and its subsidiaries with the opportunity to purchase shares of the Company’s common stock at a purchase price equal to 85% of the common stock’s fair</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8" w:name="page19"/>
    <w:bookmarkEnd w:id="18"/>
    <w:p>
      <w:pPr>
        <w:spacing w:after="0" w:line="8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Evergreen provision</w:t>
      </w:r>
    </w:p>
    <w:p>
      <w:pPr>
        <w:spacing w:after="0" w:line="148"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The number of common shares reserved for issuance under the 2021 ESPP will be increased automatically on the first day of each fiscal year beginning with the 2022 fiscal year, by a number equal to the least of: (i) 1,452,081 shares; (ii) 1% of the outstanding shares of our common stock on the last day of the immediately preceding fiscal year; or (iii) such other amount as the administrator may determine. The 2021 ESPP is administered by the Board. No additional shares were reserved for issuance on January 1, 2024 and 2023 pursuant to this feature.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110"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stock option activities related to the Equity Plans for the three months ended March 31, 2024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Avg</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5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80" w:type="dxa"/>
            <w:vAlign w:val="bottom"/>
            <w:vMerge w:val="restart"/>
          </w:tcPr>
          <w:p>
            <w:pPr>
              <w:spacing w:after="0"/>
              <w:rPr>
                <w:sz w:val="12"/>
                <w:szCs w:val="12"/>
                <w:color w:val="auto"/>
              </w:rPr>
            </w:pPr>
          </w:p>
        </w:tc>
        <w:tc>
          <w:tcPr>
            <w:tcW w:w="1040" w:type="dxa"/>
            <w:vAlign w:val="bottom"/>
          </w:tcPr>
          <w:p>
            <w:pPr>
              <w:jc w:val="center"/>
              <w:ind w:left="32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87"/>
        </w:trPr>
        <w:tc>
          <w:tcPr>
            <w:tcW w:w="60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6,777,404</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787,102</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(941,617 )</w:t>
            </w:r>
          </w:p>
        </w:tc>
        <w:tc>
          <w:tcPr>
            <w:tcW w:w="10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(56,806 )</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Expired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(9,680 )</w:t>
            </w:r>
          </w:p>
        </w:tc>
        <w:tc>
          <w:tcPr>
            <w:tcW w:w="10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Options outstanding as of March 31, 2024</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6,556,403</w:t>
            </w:r>
          </w:p>
        </w:tc>
        <w:tc>
          <w:tcPr>
            <w:tcW w:w="28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8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as of March 31, 2024</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3,615,132</w:t>
            </w: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-333375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As of March 31, 2024, and December 31, 2023 the intrinsic value of options vested was $142.3 million and $121.3 million, respectively, and of all options outstanding was $220.4 million and $185.0 million, respectively. During the three months ended March 31, 2024 and 2023, the total cash received from the exercise of stock options was $10.2 million and $0.8 million, respectively. The total fair value less strike price of these options was $34.7 million and $1.7 million, respectively.</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non-vested restricted stock unit activities for the three months ended March 31, 2024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43"/>
        </w:trPr>
        <w:tc>
          <w:tcPr>
            <w:tcW w:w="7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43"/>
        </w:trPr>
        <w:tc>
          <w:tcPr>
            <w:tcW w:w="7220" w:type="dxa"/>
            <w:vAlign w:val="bottom"/>
          </w:tcPr>
          <w:p>
            <w:pPr>
              <w:spacing w:after="0"/>
              <w:rPr>
                <w:sz w:val="21"/>
                <w:szCs w:val="21"/>
                <w:color w:val="auto"/>
              </w:rPr>
            </w:pPr>
          </w:p>
        </w:tc>
        <w:tc>
          <w:tcPr>
            <w:tcW w:w="126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28"/>
        </w:trPr>
        <w:tc>
          <w:tcPr>
            <w:tcW w:w="7220" w:type="dxa"/>
            <w:vAlign w:val="bottom"/>
          </w:tcPr>
          <w:p>
            <w:pPr>
              <w:spacing w:after="0"/>
              <w:rPr>
                <w:sz w:val="19"/>
                <w:szCs w:val="19"/>
                <w:color w:val="auto"/>
              </w:rPr>
            </w:pPr>
          </w:p>
        </w:tc>
        <w:tc>
          <w:tcPr>
            <w:tcW w:w="126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72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8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650,357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shd w:val="clear" w:color="auto" w:fill="CFF0FC"/>
          </w:tcPr>
          <w:p>
            <w:pPr>
              <w:spacing w:after="0"/>
              <w:rPr>
                <w:sz w:val="19"/>
                <w:szCs w:val="19"/>
                <w:color w:val="auto"/>
              </w:rPr>
            </w:pPr>
          </w:p>
        </w:tc>
      </w:tr>
      <w:tr>
        <w:trPr>
          <w:trHeight w:val="22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162,799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100" w:type="dxa"/>
            <w:vAlign w:val="bottom"/>
          </w:tcPr>
          <w:p>
            <w:pPr>
              <w:spacing w:after="0"/>
              <w:rPr>
                <w:sz w:val="19"/>
                <w:szCs w:val="19"/>
                <w:color w:val="auto"/>
              </w:rPr>
            </w:pPr>
          </w:p>
        </w:tc>
      </w:tr>
      <w:tr>
        <w:trPr>
          <w:trHeight w:val="239"/>
        </w:trPr>
        <w:tc>
          <w:tcPr>
            <w:tcW w:w="8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5"/>
              </w:rPr>
              <w:t>(119,719 )</w:t>
            </w:r>
          </w:p>
        </w:tc>
        <w:tc>
          <w:tcPr>
            <w:tcW w:w="3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FF0FC"/>
          </w:tcPr>
          <w:p>
            <w:pPr>
              <w:spacing w:after="0"/>
              <w:rPr>
                <w:sz w:val="20"/>
                <w:szCs w:val="20"/>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(16,485 )</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9"/>
                <w:szCs w:val="19"/>
                <w:color w:val="auto"/>
              </w:rPr>
            </w:pPr>
          </w:p>
        </w:tc>
      </w:tr>
      <w:tr>
        <w:trPr>
          <w:trHeight w:val="266"/>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March 31, 2024</w:t>
            </w:r>
          </w:p>
        </w:tc>
        <w:tc>
          <w:tcPr>
            <w:tcW w:w="1260" w:type="dxa"/>
            <w:vAlign w:val="bottom"/>
            <w:tcBorders>
              <w:top w:val="single" w:sz="8" w:color="auto"/>
              <w:bottom w:val="single" w:sz="8" w:color="auto"/>
            </w:tcBorders>
            <w:shd w:val="clear" w:color="auto" w:fill="CFF0FC"/>
          </w:tcPr>
          <w:p>
            <w:pPr>
              <w:spacing w:after="0"/>
              <w:rPr>
                <w:sz w:val="23"/>
                <w:szCs w:val="2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676,952</w:t>
            </w:r>
          </w:p>
        </w:tc>
        <w:tc>
          <w:tcPr>
            <w:tcW w:w="3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Stock-based compensation expense was classified in the accompanying condensed consolidated statements of operations and comprehensive income (loss)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20"/>
                <w:szCs w:val="20"/>
                <w:color w:val="auto"/>
              </w:rPr>
            </w:pPr>
          </w:p>
        </w:tc>
      </w:tr>
      <w:tr>
        <w:trPr>
          <w:trHeight w:val="23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20"/>
                <w:szCs w:val="20"/>
                <w:color w:val="auto"/>
              </w:rPr>
            </w:pPr>
          </w:p>
        </w:tc>
      </w:tr>
      <w:tr>
        <w:trPr>
          <w:trHeight w:val="247"/>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Borders>
              <w:bottom w:val="single" w:sz="8" w:color="auto"/>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28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-187960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As of March 31, 2024 and December 31, 2023, there were 2,941,271 and 2,539,445 unvested options, respectively. As of March 31, 2024 and December 31, 2023, total unrecognized expense related to unvested stock options was approximately $47.9 million and $22.7 million, respectively. Both amounts are expected to be recognized over a weighted average period of approximately 2.7 and 2.4 years, respectively.</w:t>
      </w:r>
    </w:p>
    <w:p>
      <w:pPr>
        <w:spacing w:after="0" w:line="110"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As of March 31, 2024, and December 31, 2023, total unrecognized expense related to non-vested restricted stock units was approximately $15.9 million and $8.3 million, respectively. The unrecognized compensation cost is expected to be recognized over a weighted average period of 2.5 years and 2.3 years, respectively.</w:t>
      </w:r>
    </w:p>
    <w:p>
      <w:pPr>
        <w:spacing w:after="0" w:line="110"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range and weighted-average assumptions, used in the Black-Scholes option pricing model to determine the fair value of stock options: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r>
      <w:tr>
        <w:trPr>
          <w:trHeight w:val="169"/>
        </w:trPr>
        <w:tc>
          <w:tcPr>
            <w:tcW w:w="2780" w:type="dxa"/>
            <w:vAlign w:val="bottom"/>
          </w:tcPr>
          <w:p>
            <w:pPr>
              <w:spacing w:after="0"/>
              <w:rPr>
                <w:sz w:val="14"/>
                <w:szCs w:val="14"/>
                <w:color w:val="auto"/>
              </w:rPr>
            </w:pPr>
          </w:p>
        </w:tc>
        <w:tc>
          <w:tcPr>
            <w:tcW w:w="24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7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278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8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70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Range</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3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70.7% to 72.3%</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71.0%</w:t>
            </w:r>
          </w:p>
        </w:tc>
        <w:tc>
          <w:tcPr>
            <w:tcW w:w="160" w:type="dxa"/>
            <w:vAlign w:val="bottom"/>
            <w:shd w:val="clear" w:color="auto" w:fill="CFF0FC"/>
          </w:tcPr>
          <w:p>
            <w:pPr>
              <w:spacing w:after="0"/>
              <w:rPr>
                <w:sz w:val="20"/>
                <w:szCs w:val="20"/>
                <w:color w:val="auto"/>
              </w:rPr>
            </w:pPr>
          </w:p>
        </w:tc>
        <w:tc>
          <w:tcPr>
            <w:tcW w:w="170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9"/>
              </w:rPr>
              <w:t>64.9% to 65.2%</w:t>
            </w:r>
          </w:p>
        </w:tc>
        <w:tc>
          <w:tcPr>
            <w:tcW w:w="2260" w:type="dxa"/>
            <w:vAlign w:val="bottom"/>
            <w:gridSpan w:val="3"/>
            <w:shd w:val="clear" w:color="auto" w:fill="CFF0FC"/>
          </w:tcPr>
          <w:p>
            <w:pPr>
              <w:jc w:val="center"/>
              <w:ind w:left="274"/>
              <w:spacing w:after="0"/>
              <w:rPr>
                <w:sz w:val="20"/>
                <w:szCs w:val="20"/>
                <w:color w:val="auto"/>
              </w:rPr>
            </w:pPr>
            <w:r>
              <w:rPr>
                <w:rFonts w:ascii="Times New Roman" w:cs="Times New Roman" w:eastAsia="Times New Roman" w:hAnsi="Times New Roman"/>
                <w:sz w:val="18"/>
                <w:szCs w:val="18"/>
                <w:color w:val="auto"/>
                <w:w w:val="98"/>
              </w:rPr>
              <w:t>65.1%</w:t>
            </w:r>
          </w:p>
        </w:tc>
      </w:tr>
      <w:tr>
        <w:trPr>
          <w:trHeight w:val="23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3.9% to 4.3%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17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7"/>
              </w:rPr>
              <w:t>3.4% to 4.2%</w:t>
            </w:r>
          </w:p>
        </w:tc>
        <w:tc>
          <w:tcPr>
            <w:tcW w:w="2260" w:type="dxa"/>
            <w:vAlign w:val="bottom"/>
            <w:gridSpan w:val="3"/>
          </w:tcPr>
          <w:p>
            <w:pPr>
              <w:jc w:val="center"/>
              <w:ind w:left="274"/>
              <w:spacing w:after="0"/>
              <w:rPr>
                <w:sz w:val="20"/>
                <w:szCs w:val="20"/>
                <w:color w:val="auto"/>
              </w:rPr>
            </w:pPr>
            <w:r>
              <w:rPr>
                <w:rFonts w:ascii="Times New Roman" w:cs="Times New Roman" w:eastAsia="Times New Roman" w:hAnsi="Times New Roman"/>
                <w:sz w:val="18"/>
                <w:szCs w:val="18"/>
                <w:color w:val="auto"/>
              </w:rPr>
              <w:t>4.1%</w:t>
            </w:r>
          </w:p>
        </w:tc>
      </w:tr>
      <w:tr>
        <w:trPr>
          <w:trHeight w:val="247"/>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6.0 years</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rPr>
              <w:t>6.0 to 10.0 years</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r>
      <w:tr>
        <w:trPr>
          <w:trHeight w:val="23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8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5"/>
              </w:rPr>
              <w:t>0.0%</w:t>
            </w:r>
          </w:p>
        </w:tc>
        <w:tc>
          <w:tcPr>
            <w:tcW w:w="2260" w:type="dxa"/>
            <w:vAlign w:val="bottom"/>
            <w:gridSpan w:val="3"/>
          </w:tcPr>
          <w:p>
            <w:pPr>
              <w:jc w:val="center"/>
              <w:ind w:left="274"/>
              <w:spacing w:after="0"/>
              <w:rPr>
                <w:sz w:val="20"/>
                <w:szCs w:val="20"/>
                <w:color w:val="auto"/>
              </w:rPr>
            </w:pPr>
            <w:r>
              <w:rPr>
                <w:rFonts w:ascii="Times New Roman" w:cs="Times New Roman" w:eastAsia="Times New Roman" w:hAnsi="Times New Roman"/>
                <w:sz w:val="18"/>
                <w:szCs w:val="18"/>
                <w:color w:val="auto"/>
              </w:rPr>
              <w:t>0.0%</w:t>
            </w:r>
          </w:p>
        </w:tc>
      </w:tr>
      <w:tr>
        <w:trPr>
          <w:trHeight w:val="247"/>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244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$36.89 to $56.07</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$55.89</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8"/>
              </w:rPr>
              <w:t>$12.91 to $16.68</w:t>
            </w:r>
          </w:p>
        </w:tc>
        <w:tc>
          <w:tcPr>
            <w:tcW w:w="2260" w:type="dxa"/>
            <w:vAlign w:val="bottom"/>
            <w:gridSpan w:val="3"/>
            <w:shd w:val="clear" w:color="auto" w:fill="CFF0FC"/>
          </w:tcPr>
          <w:p>
            <w:pPr>
              <w:jc w:val="center"/>
              <w:ind w:left="274"/>
              <w:spacing w:after="0"/>
              <w:rPr>
                <w:sz w:val="20"/>
                <w:szCs w:val="20"/>
                <w:color w:val="auto"/>
              </w:rPr>
            </w:pPr>
            <w:r>
              <w:rPr>
                <w:rFonts w:ascii="Times New Roman" w:cs="Times New Roman" w:eastAsia="Times New Roman" w:hAnsi="Times New Roman"/>
                <w:sz w:val="18"/>
                <w:szCs w:val="18"/>
                <w:color w:val="auto"/>
              </w:rPr>
              <w:t>$14.86</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share of common stock is entitled to one vote. Common stock reserved for future issuance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60" w:type="dxa"/>
            <w:vAlign w:val="bottom"/>
          </w:tcPr>
          <w:p>
            <w:pPr>
              <w:spacing w:after="0"/>
              <w:rPr>
                <w:sz w:val="21"/>
                <w:szCs w:val="21"/>
                <w:color w:val="auto"/>
              </w:rPr>
            </w:pP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 under the Equity Plans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6,556,403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6,777,404</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the 2021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976,356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358,610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under the 2021 Plan</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676,952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650,357</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2021 ESPP</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577,847</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577,847</w:t>
            </w:r>
          </w:p>
        </w:tc>
        <w:tc>
          <w:tcPr>
            <w:tcW w:w="100" w:type="dxa"/>
            <w:vAlign w:val="bottom"/>
          </w:tcPr>
          <w:p>
            <w:pPr>
              <w:spacing w:after="0"/>
              <w:rPr>
                <w:sz w:val="21"/>
                <w:szCs w:val="21"/>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8,787,558</w:t>
            </w:r>
          </w:p>
        </w:tc>
        <w:tc>
          <w:tcPr>
            <w:tcW w:w="22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8,364,218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21"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spacing w:after="0" w:line="110"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As of March 31, 2024 the Company held four leases for office, manufacturing and warehouse facilities in Aliso Viejo, California. The four leases are for approximately 137,000 square feet in the aggregate. For one such operating lease, the lessor provided $900,000 in tenant allowances.</w:t>
      </w:r>
    </w:p>
    <w:p>
      <w:pPr>
        <w:spacing w:after="0" w:line="8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On April 4, 2022, the Company entered into a thirty-four-month sublease agreement for a portion of the 5 Columbia Building, in Aliso Viejo, CA. The sublease commencement date was June 13, 2022 and will expire on March 31, 2025. The base rent receivable is $11,410 per month. On January 4, 2023 the Company entered into a second amendment to the sublease agreement adjusting the base rent receivable to $5,319 per month.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lease and lease amendments</w:t>
      </w:r>
    </w:p>
    <w:p>
      <w:pPr>
        <w:spacing w:after="0" w:line="119" w:lineRule="exact"/>
        <w:rPr>
          <w:sz w:val="20"/>
          <w:szCs w:val="20"/>
          <w:color w:val="auto"/>
        </w:rPr>
      </w:pPr>
    </w:p>
    <w:p>
      <w:pPr>
        <w:ind w:right="40" w:firstLine="374"/>
        <w:spacing w:after="0" w:line="312" w:lineRule="auto"/>
        <w:rPr>
          <w:sz w:val="20"/>
          <w:szCs w:val="20"/>
          <w:color w:val="auto"/>
        </w:rPr>
      </w:pPr>
      <w:r>
        <w:rPr>
          <w:rFonts w:ascii="Times New Roman" w:cs="Times New Roman" w:eastAsia="Times New Roman" w:hAnsi="Times New Roman"/>
          <w:sz w:val="17"/>
          <w:szCs w:val="17"/>
          <w:color w:val="auto"/>
        </w:rPr>
        <w:t>On April 18, 2024, the Company entered into a new lease, and amendments to two existing leases, for three of its facilities comprising the Company’s headquarters, manufacturing, research and development and administrative offices in Aliso Viejo, California, as described in further detail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 Columbia</w:t>
      </w:r>
    </w:p>
    <w:p>
      <w:pPr>
        <w:spacing w:after="0" w:line="119"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On April 18, 2024, the Company entered into a Standard Industrial/Commercial Single-Tenant Lease – Net (the “125 Columbia Lease”) with BML Management, LLC, for an approximately 26,825 square foot industrial and research and development facility in Aliso Viejo, California. The 125 Columbia Lease commences on June 1, 2024 and will end on January 31, 2031. The Company has two options to extend the term of the 125 Columbia Lease, with each option to extend being for a term of 60 months, commencing when the prior term expires. The base rent is initially $41,579 per month, payable on the first day of each month commencing on June 1, 2024, subject to adjustment as set forth in the 125 Columbia Lease.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Columbia</w:t>
      </w:r>
    </w:p>
    <w:p>
      <w:pPr>
        <w:spacing w:after="0" w:line="11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On April 18, 2024, the Company entered into Lease Amendment #2 to that certain Lease Agreement dated January 10, 2018, as amended on April 5, 2022, with Clifford D. Downs, for the property located at 5 Columbia in Aliso Viejo, California (the “5 Columbia Amendment”). Pursuant to the 5 Columbia Amendment, the term of the lease was extended 70 months, beginning on April 1, 2025 and ending on January 31, 2031. The parties agreed to the base rent rate payable over the 70 month term as set forth in the 5 Columbia Amendment. The base rent is initially $30,701 per month and includes fixed rent escalations beginning on April 1, 2027. The Company has two options to extend the term of the lease, with each option to extend being for a term of 60 months, commencing when the prior term expires.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100 Columbia</w:t>
      </w:r>
    </w:p>
    <w:p>
      <w:pPr>
        <w:spacing w:after="0" w:line="11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On April 18, 2024, the Company entered into a Fifth Amendment to that certain Commercial Lease Agreement, dated August 31, 2015, as amended November 23, 2015, December 22, 2015, January 18, 2016, and November 12, 2016, with Accuride International Inc., for the property located at 100 Columbia in Aliso Viejo, California (the “100 Columbia Amendment”). Pursuant to the 100 Columbia Amendment, the term of the lease was extended 76 months, beginning on October 1, 2024 and ending on January 31, 2031. The parties agreed to the base rent rate payable over the 76-month term as set forth in the 100 Columbia Amendment. The base rent is initially $64,843 per month and includes fixed rent escalations beginning on October 1, 2025. The Company has two options to extend the term of the lease at the end of the current term, with each option to extend being for a 5 year term.</w:t>
      </w:r>
    </w:p>
    <w:p>
      <w:pPr>
        <w:spacing w:after="0" w:line="78"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Under these lease agreements, the Company is required to pay approximately $10.8 million in future minimum lease payments of which $0.2 million will be paid in 2024, $1.4 million will be paid in 2025, $1.6 million will be paid in 2026, $1.8 million will be paid in both 2027 and 2028, and $4.0 million will be paid thereafter.</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84"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lease balances within the Condensed Consolidated Balance Sheets as of March 31, 2024 and December 31, 2023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3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shd w:val="clear" w:color="auto" w:fill="CFF0FC"/>
          </w:tcPr>
          <w:p>
            <w:pPr>
              <w:spacing w:after="0"/>
              <w:rPr>
                <w:sz w:val="21"/>
                <w:szCs w:val="2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FF0FC"/>
          </w:tcPr>
          <w:p>
            <w:pPr>
              <w:spacing w:after="0"/>
              <w:rPr>
                <w:sz w:val="21"/>
                <w:szCs w:val="2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r>
      <w:tr>
        <w:trPr>
          <w:trHeight w:val="276"/>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180" w:type="dxa"/>
            <w:vAlign w:val="bottom"/>
            <w:tcBorders>
              <w:bottom w:val="single" w:sz="8" w:color="CFF0FC"/>
            </w:tcBorders>
            <w:shd w:val="clear" w:color="auto" w:fill="CFF0FC"/>
          </w:tcPr>
          <w:p>
            <w:pPr>
              <w:spacing w:after="0"/>
              <w:rPr>
                <w:sz w:val="24"/>
                <w:szCs w:val="24"/>
                <w:color w:val="auto"/>
              </w:rPr>
            </w:pPr>
          </w:p>
        </w:tc>
        <w:tc>
          <w:tcPr>
            <w:tcW w:w="40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spacing w:after="0"/>
              <w:rPr>
                <w:sz w:val="21"/>
                <w:szCs w:val="21"/>
                <w:color w:val="auto"/>
              </w:rPr>
            </w:pPr>
          </w:p>
        </w:tc>
        <w:tc>
          <w:tcPr>
            <w:tcW w:w="4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shd w:val="clear" w:color="auto" w:fill="CFF0FC"/>
          </w:tcPr>
          <w:p>
            <w:pPr>
              <w:spacing w:after="0"/>
              <w:rPr>
                <w:sz w:val="21"/>
                <w:szCs w:val="2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shd w:val="clear" w:color="auto" w:fill="CFF0FC"/>
          </w:tcPr>
          <w:p>
            <w:pPr>
              <w:spacing w:after="0"/>
              <w:rPr>
                <w:sz w:val="21"/>
                <w:szCs w:val="2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21"/>
                <w:szCs w:val="21"/>
                <w:color w:val="auto"/>
              </w:rPr>
            </w:pPr>
          </w:p>
        </w:tc>
      </w:tr>
      <w:tr>
        <w:trPr>
          <w:trHeight w:val="243"/>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r>
      <w:tr>
        <w:trPr>
          <w:trHeight w:val="276"/>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CFF0FC"/>
            </w:tcBorders>
            <w:shd w:val="clear" w:color="auto" w:fill="CFF0FC"/>
          </w:tcPr>
          <w:p>
            <w:pPr>
              <w:spacing w:after="0"/>
              <w:rPr>
                <w:sz w:val="24"/>
                <w:szCs w:val="24"/>
                <w:color w:val="auto"/>
              </w:rPr>
            </w:pPr>
          </w:p>
        </w:tc>
        <w:tc>
          <w:tcPr>
            <w:tcW w:w="40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-1292225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-1275080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components of operating and finance lease expenses were as follows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0" w:type="dxa"/>
            <w:vAlign w:val="bottom"/>
          </w:tcPr>
          <w:p>
            <w:pPr>
              <w:spacing w:after="0"/>
              <w:rPr>
                <w:sz w:val="20"/>
                <w:szCs w:val="20"/>
                <w:color w:val="auto"/>
              </w:rPr>
            </w:pP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3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Pr>
          <w:p>
            <w:pPr>
              <w:spacing w:after="0"/>
              <w:rPr>
                <w:sz w:val="20"/>
                <w:szCs w:val="20"/>
                <w:color w:val="auto"/>
              </w:rPr>
            </w:pP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r>
      <w:tr>
        <w:trPr>
          <w:trHeight w:val="251"/>
        </w:trPr>
        <w:tc>
          <w:tcPr>
            <w:tcW w:w="3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shd w:val="clear" w:color="auto" w:fill="CFF0FC"/>
          </w:tcPr>
          <w:p>
            <w:pPr>
              <w:spacing w:after="0"/>
              <w:rPr>
                <w:sz w:val="21"/>
                <w:szCs w:val="21"/>
                <w:color w:val="auto"/>
              </w:rPr>
            </w:pPr>
          </w:p>
        </w:tc>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1"/>
                <w:szCs w:val="2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51"/>
        </w:trPr>
        <w:tc>
          <w:tcPr>
            <w:tcW w:w="3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shd w:val="clear" w:color="auto" w:fill="CFF0FC"/>
          </w:tcPr>
          <w:p>
            <w:pPr>
              <w:spacing w:after="0"/>
              <w:rPr>
                <w:sz w:val="21"/>
                <w:szCs w:val="21"/>
                <w:color w:val="auto"/>
              </w:rPr>
            </w:pPr>
          </w:p>
        </w:tc>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Maturities of the Company’s operating and finance lease liabilities as of March 31, 2024 were as follows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5"/>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8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5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1"/>
                <w:szCs w:val="21"/>
                <w:color w:val="auto"/>
              </w:rPr>
            </w:pPr>
          </w:p>
        </w:tc>
      </w:tr>
      <w:tr>
        <w:trPr>
          <w:trHeight w:val="243"/>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2024 (remainder)</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20"/>
                <w:szCs w:val="20"/>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(209 )</w:t>
            </w:r>
          </w:p>
        </w:tc>
        <w:tc>
          <w:tcPr>
            <w:tcW w:w="28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r>
      <w:tr>
        <w:trPr>
          <w:trHeight w:val="27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7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776"/>
        </w:trPr>
        <w:tc>
          <w:tcPr>
            <w:tcW w:w="7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-1069975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-1052830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00"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used to determine lease liabilities related to the Company’s operating and finance leases as of March 31, 2024 and December 31, 2023 were: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0" w:type="dxa"/>
            <w:vAlign w:val="bottom"/>
            <w:shd w:val="clear" w:color="auto" w:fill="CFF0FC"/>
          </w:tcPr>
          <w:p>
            <w:pPr>
              <w:spacing w:after="0"/>
              <w:rPr>
                <w:sz w:val="21"/>
                <w:szCs w:val="21"/>
                <w:color w:val="auto"/>
              </w:rPr>
            </w:pPr>
          </w:p>
        </w:tc>
        <w:tc>
          <w:tcPr>
            <w:tcW w:w="168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3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1.51</w:t>
            </w:r>
          </w:p>
        </w:tc>
        <w:tc>
          <w:tcPr>
            <w:tcW w:w="240" w:type="dxa"/>
            <w:vAlign w:val="bottom"/>
          </w:tcPr>
          <w:p>
            <w:pPr>
              <w:spacing w:after="0"/>
              <w:rPr>
                <w:sz w:val="20"/>
                <w:szCs w:val="20"/>
                <w:color w:val="auto"/>
              </w:rPr>
            </w:pPr>
          </w:p>
        </w:tc>
        <w:tc>
          <w:tcPr>
            <w:tcW w:w="23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5"/>
              </w:rPr>
              <w:t>4.60</w:t>
            </w:r>
          </w:p>
        </w:tc>
        <w:tc>
          <w:tcPr>
            <w:tcW w:w="240" w:type="dxa"/>
            <w:vAlign w:val="bottom"/>
            <w:shd w:val="clear" w:color="auto" w:fill="CFF0FC"/>
          </w:tcPr>
          <w:p>
            <w:pPr>
              <w:spacing w:after="0"/>
              <w:rPr>
                <w:sz w:val="21"/>
                <w:szCs w:val="21"/>
                <w:color w:val="auto"/>
              </w:rPr>
            </w:pPr>
          </w:p>
        </w:tc>
        <w:tc>
          <w:tcPr>
            <w:tcW w:w="2360" w:type="dxa"/>
            <w:vAlign w:val="bottom"/>
            <w:shd w:val="clear" w:color="auto" w:fill="CFF0FC"/>
          </w:tcPr>
          <w:p>
            <w:pPr>
              <w:ind w:left="20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10.4 %</w:t>
            </w:r>
          </w:p>
        </w:tc>
        <w:tc>
          <w:tcPr>
            <w:tcW w:w="25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w w:val="94"/>
              </w:rPr>
              <w:t>10.4 %</w:t>
            </w:r>
          </w:p>
        </w:tc>
      </w:tr>
      <w:tr>
        <w:trPr>
          <w:trHeight w:val="243"/>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14.4 %</w:t>
            </w:r>
          </w:p>
        </w:tc>
        <w:tc>
          <w:tcPr>
            <w:tcW w:w="25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w w:val="94"/>
              </w:rPr>
              <w:t>14.0 %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of credit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a standby letter of credit, expiring September 30, 2024, issued by a financial institution as required security for one operating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 of the letter of credit was $0.2 million as of March 31, 2024 and December 31,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March 31, 2024 and December 31, 2023,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2023, included in our Annual Report on Form 10-K filed with the U.S. Securities and Exchange Commission on February 28, 2024.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 and elsewhere in, this report. See “Special Note Regarding Forward-Looking Statements.”</w:t>
      </w:r>
    </w:p>
    <w:p>
      <w:pPr>
        <w:spacing w:after="0" w:line="81" w:lineRule="exact"/>
        <w:rPr>
          <w:sz w:val="20"/>
          <w:szCs w:val="20"/>
          <w:color w:val="auto"/>
        </w:rPr>
      </w:pPr>
    </w:p>
    <w:p>
      <w:pPr>
        <w:jc w:val="both"/>
        <w:ind w:right="80" w:firstLine="374"/>
        <w:spacing w:after="0" w:line="260" w:lineRule="auto"/>
        <w:rPr>
          <w:sz w:val="20"/>
          <w:szCs w:val="20"/>
          <w:color w:val="auto"/>
        </w:rPr>
      </w:pPr>
      <w:r>
        <w:rPr>
          <w:rFonts w:ascii="Times New Roman" w:cs="Times New Roman" w:eastAsia="Times New Roman" w:hAnsi="Times New Roman"/>
          <w:sz w:val="18"/>
          <w:szCs w:val="18"/>
          <w:color w:val="auto"/>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and “LAL+™”), collectively the (“LAL”), RxSight Light Delivery Device (“LDD”™) and</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3" w:name="page24"/>
    <w:bookmarkEnd w:id="23"/>
    <w:p>
      <w:pPr>
        <w:spacing w:after="0" w:line="8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accessories. Our LAL is a premium intraocular lens (“IOL”) made of proprietary photosensitive material that changes shape in response to specific patterns of ultraviolet (“UV”) light generated by our LDD.</w:t>
      </w:r>
    </w:p>
    <w:p>
      <w:pPr>
        <w:spacing w:after="0" w:line="5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spacing w:after="0" w:line="7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p>
    <w:p>
      <w:pPr>
        <w:spacing w:after="0" w:line="74"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We compete primarily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Mexico and Canada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opportunities. New approvals may also be sought in large foreign cataract markets with more complex regulatory processes such as Asia and Europe.</w:t>
      </w:r>
    </w:p>
    <w:p>
      <w:pPr>
        <w:spacing w:after="0" w:line="79"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We are a Delaware corporation headquartered in Aliso Viejo, California with one wholly owned subsidiary located in Amsterdam, Netherlands. The wholly owned subsidiary has a registered branch in the United Kingdom and a wholly owned subsidiary located in Germany.</w:t>
      </w:r>
    </w:p>
    <w:p>
      <w:pPr>
        <w:spacing w:after="0" w:line="55" w:lineRule="exact"/>
        <w:rPr>
          <w:sz w:val="20"/>
          <w:szCs w:val="20"/>
          <w:color w:val="auto"/>
        </w:rPr>
      </w:pPr>
    </w:p>
    <w:p>
      <w:pPr>
        <w:ind w:firstLine="374"/>
        <w:spacing w:after="0" w:line="276" w:lineRule="auto"/>
        <w:rPr>
          <w:sz w:val="20"/>
          <w:szCs w:val="20"/>
          <w:color w:val="auto"/>
        </w:rPr>
      </w:pPr>
      <w:r>
        <w:rPr>
          <w:rFonts w:ascii="Times New Roman" w:cs="Times New Roman" w:eastAsia="Times New Roman" w:hAnsi="Times New Roman"/>
          <w:sz w:val="17"/>
          <w:szCs w:val="17"/>
          <w:color w:val="auto"/>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4,000 U.S. cataract surgeons that perform 70%-80% of all premium IOL procedures. As of March 31, 2024, we had established an installed base of 732 LDDs in ophthalmology practices and, since our inception through March 31, 2024, surgeons have implanted over 117,000 LALs.</w:t>
      </w:r>
    </w:p>
    <w:p>
      <w:pPr>
        <w:spacing w:after="0" w:line="63"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p>
    <w:p>
      <w:pPr>
        <w:spacing w:after="0" w:line="7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84"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have incurred and expect to continue to incur increased costs for employee-related expenses, director and officer insurance premiums, audit fees (including costs for compliance with Section 404(b) of the Sarbanes-Oxley Act), legal fees, investor relations fees and fees to members of our board of directors and expenses for compliance with public-company reporting requirements. Because of these and other factors, we expect to continue to incur net losses and negative cash flows from operations in the near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right="80" w:firstLine="374"/>
        <w:spacing w:after="0" w:line="280" w:lineRule="auto"/>
        <w:rPr>
          <w:sz w:val="20"/>
          <w:szCs w:val="20"/>
          <w:color w:val="auto"/>
        </w:rPr>
      </w:pPr>
      <w:r>
        <w:rPr>
          <w:rFonts w:ascii="Times New Roman" w:cs="Times New Roman" w:eastAsia="Times New Roman" w:hAnsi="Times New Roman"/>
          <w:sz w:val="17"/>
          <w:szCs w:val="17"/>
          <w:color w:val="auto"/>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w:t>
      </w:r>
    </w:p>
    <w:p>
      <w:pPr>
        <w:spacing w:after="0" w:line="59"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We believe the number of LDDs sold in each quarter and our LDD installed base at the end of each period are important metrics as they represent an installed base into which we can sell our LALs.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gridSpan w:val="2"/>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236"/>
        </w:trPr>
        <w:tc>
          <w:tcPr>
            <w:tcW w:w="40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Q1</w:t>
            </w:r>
          </w:p>
        </w:tc>
        <w:tc>
          <w:tcPr>
            <w:tcW w:w="3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Q1</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Q2</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Q3</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Q4</w:t>
            </w:r>
          </w:p>
        </w:tc>
        <w:tc>
          <w:tcPr>
            <w:tcW w:w="320" w:type="dxa"/>
            <w:vAlign w:val="bottom"/>
          </w:tcPr>
          <w:p>
            <w:pPr>
              <w:spacing w:after="0"/>
              <w:rPr>
                <w:sz w:val="20"/>
                <w:szCs w:val="20"/>
                <w:color w:val="auto"/>
              </w:rPr>
            </w:pPr>
          </w:p>
        </w:tc>
      </w:tr>
      <w:tr>
        <w:trPr>
          <w:trHeight w:val="236"/>
        </w:trPr>
        <w:tc>
          <w:tcPr>
            <w:tcW w:w="51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LDDs Sold</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FF0FC"/>
          </w:tcPr>
          <w:p>
            <w:pPr>
              <w:spacing w:after="0"/>
              <w:rPr>
                <w:sz w:val="20"/>
                <w:szCs w:val="20"/>
                <w:color w:val="auto"/>
              </w:rPr>
            </w:pPr>
          </w:p>
        </w:tc>
      </w:tr>
      <w:tr>
        <w:trPr>
          <w:trHeight w:val="238"/>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Installed Base at End of Period</w:t>
            </w: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5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20" w:type="dxa"/>
            <w:vAlign w:val="bottom"/>
          </w:tcPr>
          <w:p>
            <w:pPr>
              <w:spacing w:after="0"/>
              <w:rPr>
                <w:sz w:val="20"/>
                <w:szCs w:val="20"/>
                <w:color w:val="auto"/>
              </w:rPr>
            </w:pPr>
          </w:p>
        </w:tc>
      </w:tr>
    </w:tbl>
    <w:p>
      <w:pPr>
        <w:spacing w:after="0" w:line="90" w:lineRule="exact"/>
        <w:rPr>
          <w:sz w:val="20"/>
          <w:szCs w:val="20"/>
          <w:color w:val="auto"/>
        </w:rPr>
      </w:pPr>
    </w:p>
    <w:p>
      <w:pPr>
        <w:jc w:val="both"/>
        <w:ind w:right="160" w:firstLine="374"/>
        <w:spacing w:after="0" w:line="288" w:lineRule="auto"/>
        <w:rPr>
          <w:sz w:val="20"/>
          <w:szCs w:val="20"/>
          <w:color w:val="auto"/>
        </w:rPr>
      </w:pPr>
      <w:r>
        <w:rPr>
          <w:rFonts w:ascii="Times New Roman" w:cs="Times New Roman" w:eastAsia="Times New Roman" w:hAnsi="Times New Roman"/>
          <w:sz w:val="17"/>
          <w:szCs w:val="17"/>
          <w:color w:val="auto"/>
        </w:rPr>
        <w:t>We believe the number of LALs sold (reported as implanted in a patient) in each quarter is an important metric indicative of adoption and utilization of our RxSight system. During the quarter ended March 31, 2024, we had increased LDD sales of 10 and increased LAL sales of 9,695 when compared to the quarter ended March 31, 2023 from strong adoption of our RxSight system by practices and doctors combined with an increased LDD installed base.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4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Q1</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Q1</w:t>
            </w:r>
          </w:p>
        </w:tc>
        <w:tc>
          <w:tcPr>
            <w:tcW w:w="280" w:type="dxa"/>
            <w:vAlign w:val="bottom"/>
          </w:tcPr>
          <w:p>
            <w:pPr>
              <w:spacing w:after="0"/>
              <w:rPr>
                <w:sz w:val="14"/>
                <w:szCs w:val="14"/>
                <w:color w:val="auto"/>
              </w:rPr>
            </w:pPr>
          </w:p>
        </w:tc>
        <w:tc>
          <w:tcPr>
            <w:tcW w:w="12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Q2</w:t>
            </w: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Q3</w:t>
            </w:r>
          </w:p>
        </w:tc>
        <w:tc>
          <w:tcPr>
            <w:tcW w:w="260" w:type="dxa"/>
            <w:vAlign w:val="bottom"/>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Q4</w:t>
            </w:r>
          </w:p>
        </w:tc>
        <w:tc>
          <w:tcPr>
            <w:tcW w:w="320" w:type="dxa"/>
            <w:vAlign w:val="bottom"/>
          </w:tcPr>
          <w:p>
            <w:pPr>
              <w:spacing w:after="0"/>
              <w:rPr>
                <w:sz w:val="14"/>
                <w:szCs w:val="14"/>
                <w:color w:val="auto"/>
              </w:rPr>
            </w:pPr>
          </w:p>
        </w:tc>
      </w:tr>
      <w:tr>
        <w:trPr>
          <w:trHeight w:val="236"/>
        </w:trPr>
        <w:tc>
          <w:tcPr>
            <w:tcW w:w="4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LALs Sold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320" w:type="dxa"/>
            <w:vAlign w:val="bottom"/>
            <w:shd w:val="clear" w:color="auto" w:fill="CFF0FC"/>
          </w:tcPr>
          <w:p>
            <w:pPr>
              <w:spacing w:after="0"/>
              <w:rPr>
                <w:sz w:val="20"/>
                <w:szCs w:val="20"/>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74"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8"/>
          <w:szCs w:val="18"/>
          <w:color w:val="auto"/>
        </w:rPr>
        <w:t>LALs are held at customer sites on consignment. Revenue is recognized for LALs upon customer notification that the LALs have been implanted in a patient.</w:t>
      </w:r>
    </w:p>
    <w:p>
      <w:pPr>
        <w:spacing w:after="0" w:line="55"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2024 and 2023, revenue from contracts with customers consisted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7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 (including training)</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12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FF0FC"/>
          </w:tcPr>
          <w:p>
            <w:pPr>
              <w:spacing w:after="0"/>
              <w:rPr>
                <w:sz w:val="21"/>
                <w:szCs w:val="21"/>
                <w:color w:val="auto"/>
              </w:rPr>
            </w:pP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LAL</w:t>
            </w:r>
          </w:p>
        </w:tc>
        <w:tc>
          <w:tcPr>
            <w:tcW w:w="7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20"/>
                <w:szCs w:val="20"/>
                <w:color w:val="auto"/>
              </w:rPr>
            </w:pPr>
          </w:p>
        </w:tc>
      </w:tr>
      <w:tr>
        <w:trPr>
          <w:trHeight w:val="247"/>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warranty, service contracts, and accessories</w:t>
            </w:r>
          </w:p>
        </w:tc>
        <w:tc>
          <w:tcPr>
            <w:tcW w:w="700" w:type="dxa"/>
            <w:vAlign w:val="bottom"/>
            <w:tcBorders>
              <w:bottom w:val="single" w:sz="8" w:color="auto"/>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2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200" w:firstLine="374"/>
        <w:spacing w:after="0" w:line="398" w:lineRule="auto"/>
        <w:rPr>
          <w:sz w:val="20"/>
          <w:szCs w:val="20"/>
          <w:color w:val="auto"/>
        </w:rPr>
      </w:pPr>
      <w:r>
        <w:rPr>
          <w:rFonts w:ascii="Times New Roman" w:cs="Times New Roman" w:eastAsia="Times New Roman" w:hAnsi="Times New Roman"/>
          <w:sz w:val="18"/>
          <w:szCs w:val="18"/>
          <w:color w:val="auto"/>
        </w:rPr>
        <w:t xml:space="preserve">For the three months ended March 31, 2024 and 2023 we did not have any one customer who individually accounted for more than 10% of revenue. </w:t>
      </w:r>
      <w:r>
        <w:rPr>
          <w:rFonts w:ascii="Times New Roman" w:cs="Times New Roman" w:eastAsia="Times New Roman" w:hAnsi="Times New Roman"/>
          <w:sz w:val="18"/>
          <w:szCs w:val="18"/>
          <w:b w:val="1"/>
          <w:bCs w:val="1"/>
          <w:i w:val="1"/>
          <w:iCs w:val="1"/>
          <w:color w:val="auto"/>
        </w:rPr>
        <w:t>Cost of sales</w:t>
      </w:r>
    </w:p>
    <w:p>
      <w:pPr>
        <w:spacing w:after="0" w:line="1"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Cost of sales consist of materials, labor and manufacturing overhead internally to produce our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74" w:lineRule="exact"/>
        <w:rPr>
          <w:sz w:val="20"/>
          <w:szCs w:val="20"/>
          <w:color w:val="auto"/>
        </w:rPr>
      </w:pPr>
    </w:p>
    <w:p>
      <w:pPr>
        <w:ind w:right="260" w:firstLine="374"/>
        <w:spacing w:after="0" w:line="260" w:lineRule="auto"/>
        <w:rPr>
          <w:sz w:val="20"/>
          <w:szCs w:val="20"/>
          <w:color w:val="auto"/>
        </w:rPr>
      </w:pPr>
      <w:r>
        <w:rPr>
          <w:rFonts w:ascii="Times New Roman" w:cs="Times New Roman" w:eastAsia="Times New Roman" w:hAnsi="Times New Roman"/>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74"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Our LDD, as is typical of many medical device capital equipment products, has a low gross margin, as the material cost of the LDD is significant, representing greater than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700" w:firstLine="374"/>
        <w:spacing w:after="0" w:line="281" w:lineRule="auto"/>
        <w:rPr>
          <w:sz w:val="20"/>
          <w:szCs w:val="20"/>
          <w:color w:val="auto"/>
        </w:rPr>
      </w:pPr>
      <w:r>
        <w:rPr>
          <w:rFonts w:ascii="Times New Roman" w:cs="Times New Roman" w:eastAsia="Times New Roman" w:hAnsi="Times New Roman"/>
          <w:sz w:val="18"/>
          <w:szCs w:val="18"/>
          <w:color w:val="auto"/>
        </w:rPr>
        <w:t>Interest expense consist primarily of interest incurred on our outstanding indebtedness and non-cash interest related to the amortization of debt discount and issuance costs associated with our indebtedness and interest on leases.</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and other income, net consist primarily of interest income earned on our short-term investments and cash equivalents.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20" w:firstLine="374"/>
        <w:spacing w:after="0" w:line="265" w:lineRule="auto"/>
        <w:rPr>
          <w:sz w:val="20"/>
          <w:szCs w:val="20"/>
          <w:color w:val="auto"/>
        </w:rPr>
      </w:pPr>
      <w:r>
        <w:rPr>
          <w:rFonts w:ascii="Times New Roman" w:cs="Times New Roman" w:eastAsia="Times New Roman" w:hAnsi="Times New Roman"/>
          <w:sz w:val="18"/>
          <w:szCs w:val="18"/>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together with the dollar increase or decrease and percentage change in those items.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1"/>
                <w:szCs w:val="21"/>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68.7 %</w:t>
            </w:r>
          </w:p>
        </w:tc>
      </w:tr>
      <w:tr>
        <w:trPr>
          <w:trHeight w:val="24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99.6 %</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5"/>
        </w:trPr>
        <w:tc>
          <w:tcPr>
            <w:tcW w:w="48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CFF0FC"/>
              <w:bottom w:val="single" w:sz="8" w:color="auto"/>
            </w:tcBorders>
            <w:shd w:val="clear" w:color="auto" w:fill="CFF0FC"/>
          </w:tcPr>
          <w:p>
            <w:pPr>
              <w:spacing w:after="0"/>
              <w:rPr>
                <w:sz w:val="19"/>
                <w:szCs w:val="19"/>
                <w:color w:val="auto"/>
              </w:rPr>
            </w:pPr>
          </w:p>
        </w:tc>
        <w:tc>
          <w:tcPr>
            <w:tcW w:w="12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auto"/>
            </w:tcBorders>
            <w:shd w:val="clear" w:color="auto" w:fill="CFF0FC"/>
          </w:tcPr>
          <w:p>
            <w:pPr>
              <w:spacing w:after="0"/>
              <w:rPr>
                <w:sz w:val="19"/>
                <w:szCs w:val="19"/>
                <w:color w:val="auto"/>
              </w:rPr>
            </w:pPr>
          </w:p>
        </w:tc>
        <w:tc>
          <w:tcPr>
            <w:tcW w:w="10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auto"/>
            </w:tcBorders>
            <w:shd w:val="clear" w:color="auto" w:fill="CFF0FC"/>
          </w:tcPr>
          <w:p>
            <w:pPr>
              <w:spacing w:after="0"/>
              <w:rPr>
                <w:sz w:val="19"/>
                <w:szCs w:val="19"/>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(10,670 )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(13,097 )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tcPr>
          <w:p>
            <w:pPr>
              <w:spacing w:after="0"/>
              <w:rPr>
                <w:sz w:val="20"/>
                <w:szCs w:val="20"/>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(1,507 )</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(99.6 )</w:t>
            </w:r>
          </w:p>
        </w:tc>
        <w:tc>
          <w:tcPr>
            <w:tcW w:w="100" w:type="dxa"/>
            <w:vAlign w:val="bottom"/>
          </w:tcPr>
          <w:p>
            <w:pPr>
              <w:spacing w:after="0"/>
              <w:rPr>
                <w:sz w:val="20"/>
                <w:szCs w:val="20"/>
                <w:color w:val="auto"/>
              </w:rPr>
            </w:pPr>
          </w:p>
        </w:tc>
      </w:tr>
      <w:tr>
        <w:trPr>
          <w:trHeight w:val="267"/>
        </w:trPr>
        <w:tc>
          <w:tcPr>
            <w:tcW w:w="4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Pr>
          <w:p>
            <w:pPr>
              <w:spacing w:after="0"/>
              <w:rPr>
                <w:sz w:val="23"/>
                <w:szCs w:val="23"/>
                <w:color w:val="auto"/>
              </w:rPr>
            </w:pPr>
          </w:p>
        </w:tc>
      </w:tr>
      <w:tr>
        <w:trPr>
          <w:trHeight w:val="225"/>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(9,091 )</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(13,212 )</w:t>
            </w:r>
          </w:p>
        </w:tc>
        <w:tc>
          <w:tcPr>
            <w:tcW w:w="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20"/>
                <w:szCs w:val="20"/>
                <w:color w:val="auto"/>
              </w:rPr>
            </w:pPr>
          </w:p>
        </w:tc>
      </w:tr>
      <w:tr>
        <w:trPr>
          <w:trHeight w:val="240"/>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(13,212 )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short-term investments</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(129 )</w:t>
            </w:r>
          </w:p>
        </w:tc>
        <w:tc>
          <w:tcPr>
            <w:tcW w:w="3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(153.8 )</w:t>
            </w:r>
          </w:p>
        </w:tc>
        <w:tc>
          <w:tcPr>
            <w:tcW w:w="100" w:type="dxa"/>
            <w:vAlign w:val="bottom"/>
          </w:tcPr>
          <w:p>
            <w:pPr>
              <w:spacing w:after="0"/>
              <w:rPr>
                <w:sz w:val="21"/>
                <w:szCs w:val="21"/>
                <w:color w:val="auto"/>
              </w:rPr>
            </w:pP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(243.7 )</w:t>
            </w:r>
          </w:p>
        </w:tc>
        <w:tc>
          <w:tcPr>
            <w:tcW w:w="1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(48 )</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(134 )</w:t>
            </w:r>
          </w:p>
        </w:tc>
        <w:tc>
          <w:tcPr>
            <w:tcW w:w="3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(155.9 )</w:t>
            </w:r>
          </w:p>
        </w:tc>
        <w:tc>
          <w:tcPr>
            <w:tcW w:w="100" w:type="dxa"/>
            <w:vAlign w:val="bottom"/>
          </w:tcPr>
          <w:p>
            <w:pPr>
              <w:spacing w:after="0"/>
              <w:rPr>
                <w:sz w:val="20"/>
                <w:szCs w:val="20"/>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(9,148 )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(13,126 )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-3210560</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-2893695</wp:posOffset>
            </wp:positionV>
            <wp:extent cx="713232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-2097405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-2097405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-2097405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-2272665</wp:posOffset>
            </wp:positionV>
            <wp:extent cx="93980"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-1471930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-1476375</wp:posOffset>
            </wp:positionV>
            <wp:extent cx="102235" cy="196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-1476375</wp:posOffset>
            </wp:positionV>
            <wp:extent cx="102235"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-1476375</wp:posOffset>
            </wp:positionV>
            <wp:extent cx="93980" cy="196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-1137920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-1137920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-1137920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-187960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-187960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7" w:name="page28"/>
    <w:bookmarkEnd w:id="27"/>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ind w:right="420" w:firstLine="374"/>
        <w:spacing w:after="0" w:line="265" w:lineRule="auto"/>
        <w:rPr>
          <w:sz w:val="20"/>
          <w:szCs w:val="20"/>
          <w:color w:val="auto"/>
        </w:rPr>
      </w:pPr>
      <w:r>
        <w:rPr>
          <w:rFonts w:ascii="Times New Roman" w:cs="Times New Roman" w:eastAsia="Times New Roman" w:hAnsi="Times New Roman"/>
          <w:sz w:val="18"/>
          <w:szCs w:val="18"/>
          <w:color w:val="auto"/>
        </w:rPr>
        <w:t>Sales increased by $12.0 million, or 68.7%, to $29.5 million for the three months ended March 31, 2024, from $17.5 million for the three months ended March 31, 2023. The increase in total sales was primarily due to the incremental increase of 9,695 LALs and 10 LDDs sold during the period, resulting from strong adoption of our RxSight system by practices and doctors.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Cost of sales increased by $1.7 million, or 23.9%, to $8.8 million for the three months ended March 31, 2024, from $7.1 million for the three months ended March 31, 2023, primarily due to the increase in the number of LALs and LDDs sold during the period. Gross margin increased to 70.1% in the three months ended March 31, 2024, from 59.3% for the three months ended March 31, 2023 primarily due to favorable product mix from a greater percentage of revenue from LAL sales, reduced costs of producing our LALs, primarily due to higher production volumes and increased margins on our LDD due to lower material costs.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SG&amp;A expenses increased by $7.1 million, or 43.5%, to $23.3 million for the three months ended March 31, 2024, from $16.3 million for the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March 31, 2023. This increase was primarily attributable to an increase in selling and marketing costs of $4.8 million mainly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salaries from increased headcount of 22, increased sales commissions, incentive bonuses and employee benefits of $2.4 million, $0.6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stock-based compensation expense, $0.9 million in additional marketing study costs, and new customer acquisition costs, in each case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three months ended March 31, 2023. General and administrative expenses increased $2.2 million due to increased personnel expenses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$0.7 million, $0.4 million of increased audit and audit related costs related to operating as a public company (including SOX 404(b) compliance work in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2024) and increased stock-based compensation of $0.4 million, in each case when compared to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500" w:firstLine="374"/>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increased by $0.8 million, or 11.4%, to $8.0 million for the three months ended March 31, 2024, from $7.2 million for the three months ended March 31, 2023. This increase was primarily attributable to $0.3 million due to increased salaries from increased personnel expenses and $0.3 million from increased stock-based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Other income (expense), net, increased by $1.7 million to income of $1.6 million for the three months ended March 31, 2024, compared to expense of $0.1 million for the three months ended March 31, 2023. The increase was primarily due to decreased interest expense of $1.5 million from extinguishment of term loan due to the repayment of the term loan in 2023 and increased interest income of $0.2 million from higher interest rates earned on short-term investment balances.</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580" w:firstLine="374"/>
        <w:spacing w:after="0" w:line="281"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incur significant losses in the future.</w:t>
      </w:r>
    </w:p>
    <w:p>
      <w:pPr>
        <w:spacing w:after="0" w:line="55"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As of March 31, 2024, we had cash, and cash equivalents of $32.6 million and short-term investments of $92.7 million. For the three months ended March 31, 2024, and 2023, our loss from operations was $10.7 million and $13.1 million, respectively. We had an accumulated deficit of $603.7 million as of March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lease activity</w:t>
      </w:r>
    </w:p>
    <w:p>
      <w:pPr>
        <w:spacing w:after="0" w:line="121" w:lineRule="exact"/>
        <w:rPr>
          <w:sz w:val="20"/>
          <w:szCs w:val="20"/>
          <w:color w:val="auto"/>
        </w:rPr>
      </w:pPr>
    </w:p>
    <w:p>
      <w:pPr>
        <w:jc w:val="both"/>
        <w:ind w:right="240" w:firstLine="374"/>
        <w:spacing w:after="0" w:line="288" w:lineRule="auto"/>
        <w:rPr>
          <w:sz w:val="20"/>
          <w:szCs w:val="20"/>
          <w:color w:val="auto"/>
        </w:rPr>
      </w:pPr>
      <w:r>
        <w:rPr>
          <w:rFonts w:ascii="Times New Roman" w:cs="Times New Roman" w:eastAsia="Times New Roman" w:hAnsi="Times New Roman"/>
          <w:sz w:val="17"/>
          <w:szCs w:val="17"/>
          <w:color w:val="auto"/>
        </w:rPr>
        <w:t>On April 18, 2024, we entered into a new lease, and amendments to two existing leases, for three of our four facilities comprising our headquarters, manufacturing, research and development and administrative offices in Aliso Viejo, California. We entered into the new lease and amended two existing leases to extend the rental terms and options, ensure continued long-term access to our facilities, acquire additional square footage to expand</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4"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manufacturing, and align the lease end dates for each of our four facilities. See Note 7 – Leases in the Notes to the condensed consolidated financial statements included in this report.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 of credit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also have a standby letter of credit, expiring September 30, 2024, issued by a financial institution as a required security for one operating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 of the letter of credit was $0.2 million as of March 31, 2024 and December 31,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liquidity and capital funding requirements will depend on numerous factors, including:</w:t>
      </w:r>
    </w:p>
    <w:p>
      <w:pPr>
        <w:spacing w:after="0" w:line="117"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growth, including potential international expansion;</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investments, primarily in inventories and accounts receivable;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or borrow to finance our operations;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116" w:lineRule="exact"/>
        <w:rPr>
          <w:rFonts w:ascii="Times New Roman" w:cs="Times New Roman" w:eastAsia="Times New Roman" w:hAnsi="Times New Roman"/>
          <w:sz w:val="18"/>
          <w:szCs w:val="18"/>
          <w:color w:val="auto"/>
        </w:rPr>
      </w:pPr>
    </w:p>
    <w:p>
      <w:pPr>
        <w:ind w:left="1140" w:right="40" w:hanging="383"/>
        <w:spacing w:after="0" w:line="26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69" w:lineRule="exact"/>
        <w:rPr>
          <w:rFonts w:ascii="Times New Roman" w:cs="Times New Roman" w:eastAsia="Times New Roman" w:hAnsi="Times New Roman"/>
          <w:sz w:val="18"/>
          <w:szCs w:val="18"/>
          <w:color w:val="auto"/>
        </w:rPr>
      </w:pPr>
    </w:p>
    <w:p>
      <w:pPr>
        <w:ind w:left="1140" w:right="600" w:hanging="383"/>
        <w:spacing w:after="0" w:line="28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sales, research and development, scientific and customer support personnel;</w:t>
      </w:r>
    </w:p>
    <w:p>
      <w:pPr>
        <w:spacing w:after="0" w:line="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finance lease payments for our facilities;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117"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seek to raise capital under advantageous circumstances from time to time in order to support the expansion of our sales and operations in the U.S. and internationally and to pursue other business opportunities. If we determine that we need to raise additional funds,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Part II, Item 1A, “Risk Factors” of this report for additional risks associated with our substantial capital requirements.</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121" w:lineRule="exact"/>
        <w:rPr>
          <w:sz w:val="20"/>
          <w:szCs w:val="20"/>
          <w:color w:val="auto"/>
        </w:rPr>
      </w:pP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 below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35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40"/>
        </w:trPr>
        <w:tc>
          <w:tcPr>
            <w:tcW w:w="774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(17,764 )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(48,365 )</w:t>
            </w: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foreign exchange rate on cash, cash equivalents</w:t>
            </w:r>
          </w:p>
        </w:tc>
        <w:tc>
          <w:tcPr>
            <w:tcW w:w="100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46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restricted cash</w:t>
            </w:r>
          </w:p>
        </w:tc>
        <w:tc>
          <w:tcPr>
            <w:tcW w:w="100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p>
      <w:pPr>
        <w:spacing w:after="0" w:line="121"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$9.3 million, consisting primarily of a net loss of $9.1 million and a change in operating assets and liabilities of $4.7 million, partially offset by non-cash stock-based compensation of $4.7 million and depreciation and amortization of $1.1 million.</w:t>
      </w:r>
    </w:p>
    <w:p>
      <w:pPr>
        <w:spacing w:after="0" w:line="6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$17.8 million, consisting primarily of a net loss of $13.2 million and a change in operating assets and liabilities of $7.7 million, partially offset by non-cash stock-based compensation of $3.3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p>
      <w:pPr>
        <w:spacing w:after="0" w:line="121" w:lineRule="exact"/>
        <w:rPr>
          <w:sz w:val="20"/>
          <w:szCs w:val="20"/>
          <w:color w:val="auto"/>
        </w:rPr>
      </w:pPr>
    </w:p>
    <w:p>
      <w:pPr>
        <w:ind w:right="360" w:firstLine="374"/>
        <w:spacing w:after="0" w:line="281"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$24.3 million, consisting of net maturities of short-term investments of $26.2 million partially offset by purchases of property and equipment of $2.0 million.</w:t>
      </w:r>
    </w:p>
    <w:p>
      <w:pPr>
        <w:spacing w:after="0" w:line="55"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2023, was $48.4 million, consisting primarily of net purchases of short-term investments of $47.6 million and purchases of property and equipment of $0.7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p>
      <w:pPr>
        <w:spacing w:after="0" w:line="121" w:lineRule="exact"/>
        <w:rPr>
          <w:sz w:val="20"/>
          <w:szCs w:val="20"/>
          <w:color w:val="auto"/>
        </w:rPr>
      </w:pPr>
    </w:p>
    <w:p>
      <w:pPr>
        <w:ind w:right="700" w:firstLine="374"/>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$8.0 million consisting primarily of proceeds from issuances of common stock of $10.2 million partially offset by payments for employee taxes related to stock compensation of $2.1 million.</w:t>
      </w:r>
    </w:p>
    <w:p>
      <w:pPr>
        <w:spacing w:after="0" w:line="55" w:lineRule="exact"/>
        <w:rPr>
          <w:sz w:val="20"/>
          <w:szCs w:val="20"/>
          <w:color w:val="auto"/>
        </w:rPr>
      </w:pPr>
    </w:p>
    <w:p>
      <w:pPr>
        <w:jc w:val="both"/>
        <w:ind w:right="520" w:firstLine="374"/>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was $65.3 million consisting primarily of proceeds from issuances of common stock from our public offering of $54.1 million, proceeds from issuances of common stock for at-the-market offerings of $11.1 million and proceeds from stock options exercised of $0.8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February 28,</w:t>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4"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2024. We believe that the accounting policies we use are critical to the process of making significant judgments and estimates in the preparation of our financial statements and understanding and evaluating our reported financial results.</w:t>
      </w:r>
    </w:p>
    <w:p>
      <w:pPr>
        <w:spacing w:after="0" w:line="55"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spacing w:after="0" w:line="69"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For a summary of our critical accounting policies and estimates, refer to “Management's Discussion and Analysis of Financial Condition and Results of Operations” included in our Annual Report on Form 10-K filed with the SEC on February 28, 2024. There have been no material changes to our critical accounting policies and estimates during the three months ended March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80" w:firstLine="374"/>
        <w:spacing w:after="0" w:line="281"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Policies—Recent Accounting Pronouncements” in Note 2 to our financial statements included elsewhere in this report for additional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inflation</w:t>
      </w:r>
    </w:p>
    <w:p>
      <w:pPr>
        <w:spacing w:after="0" w:line="121"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81" w:lineRule="exact"/>
        <w:rPr>
          <w:sz w:val="20"/>
          <w:szCs w:val="20"/>
          <w:color w:val="auto"/>
        </w:rPr>
      </w:pPr>
    </w:p>
    <w:p>
      <w:pPr>
        <w:ind w:right="120" w:firstLine="374"/>
        <w:spacing w:after="0" w:line="312" w:lineRule="auto"/>
        <w:rPr>
          <w:sz w:val="20"/>
          <w:szCs w:val="20"/>
          <w:color w:val="auto"/>
        </w:rPr>
      </w:pPr>
      <w:r>
        <w:rPr>
          <w:rFonts w:ascii="Times New Roman" w:cs="Times New Roman" w:eastAsia="Times New Roman" w:hAnsi="Times New Roman"/>
          <w:sz w:val="17"/>
          <w:szCs w:val="17"/>
          <w:color w:val="auto"/>
        </w:rPr>
        <w:t>Uncertain macroeconomic conditions including recent inflationary pressures and the rise in interest rates have created significant uncertainty in the U.S. economy and capital markets, which is expected to continue through 2024 and beyond and could negatively impact our financial results and liquidity.</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60" w:firstLine="374"/>
        <w:spacing w:after="0" w:line="28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is the potential loss arising from the adverse changes in market rates and prices.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Fluctuation Rate Risk</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 of March 31, 2024, we had cash and cash equivalents of $32.6 million and short-term investments of $92.7 million which consisted of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increase in interest rates would not have materially impacted the fair value of our marketable securities as of March 31, 2024 and December 31, 2023. If overall interest rates had increased or decreased by 1.00% (100 basis points), our interest income would not have been materially affected during the quarter ended March 31, 2024 or March 31,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2024, we have de minimis amounts of revenue and expenses that are denominated in currencies other than U.S. dollars.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As of March 31, 2024,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20" w:firstLine="37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March 31, 2024, nor is it possible to estimate what litigation-related costs will be in the future; however, the Company believes that the likelihood that claims related to litigation would result in a material loss to the Company, either individually or in the aggregate, is remote.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121" w:lineRule="exact"/>
        <w:rPr>
          <w:sz w:val="20"/>
          <w:szCs w:val="20"/>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operating losses, and we expect to continue to incur losses in the future. If we ever achieve profitability, we may not be able to sustain it.</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54"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sz w:val="20"/>
          <w:szCs w:val="20"/>
          <w:color w:val="auto"/>
        </w:rPr>
      </w:pPr>
    </w:p>
    <w:p>
      <w:pPr>
        <w:ind w:left="1020" w:right="12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69"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and other proprietary information, our business and competitive position may be harmed.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 which could impair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1020" w:right="5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21" w:lineRule="exact"/>
        <w:rPr>
          <w:sz w:val="20"/>
          <w:szCs w:val="20"/>
          <w:color w:val="auto"/>
        </w:rPr>
      </w:pPr>
    </w:p>
    <w:p>
      <w:pPr>
        <w:ind w:left="1020" w:right="4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 parties, including single and sole source suppliers, to manufacture certain components and subcomponents of the RxSight system, making us vulnerable to supply disruptions and price fluctuations.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 and you could lose all or part of your investment.</w:t>
      </w:r>
    </w:p>
    <w:p>
      <w:pPr>
        <w:spacing w:after="0" w:line="116"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20" w:right="4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recruit, retain, manage and motivate qualified executives as we build out the management team, and we are highly dependent on our management team.</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proceedings could adversely affect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0"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11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right="160"/>
        <w:spacing w:after="0" w:line="260" w:lineRule="auto"/>
        <w:rPr>
          <w:sz w:val="20"/>
          <w:szCs w:val="20"/>
          <w:color w:val="auto"/>
        </w:rPr>
      </w:pPr>
      <w:r>
        <w:rPr>
          <w:rFonts w:ascii="Times New Roman" w:cs="Times New Roman" w:eastAsia="Times New Roman" w:hAnsi="Times New Roman"/>
          <w:sz w:val="18"/>
          <w:szCs w:val="18"/>
          <w:color w:val="auto"/>
        </w:rPr>
        <w:t>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14"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10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in the future. If we ever achieve profitability, we may not be able to sustain it.</w:t>
      </w:r>
    </w:p>
    <w:p>
      <w:pPr>
        <w:spacing w:after="0" w:line="121"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We have incurred losses from operations since our inception and expect to continue to incur losses from operations in the future. We reported losses from operations of $50.1 million and $63.3 million for the years ended December 31, 2023 and 2022, respectively, and $10.7 million for the three months ended March 31, 2024. As a result of these losses, as of March 31, 2024, we had an accumulated deficit of $603.7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spacing w:after="0" w:line="119"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7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50"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5" w:name="page36"/>
    <w:bookmarkEnd w:id="35"/>
    <w:p>
      <w:pPr>
        <w:ind w:firstLine="374"/>
        <w:spacing w:after="0" w:line="281" w:lineRule="auto"/>
        <w:rPr>
          <w:sz w:val="20"/>
          <w:szCs w:val="20"/>
          <w:color w:val="auto"/>
        </w:rPr>
      </w:pPr>
      <w:r>
        <w:rPr>
          <w:rFonts w:ascii="Times New Roman" w:cs="Times New Roman" w:eastAsia="Times New Roman" w:hAnsi="Times New Roman"/>
          <w:sz w:val="18"/>
          <w:szCs w:val="18"/>
          <w:color w:val="auto"/>
        </w:rPr>
        <w:t>Because of these and other factors, we expect to continue to incur net losses and negative cash flows from operations in the future. Our future liquidity and capital funding requirements will depend on numerous factors, including:</w:t>
      </w:r>
    </w:p>
    <w:p>
      <w:pPr>
        <w:spacing w:after="0" w:line="95"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growth;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leveraging future strategic partnerships;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investments, primarily in inventories and accounts receivable;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or raise additional funds through future debt or equity offerings to finance our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116"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sales, research and development, scientific and customer support personnel;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finance lease payments for our facilities;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0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spacing w:after="0" w:line="118"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As of March 31, 2024 and December 31, 2023, we had $125.4 million and $127.2 million, respectively, in cash, cash equivalents and short-term investments. While we believe that our existing cash, cash equivalents and</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t>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though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p>
    <w:p>
      <w:pPr>
        <w:spacing w:after="0" w:line="11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77"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spacing w:after="0" w:line="119" w:lineRule="exact"/>
        <w:rPr>
          <w:sz w:val="20"/>
          <w:szCs w:val="20"/>
          <w:color w:val="auto"/>
        </w:rPr>
      </w:pPr>
    </w:p>
    <w:p>
      <w:pPr>
        <w:jc w:val="both"/>
        <w:ind w:right="220" w:firstLine="374"/>
        <w:spacing w:after="0" w:line="260" w:lineRule="auto"/>
        <w:rPr>
          <w:sz w:val="20"/>
          <w:szCs w:val="20"/>
          <w:color w:val="auto"/>
        </w:rPr>
      </w:pPr>
      <w:r>
        <w:rPr>
          <w:rFonts w:ascii="Times New Roman" w:cs="Times New Roman" w:eastAsia="Times New Roman" w:hAnsi="Times New Roman"/>
          <w:sz w:val="18"/>
          <w:szCs w:val="18"/>
          <w:color w:val="auto"/>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and instability in the capital markets.</w:t>
      </w:r>
    </w:p>
    <w:p>
      <w:pPr>
        <w:spacing w:after="0" w:line="114" w:lineRule="exact"/>
        <w:rPr>
          <w:sz w:val="20"/>
          <w:szCs w:val="20"/>
          <w:color w:val="auto"/>
        </w:rPr>
      </w:pPr>
    </w:p>
    <w:p>
      <w:pPr>
        <w:ind w:right="220" w:firstLine="374"/>
        <w:spacing w:after="0" w:line="260" w:lineRule="auto"/>
        <w:rPr>
          <w:sz w:val="20"/>
          <w:szCs w:val="20"/>
          <w:color w:val="auto"/>
        </w:rPr>
      </w:pPr>
      <w:r>
        <w:rPr>
          <w:rFonts w:ascii="Times New Roman" w:cs="Times New Roman" w:eastAsia="Times New Roman" w:hAnsi="Times New Roman"/>
          <w:sz w:val="18"/>
          <w:szCs w:val="18"/>
          <w:color w:val="auto"/>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spacing w:after="0" w:line="9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106"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spacing w:after="0" w:line="11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7" w:name="page38"/>
    <w:bookmarkEnd w:id="37"/>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10"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effectiveness and reliability of our RxSight system, especially relative to alternative products;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patient events involving our RxSight system;</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studies and trials relating to our RxSight system;</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meaningful clinical benefits for our patients;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to market our planned or future products for use in the United States or internationally;</w:t>
      </w:r>
    </w:p>
    <w:p>
      <w:pPr>
        <w:spacing w:after="0" w:line="157" w:lineRule="exact"/>
        <w:rPr>
          <w:rFonts w:ascii="Times New Roman" w:cs="Times New Roman" w:eastAsia="Times New Roman" w:hAnsi="Times New Roman"/>
          <w:sz w:val="18"/>
          <w:szCs w:val="18"/>
          <w:color w:val="auto"/>
        </w:rPr>
      </w:pPr>
    </w:p>
    <w:p>
      <w:pPr>
        <w:ind w:left="1140" w:right="160" w:hanging="383"/>
        <w:spacing w:after="0" w:line="28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relative cost and perceived advantages and disadvantages of alternative technologies or treatment methods for conditions treated by our products;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patient willingness to pay for the additional costs associated with our premium intraocular lens out of pocket;</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doctors adopt our RxSight system;</w:t>
      </w:r>
    </w:p>
    <w:p>
      <w:pPr>
        <w:spacing w:after="0" w:line="157" w:lineRule="exact"/>
        <w:rPr>
          <w:rFonts w:ascii="Times New Roman" w:cs="Times New Roman" w:eastAsia="Times New Roman" w:hAnsi="Times New Roman"/>
          <w:sz w:val="18"/>
          <w:szCs w:val="18"/>
          <w:color w:val="auto"/>
        </w:rPr>
      </w:pPr>
    </w:p>
    <w:p>
      <w:pPr>
        <w:ind w:left="1140" w:right="200" w:hanging="383"/>
        <w:spacing w:after="0" w:line="260"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11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 and to our RxSight system;</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patients value the customized vision delivered by the RxSight system and are satisfied with their results;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regulatory requirements applicable to our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successful in educating doctors about IOLs in general, and the benefits of our RxSight system;</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among doctors;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commercial organization;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including our efforts to build out our sales team;</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commercialization of our products into international markets;</w:t>
      </w:r>
    </w:p>
    <w:p>
      <w:pPr>
        <w:spacing w:after="0" w:line="157" w:lineRule="exact"/>
        <w:rPr>
          <w:rFonts w:ascii="Times New Roman" w:cs="Times New Roman" w:eastAsia="Times New Roman" w:hAnsi="Times New Roman"/>
          <w:sz w:val="18"/>
          <w:szCs w:val="18"/>
          <w:color w:val="auto"/>
        </w:rPr>
      </w:pPr>
    </w:p>
    <w:p>
      <w:pPr>
        <w:ind w:left="1140" w:right="200" w:hanging="383"/>
        <w:spacing w:after="0" w:line="265"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validate and maintain a commercially viable manufacturing process that is compliant with the Quality Systems Regulations (“QSR”), or QSMR when it goes into effect in February 2026, and other applicable foreign, federal and state regulatory requirements;</w:t>
      </w:r>
    </w:p>
    <w:p>
      <w:pPr>
        <w:spacing w:after="0" w:line="9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or future clinical trials; and</w:t>
      </w:r>
    </w:p>
    <w:p>
      <w:pPr>
        <w:spacing w:after="0" w:line="15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non-U.S. regulatory authorities to conduct additional clinical trials for current or future indications.</w:t>
      </w:r>
    </w:p>
    <w:p>
      <w:pPr>
        <w:spacing w:after="0" w:line="95"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8"/>
          <w:szCs w:val="18"/>
          <w:color w:val="auto"/>
        </w:rPr>
        <w:t>If we fail to successfully market and sell our products, we will not be able to grow our revenue or achieve profitability, which will have a material adverse effect on our business, financial condition and results of operations.</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16" w:right="439" w:bottom="1440" w:gutter="0" w:footer="0" w:header="0"/>
        </w:sectPr>
      </w:pPr>
    </w:p>
    <w:bookmarkStart w:id="38" w:name="page39"/>
    <w:bookmarkEnd w:id="38"/>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1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5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105"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14" w:lineRule="exact"/>
        <w:rPr>
          <w:sz w:val="20"/>
          <w:szCs w:val="20"/>
          <w:color w:val="auto"/>
        </w:rPr>
      </w:pPr>
    </w:p>
    <w:p>
      <w:pPr>
        <w:ind w:right="560" w:firstLine="374"/>
        <w:spacing w:after="0" w:line="281" w:lineRule="auto"/>
        <w:rPr>
          <w:sz w:val="20"/>
          <w:szCs w:val="20"/>
          <w:color w:val="auto"/>
        </w:rPr>
      </w:pPr>
      <w:r>
        <w:rPr>
          <w:rFonts w:ascii="Times New Roman" w:cs="Times New Roman" w:eastAsia="Times New Roman" w:hAnsi="Times New Roman"/>
          <w:sz w:val="18"/>
          <w:szCs w:val="18"/>
          <w:color w:val="auto"/>
        </w:rPr>
        <w:t>The commercial success of our RxSight system will depend upon attaining significant market acceptance of these products among patients and doctors.</w:t>
      </w:r>
    </w:p>
    <w:p>
      <w:pPr>
        <w:spacing w:after="0" w:line="9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108"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competing companies and distributors that sell other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market;</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safety or clinical benefits;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and skill development that may be required to gain familiarity and proficiency with our products;</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39" w:name="page40"/>
    <w:bookmarkEnd w:id="39"/>
    <w:p>
      <w:pPr>
        <w:ind w:left="1140" w:right="60" w:hanging="383"/>
        <w:spacing w:after="0" w:line="281"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confusion regarding the wide range of commercially available premium IOL offerings and their ability to deliver promised results at near, middle and far distances without reliance on glasses;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reticence to select a premium IOL due to nonperformance and adverse side effects associated with competing products in the market;</w:t>
      </w:r>
    </w:p>
    <w:p>
      <w:pPr>
        <w:spacing w:after="0" w:line="155" w:lineRule="exact"/>
        <w:rPr>
          <w:rFonts w:ascii="Times New Roman" w:cs="Times New Roman" w:eastAsia="Times New Roman" w:hAnsi="Times New Roman"/>
          <w:sz w:val="17"/>
          <w:szCs w:val="17"/>
          <w:color w:val="auto"/>
        </w:rPr>
      </w:pPr>
    </w:p>
    <w:p>
      <w:pPr>
        <w:ind w:left="1140" w:right="120" w:hanging="383"/>
        <w:spacing w:after="0" w:line="265"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09" w:lineRule="exact"/>
        <w:rPr>
          <w:rFonts w:ascii="Times New Roman" w:cs="Times New Roman" w:eastAsia="Times New Roman" w:hAnsi="Times New Roman"/>
          <w:sz w:val="18"/>
          <w:szCs w:val="18"/>
          <w:color w:val="auto"/>
        </w:rPr>
      </w:pPr>
    </w:p>
    <w:p>
      <w:pPr>
        <w:ind w:left="1140" w:right="280" w:hanging="383"/>
        <w:spacing w:after="0" w:line="281"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generate patient referral due to dissatisfaction with results obtained through treatment with our products, the out-of-pocket cost of treatments using our products or otherwise.</w:t>
      </w:r>
    </w:p>
    <w:p>
      <w:pPr>
        <w:spacing w:after="0" w:line="95"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96" w:lineRule="exact"/>
        <w:rPr>
          <w:sz w:val="20"/>
          <w:szCs w:val="20"/>
          <w:color w:val="auto"/>
        </w:rPr>
      </w:pPr>
    </w:p>
    <w:p>
      <w:pPr>
        <w:jc w:val="both"/>
        <w:ind w:right="620" w:firstLine="374"/>
        <w:spacing w:after="0" w:line="288" w:lineRule="auto"/>
        <w:rPr>
          <w:sz w:val="20"/>
          <w:szCs w:val="20"/>
          <w:color w:val="auto"/>
        </w:rPr>
      </w:pPr>
      <w:r>
        <w:rPr>
          <w:rFonts w:ascii="Times New Roman" w:cs="Times New Roman" w:eastAsia="Times New Roman" w:hAnsi="Times New Roman"/>
          <w:sz w:val="17"/>
          <w:szCs w:val="17"/>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92" w:lineRule="exact"/>
        <w:rPr>
          <w:sz w:val="20"/>
          <w:szCs w:val="20"/>
          <w:color w:val="auto"/>
        </w:rPr>
      </w:pPr>
    </w:p>
    <w:p>
      <w:pPr>
        <w:ind w:right="120" w:firstLine="374"/>
        <w:spacing w:after="0" w:line="272" w:lineRule="auto"/>
        <w:rPr>
          <w:sz w:val="20"/>
          <w:szCs w:val="20"/>
          <w:color w:val="auto"/>
        </w:rPr>
      </w:pPr>
      <w:r>
        <w:rPr>
          <w:rFonts w:ascii="Times New Roman" w:cs="Times New Roman" w:eastAsia="Times New Roman" w:hAnsi="Times New Roman"/>
          <w:sz w:val="17"/>
          <w:szCs w:val="17"/>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108"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RxSight system involves surgical risks and is contraindicated in certain patients, which may limit adoption.</w:t>
      </w:r>
    </w:p>
    <w:p>
      <w:pPr>
        <w:spacing w:after="0" w:line="157"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1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50"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0" w:name="page41"/>
    <w:bookmarkEnd w:id="40"/>
    <w:p>
      <w:pPr>
        <w:spacing w:after="0" w:line="281" w:lineRule="auto"/>
        <w:rPr>
          <w:sz w:val="20"/>
          <w:szCs w:val="20"/>
          <w:color w:val="auto"/>
        </w:rPr>
      </w:pPr>
      <w:r>
        <w:rPr>
          <w:rFonts w:ascii="Times New Roman" w:cs="Times New Roman" w:eastAsia="Times New Roman" w:hAnsi="Times New Roman"/>
          <w:sz w:val="18"/>
          <w:szCs w:val="18"/>
          <w:color w:val="auto"/>
        </w:rPr>
        <w:t>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95"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patient outcomes, oftentimes measured by visual acuity, and adverse event rates;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experience, including patient recovery time and level of discomfort;</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treating doctors and referral sources;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Doctor learning curves and willingness to adopt new technologies;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Ease-of-use and reliability;</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benefits and cost savings;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clinical evidence;</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distribution and marketing to surgeons and potential patients;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 and qualification for coverage and reimbursement.</w:t>
      </w:r>
    </w:p>
    <w:p>
      <w:pPr>
        <w:spacing w:after="0" w:line="157"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We compete primarily on the basis that our products are designed to enable more doctors to treat more patients more efficiently and effectively. Our continued success depends on our ability to:</w:t>
      </w:r>
    </w:p>
    <w:p>
      <w:pPr>
        <w:spacing w:after="0" w:line="82" w:lineRule="exact"/>
        <w:rPr>
          <w:sz w:val="20"/>
          <w:szCs w:val="20"/>
          <w:color w:val="auto"/>
        </w:rPr>
      </w:pPr>
    </w:p>
    <w:p>
      <w:pPr>
        <w:ind w:left="1140" w:right="20" w:hanging="383"/>
        <w:spacing w:after="0" w:line="281"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doctors;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doctors’ awareness;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w:t>
      </w:r>
    </w:p>
    <w:p>
      <w:pPr>
        <w:spacing w:after="0" w:line="157" w:lineRule="exact"/>
        <w:rPr>
          <w:rFonts w:ascii="Times New Roman" w:cs="Times New Roman" w:eastAsia="Times New Roman" w:hAnsi="Times New Roman"/>
          <w:sz w:val="18"/>
          <w:szCs w:val="18"/>
          <w:color w:val="auto"/>
        </w:rPr>
      </w:pPr>
    </w:p>
    <w:p>
      <w:pPr>
        <w:ind w:left="1140" w:right="100" w:hanging="383"/>
        <w:spacing w:after="0" w:line="281"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doctors with a sufficient return on investment as compared to alternative premium IOL procedures that justifies the upfront cost of our LDD; and</w:t>
      </w:r>
    </w:p>
    <w:p>
      <w:pPr>
        <w:spacing w:after="0" w:line="81" w:lineRule="exact"/>
        <w:rPr>
          <w:rFonts w:ascii="Times New Roman" w:cs="Times New Roman" w:eastAsia="Times New Roman" w:hAnsi="Times New Roman"/>
          <w:sz w:val="18"/>
          <w:szCs w:val="18"/>
          <w:color w:val="auto"/>
        </w:rPr>
      </w:pPr>
    </w:p>
    <w:p>
      <w:pPr>
        <w:ind w:left="1140" w:right="520" w:hanging="383"/>
        <w:spacing w:after="0" w:line="281"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9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18"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41" w:name="page42"/>
    <w:bookmarkEnd w:id="41"/>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50"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17"/>
          <w:szCs w:val="17"/>
          <w:color w:val="auto"/>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10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Furthermore, the current leases on our four facilities expire on January 31, 2031, with two options to extend for five years each.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change may adversely affect sales of our products and may cause our products to become obsolete.</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1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66" w:lineRule="exact"/>
        <w:rPr>
          <w:sz w:val="20"/>
          <w:szCs w:val="20"/>
          <w:color w:val="auto"/>
        </w:rPr>
      </w:pPr>
    </w:p>
    <w:p>
      <w:pPr>
        <w:ind w:right="20" w:firstLine="374"/>
        <w:spacing w:after="0" w:line="274" w:lineRule="auto"/>
        <w:rPr>
          <w:sz w:val="20"/>
          <w:szCs w:val="20"/>
          <w:color w:val="auto"/>
        </w:rPr>
      </w:pPr>
      <w:r>
        <w:rPr>
          <w:rFonts w:ascii="Times New Roman" w:cs="Times New Roman" w:eastAsia="Times New Roman" w:hAnsi="Times New Roman"/>
          <w:sz w:val="17"/>
          <w:szCs w:val="17"/>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2" w:name="page43"/>
    <w:bookmarkEnd w:id="42"/>
    <w:p>
      <w:pPr>
        <w:spacing w:after="0" w:line="260" w:lineRule="auto"/>
        <w:rPr>
          <w:sz w:val="20"/>
          <w:szCs w:val="20"/>
          <w:color w:val="auto"/>
        </w:rPr>
      </w:pPr>
      <w:r>
        <w:rPr>
          <w:rFonts w:ascii="Times New Roman" w:cs="Times New Roman" w:eastAsia="Times New Roman" w:hAnsi="Times New Roman"/>
          <w:sz w:val="18"/>
          <w:szCs w:val="18"/>
          <w:color w:val="auto"/>
        </w:rPr>
        <w:t>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clinical trials are unsuccessful or significantly delayed, or if we do not complete our clinical trials, our business may be harmed.</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106" w:lineRule="exact"/>
        <w:rPr>
          <w:sz w:val="20"/>
          <w:szCs w:val="20"/>
          <w:color w:val="auto"/>
        </w:rPr>
      </w:pPr>
    </w:p>
    <w:p>
      <w:pPr>
        <w:ind w:right="620" w:firstLine="374"/>
        <w:spacing w:after="0" w:line="312" w:lineRule="auto"/>
        <w:rPr>
          <w:sz w:val="20"/>
          <w:szCs w:val="20"/>
          <w:color w:val="auto"/>
        </w:rPr>
      </w:pPr>
      <w:r>
        <w:rPr>
          <w:rFonts w:ascii="Times New Roman" w:cs="Times New Roman" w:eastAsia="Times New Roman" w:hAnsi="Times New Roman"/>
          <w:sz w:val="17"/>
          <w:szCs w:val="17"/>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287" w:lineRule="exact"/>
        <w:rPr>
          <w:sz w:val="20"/>
          <w:szCs w:val="20"/>
          <w:color w:val="auto"/>
        </w:rPr>
      </w:pPr>
    </w:p>
    <w:p>
      <w:pPr>
        <w:ind w:left="1140" w:right="160" w:hanging="383"/>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nonclinical studies or clinical development of our products, as well as the associated costs, including any unforeseen costs we may incur as a result of clinical trial delays;</w:t>
      </w:r>
    </w:p>
    <w:p>
      <w:pPr>
        <w:spacing w:after="0" w:line="95" w:lineRule="exact"/>
        <w:rPr>
          <w:rFonts w:ascii="Times New Roman" w:cs="Times New Roman" w:eastAsia="Times New Roman" w:hAnsi="Times New Roman"/>
          <w:sz w:val="18"/>
          <w:szCs w:val="18"/>
          <w:color w:val="auto"/>
        </w:rPr>
      </w:pPr>
    </w:p>
    <w:p>
      <w:pPr>
        <w:ind w:left="1140" w:right="420" w:hanging="383"/>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may be slower than we anticipate, or we may experience high screen failure rates in our clinical trials, resulting in significant delays;</w:t>
      </w:r>
    </w:p>
    <w:p>
      <w:pPr>
        <w:spacing w:after="0" w:line="81"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may not meet the level of statistical significance required by the FDA or other regulatory authorities;</w:t>
      </w:r>
    </w:p>
    <w:p>
      <w:pPr>
        <w:spacing w:after="0" w:line="15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that one or more of our products is not sufficiently safe for investigational use in humans;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similar foreign regulatory authorities may interpret data from preclinical testing and clinical trials in different ways than we do;</w:t>
      </w:r>
    </w:p>
    <w:p>
      <w:pPr>
        <w:spacing w:after="0" w:line="168"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or failure in obtaining approval of our clinical trial protocols from the FDA or other regulatory authorities;</w:t>
      </w:r>
    </w:p>
    <w:p>
      <w:pPr>
        <w:spacing w:after="0" w:line="157" w:lineRule="exact"/>
        <w:rPr>
          <w:rFonts w:ascii="Times New Roman" w:cs="Times New Roman" w:eastAsia="Times New Roman" w:hAnsi="Times New Roman"/>
          <w:sz w:val="18"/>
          <w:szCs w:val="18"/>
          <w:color w:val="auto"/>
        </w:rPr>
      </w:pPr>
    </w:p>
    <w:p>
      <w:pPr>
        <w:ind w:left="1140" w:right="260" w:hanging="383"/>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obtaining institutional review board approvals or governmental approvals to conduct clinical trials at prospective sites;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our or our suppliers’ manufacturing processes or facilities unsatisfactory;</w:t>
      </w:r>
    </w:p>
    <w:p>
      <w:pPr>
        <w:spacing w:after="0" w:line="157" w:lineRule="exact"/>
        <w:rPr>
          <w:rFonts w:ascii="Times New Roman" w:cs="Times New Roman" w:eastAsia="Times New Roman" w:hAnsi="Times New Roman"/>
          <w:sz w:val="18"/>
          <w:szCs w:val="18"/>
          <w:color w:val="auto"/>
        </w:rPr>
      </w:pPr>
    </w:p>
    <w:p>
      <w:pPr>
        <w:ind w:left="1140" w:right="160" w:hanging="383"/>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in managing multiple clinical sites;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finding patients to enroll in our trials;</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16" w:right="419" w:bottom="1440" w:gutter="0" w:footer="0" w:header="0"/>
        </w:sectPr>
      </w:pPr>
    </w:p>
    <w:bookmarkStart w:id="43" w:name="page44"/>
    <w:bookmarkEnd w:id="43"/>
    <w:p>
      <w:pPr>
        <w:ind w:left="1140" w:right="180" w:hanging="383"/>
        <w:spacing w:after="0" w:line="28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agreeing on acceptable terms with third-party research organizations and trial sites that may help us conduct the clinical trials; and</w:t>
      </w:r>
    </w:p>
    <w:p>
      <w:pPr>
        <w:spacing w:after="0" w:line="95" w:lineRule="exact"/>
        <w:rPr>
          <w:rFonts w:ascii="Times New Roman" w:cs="Times New Roman" w:eastAsia="Times New Roman" w:hAnsi="Times New Roman"/>
          <w:sz w:val="18"/>
          <w:szCs w:val="18"/>
          <w:color w:val="auto"/>
        </w:rPr>
      </w:pPr>
    </w:p>
    <w:p>
      <w:pPr>
        <w:ind w:left="1140" w:right="220" w:hanging="383"/>
        <w:spacing w:after="0" w:line="28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regulators, may suspend or terminate our clinical trials because the participating patients are being exposed to unacceptable health risks.</w:t>
      </w:r>
    </w:p>
    <w:p>
      <w:pPr>
        <w:spacing w:after="0" w:line="82"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5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 significant disruption in our information technology systems or breaches of data security.</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w:t>
      </w:r>
    </w:p>
    <w:p>
      <w:pPr>
        <w:spacing w:after="0" w:line="106"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could result in disruptions to our business processes, network degradation, and system down time, along with the potential that a third-party will gain unauthorized access to, or acquire intellectual property, proprietary business information, and data related to our employees, customers, suppliers, and business partners, including personal data. To the extent that any disruption, degradation, downtime or other security event results in a loss or damage to our data or systems, or in inappropriate disclosure of confidential or personal data, it could adversely impact us and our customers, potentially resulting in, among other things, financial losses, loss of customers or business, our inability to transact business, adverse impact on our reputation,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 of such attacks or to detect attacks that occur will be successful and our failure to do so could have a material adverse effect on our business, financial condition and results of operations.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44" w:name="page45"/>
    <w:bookmarkEnd w:id="44"/>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5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1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66"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05"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125"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5" w:name="page46"/>
    <w:bookmarkEnd w:id="45"/>
    <w:p>
      <w:pPr>
        <w:ind w:firstLine="374"/>
        <w:spacing w:after="0" w:line="256" w:lineRule="auto"/>
        <w:rPr>
          <w:sz w:val="20"/>
          <w:szCs w:val="20"/>
          <w:color w:val="auto"/>
        </w:rPr>
      </w:pPr>
      <w:r>
        <w:rPr>
          <w:rFonts w:ascii="Times New Roman" w:cs="Times New Roman" w:eastAsia="Times New Roman" w:hAnsi="Times New Roman"/>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identify, acquire and develop other products, we may be unable to grow our business.</w:t>
      </w:r>
    </w:p>
    <w:p>
      <w:pPr>
        <w:spacing w:after="0" w:line="148" w:lineRule="exact"/>
        <w:rPr>
          <w:sz w:val="20"/>
          <w:szCs w:val="20"/>
          <w:color w:val="auto"/>
        </w:rPr>
      </w:pPr>
    </w:p>
    <w:p>
      <w:pPr>
        <w:jc w:val="both"/>
        <w:ind w:right="480" w:firstLine="374"/>
        <w:spacing w:after="0" w:line="265" w:lineRule="auto"/>
        <w:rPr>
          <w:sz w:val="20"/>
          <w:szCs w:val="20"/>
          <w:color w:val="auto"/>
        </w:rPr>
      </w:pPr>
      <w:r>
        <w:rPr>
          <w:rFonts w:ascii="Times New Roman" w:cs="Times New Roman" w:eastAsia="Times New Roman" w:hAnsi="Times New Roman"/>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6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15"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14" w:lineRule="exact"/>
        <w:rPr>
          <w:sz w:val="20"/>
          <w:szCs w:val="20"/>
          <w:color w:val="auto"/>
        </w:rPr>
      </w:pPr>
    </w:p>
    <w:p>
      <w:pPr>
        <w:ind w:right="300" w:firstLine="374"/>
        <w:spacing w:after="0" w:line="281" w:lineRule="auto"/>
        <w:rPr>
          <w:sz w:val="20"/>
          <w:szCs w:val="20"/>
          <w:color w:val="auto"/>
        </w:rPr>
      </w:pPr>
      <w:r>
        <w:rPr>
          <w:rFonts w:ascii="Times New Roman" w:cs="Times New Roman" w:eastAsia="Times New Roman" w:hAnsi="Times New Roman"/>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7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50"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1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1"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66"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remuneration to doctor practices</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46" w:name="page47"/>
    <w:bookmarkEnd w:id="46"/>
    <w:p>
      <w:pPr>
        <w:ind w:right="40"/>
        <w:spacing w:after="0" w:line="254" w:lineRule="auto"/>
        <w:rPr>
          <w:sz w:val="20"/>
          <w:szCs w:val="20"/>
          <w:color w:val="auto"/>
        </w:rPr>
      </w:pPr>
      <w:r>
        <w:rPr>
          <w:rFonts w:ascii="Times New Roman" w:cs="Times New Roman" w:eastAsia="Times New Roman" w:hAnsi="Times New Roman"/>
          <w:sz w:val="18"/>
          <w:szCs w:val="18"/>
          <w:color w:val="auto"/>
        </w:rPr>
        <w:t>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1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101" w:lineRule="exact"/>
        <w:rPr>
          <w:sz w:val="20"/>
          <w:szCs w:val="20"/>
          <w:color w:val="auto"/>
        </w:rPr>
      </w:pPr>
    </w:p>
    <w:p>
      <w:pPr>
        <w:ind w:right="60" w:firstLine="374"/>
        <w:spacing w:after="0" w:line="288" w:lineRule="auto"/>
        <w:rPr>
          <w:sz w:val="20"/>
          <w:szCs w:val="20"/>
          <w:color w:val="auto"/>
        </w:rPr>
      </w:pPr>
      <w:r>
        <w:rPr>
          <w:rFonts w:ascii="Times New Roman" w:cs="Times New Roman" w:eastAsia="Times New Roman" w:hAnsi="Times New Roman"/>
          <w:sz w:val="17"/>
          <w:szCs w:val="17"/>
          <w:color w:val="auto"/>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92"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11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6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106" w:lineRule="exact"/>
        <w:rPr>
          <w:sz w:val="20"/>
          <w:szCs w:val="20"/>
          <w:color w:val="auto"/>
        </w:rPr>
      </w:pPr>
    </w:p>
    <w:p>
      <w:pPr>
        <w:ind w:right="380" w:firstLine="374"/>
        <w:spacing w:after="0" w:line="265"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7" w:name="page48"/>
    <w:bookmarkEnd w:id="47"/>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market and sell our products.</w:t>
      </w:r>
    </w:p>
    <w:p>
      <w:pPr>
        <w:spacing w:after="0" w:line="157"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05"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10"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66" w:lineRule="exact"/>
        <w:rPr>
          <w:sz w:val="20"/>
          <w:szCs w:val="20"/>
          <w:color w:val="auto"/>
        </w:rPr>
      </w:pPr>
    </w:p>
    <w:p>
      <w:pPr>
        <w:ind w:right="500" w:firstLine="374"/>
        <w:spacing w:after="0" w:line="265" w:lineRule="auto"/>
        <w:rPr>
          <w:sz w:val="20"/>
          <w:szCs w:val="20"/>
          <w:color w:val="auto"/>
        </w:rPr>
      </w:pPr>
      <w:r>
        <w:rPr>
          <w:rFonts w:ascii="Times New Roman" w:cs="Times New Roman" w:eastAsia="Times New Roman" w:hAnsi="Times New Roman"/>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10" w:lineRule="exact"/>
        <w:rPr>
          <w:sz w:val="20"/>
          <w:szCs w:val="20"/>
          <w:color w:val="auto"/>
        </w:rPr>
      </w:pPr>
    </w:p>
    <w:p>
      <w:pPr>
        <w:ind w:left="1140" w:right="580" w:hanging="383"/>
        <w:spacing w:after="0" w:line="281"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 including changes to regulatory requirements and implementation of new regulations in foreign countries;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8" w:name="page49"/>
    <w:bookmarkEnd w:id="48"/>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57" w:lineRule="exact"/>
        <w:rPr>
          <w:rFonts w:ascii="Times New Roman" w:cs="Times New Roman" w:eastAsia="Times New Roman" w:hAnsi="Times New Roman"/>
          <w:sz w:val="18"/>
          <w:szCs w:val="18"/>
          <w:color w:val="auto"/>
        </w:rPr>
      </w:pPr>
    </w:p>
    <w:p>
      <w:pPr>
        <w:ind w:left="1140" w:right="280" w:hanging="383"/>
        <w:spacing w:after="0" w:line="281"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57" w:lineRule="exact"/>
        <w:rPr>
          <w:rFonts w:ascii="Times New Roman" w:cs="Times New Roman" w:eastAsia="Times New Roman" w:hAnsi="Times New Roman"/>
          <w:sz w:val="18"/>
          <w:szCs w:val="18"/>
          <w:color w:val="auto"/>
        </w:rPr>
      </w:pPr>
    </w:p>
    <w:p>
      <w:pPr>
        <w:ind w:left="1140" w:right="280" w:hanging="383"/>
        <w:spacing w:after="0" w:line="281"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57"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8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24" w:lineRule="exact"/>
        <w:rPr>
          <w:sz w:val="20"/>
          <w:szCs w:val="20"/>
          <w:color w:val="auto"/>
        </w:rPr>
      </w:pPr>
    </w:p>
    <w:p>
      <w:pPr>
        <w:ind w:right="140" w:firstLine="374"/>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6" w:right="399" w:bottom="1440" w:gutter="0" w:footer="0" w:header="0"/>
        </w:sectPr>
      </w:pPr>
    </w:p>
    <w:bookmarkStart w:id="49" w:name="page50"/>
    <w:bookmarkEnd w:id="49"/>
    <w:p>
      <w:pPr>
        <w:ind w:firstLine="374"/>
        <w:spacing w:after="0" w:line="270" w:lineRule="auto"/>
        <w:rPr>
          <w:sz w:val="20"/>
          <w:szCs w:val="20"/>
          <w:color w:val="auto"/>
        </w:rPr>
      </w:pPr>
      <w:r>
        <w:rPr>
          <w:rFonts w:ascii="Times New Roman" w:cs="Times New Roman" w:eastAsia="Times New Roman" w:hAnsi="Times New Roman"/>
          <w:sz w:val="17"/>
          <w:szCs w:val="17"/>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products.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118"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p>
    <w:p>
      <w:pPr>
        <w:spacing w:after="0" w:line="48"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50" w:name="page51"/>
    <w:bookmarkEnd w:id="50"/>
    <w:p>
      <w:pPr>
        <w:ind w:right="280"/>
        <w:spacing w:after="0" w:line="281" w:lineRule="auto"/>
        <w:rPr>
          <w:sz w:val="20"/>
          <w:szCs w:val="20"/>
          <w:color w:val="auto"/>
        </w:rPr>
      </w:pPr>
      <w:r>
        <w:rPr>
          <w:rFonts w:ascii="Times New Roman" w:cs="Times New Roman" w:eastAsia="Times New Roman" w:hAnsi="Times New Roman"/>
          <w:sz w:val="18"/>
          <w:szCs w:val="18"/>
          <w:color w:val="auto"/>
        </w:rPr>
        <w:t>operations, and the business of our customers. The implementation of cost containment measures or other policy and regulatory changes may prevent us from being able to generate revenue, attain profitability, or commercialize our products.</w:t>
      </w:r>
    </w:p>
    <w:p>
      <w:pPr>
        <w:spacing w:after="0" w:line="95"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121"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11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expect to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6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operating results and financial metrics may be difficult to predict as a result of seasonality.</w:t>
      </w:r>
    </w:p>
    <w:p>
      <w:pPr>
        <w:spacing w:after="0" w:line="121"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9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50" w:lineRule="exact"/>
        <w:rPr>
          <w:sz w:val="20"/>
          <w:szCs w:val="20"/>
          <w:color w:val="auto"/>
        </w:rPr>
      </w:pPr>
    </w:p>
    <w:p>
      <w:pPr>
        <w:jc w:val="both"/>
        <w:ind w:right="16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2023 we had federal net operating loss carryforwards (“NOLs”) of approximately $311.2 million, which will begin to expire in various years ranging from 2024 to 2037. Our NOLs could expire unused and be unavailable to offset future income tax liabilities because of their limited duration or because of restrictions under</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1" w:name="page52"/>
    <w:bookmarkEnd w:id="51"/>
    <w:p>
      <w:pPr>
        <w:ind w:right="20"/>
        <w:spacing w:after="0" w:line="260" w:lineRule="auto"/>
        <w:rPr>
          <w:sz w:val="20"/>
          <w:szCs w:val="20"/>
          <w:color w:val="auto"/>
        </w:rPr>
      </w:pPr>
      <w:r>
        <w:rPr>
          <w:rFonts w:ascii="Times New Roman" w:cs="Times New Roman" w:eastAsia="Times New Roman" w:hAnsi="Times New Roman"/>
          <w:sz w:val="18"/>
          <w:szCs w:val="18"/>
          <w:color w:val="auto"/>
        </w:rPr>
        <w:t>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w:t>
      </w:r>
    </w:p>
    <w:p>
      <w:pPr>
        <w:spacing w:after="0" w:line="114"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5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66"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14"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0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122"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2" w:name="page53"/>
    <w:bookmarkEnd w:id="52"/>
    <w:p>
      <w:pPr>
        <w:spacing w:after="0" w:line="281" w:lineRule="auto"/>
        <w:rPr>
          <w:sz w:val="20"/>
          <w:szCs w:val="20"/>
          <w:color w:val="auto"/>
        </w:rPr>
      </w:pPr>
      <w:r>
        <w:rPr>
          <w:rFonts w:ascii="Times New Roman" w:cs="Times New Roman" w:eastAsia="Times New Roman" w:hAnsi="Times New Roman"/>
          <w:sz w:val="18"/>
          <w:szCs w:val="18"/>
          <w:color w:val="auto"/>
        </w:rPr>
        <w:t>more claims of our owned or in-licensed issued patents. Such submissions may also be made prior to a patent’s issuance, precluding the granting of a patent based on one of our owned or in-licensed pending patent applications.</w:t>
      </w:r>
    </w:p>
    <w:p>
      <w:pPr>
        <w:spacing w:after="0" w:line="95"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105"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19"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21"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01" w:lineRule="exact"/>
        <w:rPr>
          <w:sz w:val="20"/>
          <w:szCs w:val="20"/>
          <w:color w:val="auto"/>
        </w:rPr>
      </w:pPr>
    </w:p>
    <w:p>
      <w:pPr>
        <w:ind w:right="220" w:firstLine="374"/>
        <w:spacing w:after="0" w:line="265"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53" w:name="page54"/>
    <w:bookmarkEnd w:id="53"/>
    <w:p>
      <w:pPr>
        <w:ind w:right="20"/>
        <w:spacing w:after="0" w:line="258" w:lineRule="auto"/>
        <w:rPr>
          <w:sz w:val="20"/>
          <w:szCs w:val="20"/>
          <w:color w:val="auto"/>
        </w:rPr>
      </w:pPr>
      <w:r>
        <w:rPr>
          <w:rFonts w:ascii="Times New Roman" w:cs="Times New Roman" w:eastAsia="Times New Roman" w:hAnsi="Times New Roman"/>
          <w:sz w:val="18"/>
          <w:szCs w:val="18"/>
          <w:color w:val="auto"/>
        </w:rPr>
        <w:t>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5"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0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18"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118"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Recently, the government released a draft framework that may be used by an agency when deciding to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spacing w:after="0" w:line="105"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during prosecution of such intellectual property, and potential encumbrances that could limit our ability to enforce such intellectual property rights.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technology for an adequate amount of time.</w:t>
      </w:r>
    </w:p>
    <w:p>
      <w:pPr>
        <w:spacing w:after="0" w:line="1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01"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6"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0" w:lineRule="exact"/>
        <w:rPr>
          <w:sz w:val="20"/>
          <w:szCs w:val="20"/>
          <w:color w:val="auto"/>
        </w:rPr>
      </w:pPr>
    </w:p>
    <w:p>
      <w:pPr>
        <w:ind w:right="140" w:firstLine="374"/>
        <w:spacing w:after="0" w:line="288" w:lineRule="auto"/>
        <w:rPr>
          <w:sz w:val="20"/>
          <w:szCs w:val="20"/>
          <w:color w:val="auto"/>
        </w:rPr>
      </w:pPr>
      <w:r>
        <w:rPr>
          <w:rFonts w:ascii="Times New Roman" w:cs="Times New Roman" w:eastAsia="Times New Roman" w:hAnsi="Times New Roman"/>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92"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10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50"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Because we expect to rely on a third party to manufacture our RxSight system, and any future products, and we expect to collaborate with third parties on the continuing development of our RxSight system, and any future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5" w:name="page56"/>
    <w:bookmarkEnd w:id="55"/>
    <w:p>
      <w:pPr>
        <w:ind w:right="120"/>
        <w:spacing w:after="0" w:line="254" w:lineRule="auto"/>
        <w:rPr>
          <w:sz w:val="20"/>
          <w:szCs w:val="20"/>
          <w:color w:val="auto"/>
        </w:rPr>
      </w:pPr>
      <w:r>
        <w:rPr>
          <w:rFonts w:ascii="Times New Roman" w:cs="Times New Roman" w:eastAsia="Times New Roman" w:hAnsi="Times New Roman"/>
          <w:sz w:val="18"/>
          <w:szCs w:val="18"/>
          <w:color w:val="auto"/>
        </w:rPr>
        <w:t>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1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9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66"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2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11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6" w:name="page57"/>
    <w:bookmarkEnd w:id="56"/>
    <w:p>
      <w:pPr>
        <w:ind w:right="60"/>
        <w:spacing w:after="0" w:line="265" w:lineRule="auto"/>
        <w:rPr>
          <w:sz w:val="20"/>
          <w:szCs w:val="20"/>
          <w:color w:val="auto"/>
        </w:rPr>
      </w:pPr>
      <w:r>
        <w:rPr>
          <w:rFonts w:ascii="Times New Roman" w:cs="Times New Roman" w:eastAsia="Times New Roman" w:hAnsi="Times New Roman"/>
          <w:sz w:val="18"/>
          <w:szCs w:val="18"/>
          <w:color w:val="auto"/>
        </w:rPr>
        <w:t>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110"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0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50"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be costly,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133"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7" w:name="page58"/>
    <w:bookmarkEnd w:id="57"/>
    <w:p>
      <w:pPr>
        <w:ind w:right="440"/>
        <w:spacing w:after="0" w:line="265" w:lineRule="auto"/>
        <w:rPr>
          <w:sz w:val="20"/>
          <w:szCs w:val="20"/>
          <w:color w:val="auto"/>
        </w:rPr>
      </w:pPr>
      <w:r>
        <w:rPr>
          <w:rFonts w:ascii="Times New Roman" w:cs="Times New Roman" w:eastAsia="Times New Roman" w:hAnsi="Times New Roman"/>
          <w:sz w:val="18"/>
          <w:szCs w:val="18"/>
          <w:color w:val="auto"/>
        </w:rPr>
        <w:t>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110"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01"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118"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18"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17"/>
          <w:szCs w:val="17"/>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95"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8" w:name="page59"/>
    <w:bookmarkEnd w:id="58"/>
    <w:p>
      <w:pPr>
        <w:ind w:right="420"/>
        <w:spacing w:after="0" w:line="281" w:lineRule="auto"/>
        <w:rPr>
          <w:sz w:val="20"/>
          <w:szCs w:val="20"/>
          <w:color w:val="auto"/>
        </w:rPr>
      </w:pPr>
      <w:r>
        <w:rPr>
          <w:rFonts w:ascii="Times New Roman" w:cs="Times New Roman" w:eastAsia="Times New Roman" w:hAnsi="Times New Roman"/>
          <w:sz w:val="18"/>
          <w:szCs w:val="18"/>
          <w:color w:val="auto"/>
        </w:rPr>
        <w:t>could put one or more of our patents at risk of being invalidated or interpreted narrowly. Any of these events could materially and adversely affect our business, financial condition and results of operations.</w:t>
      </w:r>
    </w:p>
    <w:p>
      <w:pPr>
        <w:spacing w:after="0" w:line="9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40" w:firstLine="374"/>
        <w:spacing w:after="0" w:line="280" w:lineRule="auto"/>
        <w:rPr>
          <w:sz w:val="20"/>
          <w:szCs w:val="20"/>
          <w:color w:val="auto"/>
        </w:rPr>
      </w:pPr>
      <w:r>
        <w:rPr>
          <w:rFonts w:ascii="Times New Roman" w:cs="Times New Roman" w:eastAsia="Times New Roman" w:hAnsi="Times New Roman"/>
          <w:sz w:val="17"/>
          <w:szCs w:val="17"/>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are subject, in part, to the terms and conditions of licenses granted to us by others.</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19" w:lineRule="exact"/>
        <w:rPr>
          <w:sz w:val="20"/>
          <w:szCs w:val="20"/>
          <w:color w:val="auto"/>
        </w:rPr>
      </w:pPr>
    </w:p>
    <w:p>
      <w:pPr>
        <w:jc w:val="both"/>
        <w:ind w:right="100" w:firstLine="374"/>
        <w:spacing w:after="0" w:line="272" w:lineRule="auto"/>
        <w:rPr>
          <w:sz w:val="20"/>
          <w:szCs w:val="20"/>
          <w:color w:val="auto"/>
        </w:rPr>
      </w:pPr>
      <w:r>
        <w:rPr>
          <w:rFonts w:ascii="Times New Roman" w:cs="Times New Roman" w:eastAsia="Times New Roman" w:hAnsi="Times New Roman"/>
          <w:sz w:val="17"/>
          <w:szCs w:val="17"/>
          <w:color w:val="auto"/>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59" w:name="page60"/>
    <w:bookmarkEnd w:id="59"/>
    <w:p>
      <w:pPr>
        <w:ind w:right="340" w:firstLine="374"/>
        <w:spacing w:after="0" w:line="265" w:lineRule="auto"/>
        <w:rPr>
          <w:sz w:val="20"/>
          <w:szCs w:val="20"/>
          <w:color w:val="auto"/>
        </w:rPr>
      </w:pPr>
      <w:r>
        <w:rPr>
          <w:rFonts w:ascii="Times New Roman" w:cs="Times New Roman" w:eastAsia="Times New Roman" w:hAnsi="Times New Roman"/>
          <w:sz w:val="18"/>
          <w:szCs w:val="18"/>
          <w:color w:val="auto"/>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11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101"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66"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w:t>
      </w:r>
    </w:p>
    <w:p>
      <w:pPr>
        <w:spacing w:after="0" w:line="157"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43" w:lineRule="exact"/>
        <w:rPr>
          <w:rFonts w:ascii="Times New Roman" w:cs="Times New Roman" w:eastAsia="Times New Roman" w:hAnsi="Times New Roman"/>
          <w:sz w:val="18"/>
          <w:szCs w:val="18"/>
          <w:color w:val="auto"/>
        </w:rPr>
      </w:pPr>
    </w:p>
    <w:p>
      <w:pPr>
        <w:ind w:left="1140" w:right="480" w:hanging="383"/>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57"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57"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any of our future licensors and us and our partners.</w:t>
      </w:r>
    </w:p>
    <w:p>
      <w:pPr>
        <w:spacing w:after="0" w:line="95" w:lineRule="exact"/>
        <w:rPr>
          <w:sz w:val="20"/>
          <w:szCs w:val="20"/>
          <w:color w:val="auto"/>
        </w:rPr>
      </w:pPr>
    </w:p>
    <w:p>
      <w:pPr>
        <w:jc w:val="both"/>
        <w:ind w:right="240" w:firstLine="374"/>
        <w:spacing w:after="0" w:line="312" w:lineRule="auto"/>
        <w:rPr>
          <w:sz w:val="20"/>
          <w:szCs w:val="20"/>
          <w:color w:val="auto"/>
        </w:rPr>
      </w:pPr>
      <w:r>
        <w:rPr>
          <w:rFonts w:ascii="Times New Roman" w:cs="Times New Roman" w:eastAsia="Times New Roman" w:hAnsi="Times New Roman"/>
          <w:sz w:val="17"/>
          <w:szCs w:val="17"/>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0" w:name="page61"/>
    <w:bookmarkEnd w:id="60"/>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1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05" w:lineRule="exact"/>
        <w:rPr>
          <w:sz w:val="20"/>
          <w:szCs w:val="20"/>
          <w:color w:val="auto"/>
        </w:rPr>
      </w:pPr>
    </w:p>
    <w:p>
      <w:pPr>
        <w:jc w:val="both"/>
        <w:ind w:right="180" w:firstLine="374"/>
        <w:spacing w:after="0" w:line="265"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1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15" w:lineRule="exact"/>
        <w:rPr>
          <w:sz w:val="20"/>
          <w:szCs w:val="20"/>
          <w:color w:val="auto"/>
        </w:rPr>
      </w:pPr>
    </w:p>
    <w:p>
      <w:pPr>
        <w:ind w:right="200" w:firstLine="374"/>
        <w:spacing w:after="0" w:line="280" w:lineRule="auto"/>
        <w:rPr>
          <w:sz w:val="20"/>
          <w:szCs w:val="20"/>
          <w:color w:val="auto"/>
        </w:rPr>
      </w:pPr>
      <w:r>
        <w:rPr>
          <w:rFonts w:ascii="Times New Roman" w:cs="Times New Roman" w:eastAsia="Times New Roman" w:hAnsi="Times New Roman"/>
          <w:sz w:val="17"/>
          <w:szCs w:val="17"/>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products we may develop through acquisitions and in-licenses.</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1" w:name="page62"/>
    <w:bookmarkEnd w:id="61"/>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50"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95"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43" w:lineRule="exact"/>
        <w:rPr>
          <w:rFonts w:ascii="Times New Roman" w:cs="Times New Roman" w:eastAsia="Times New Roman" w:hAnsi="Times New Roman"/>
          <w:sz w:val="18"/>
          <w:szCs w:val="18"/>
          <w:color w:val="auto"/>
        </w:rPr>
      </w:pPr>
    </w:p>
    <w:p>
      <w:pPr>
        <w:jc w:val="both"/>
        <w:ind w:left="1140" w:right="300" w:hanging="383"/>
        <w:spacing w:after="0" w:line="288"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1" w:lineRule="exact"/>
        <w:rPr>
          <w:rFonts w:ascii="Times New Roman" w:cs="Times New Roman" w:eastAsia="Times New Roman" w:hAnsi="Times New Roman"/>
          <w:sz w:val="17"/>
          <w:szCs w:val="17"/>
          <w:color w:val="auto"/>
        </w:rPr>
      </w:pPr>
    </w:p>
    <w:p>
      <w:pPr>
        <w:ind w:left="1140" w:right="20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and future products;</w:t>
      </w:r>
    </w:p>
    <w:p>
      <w:pPr>
        <w:spacing w:after="0" w:line="95" w:lineRule="exact"/>
        <w:rPr>
          <w:rFonts w:ascii="Times New Roman" w:cs="Times New Roman" w:eastAsia="Times New Roman" w:hAnsi="Times New Roman"/>
          <w:sz w:val="18"/>
          <w:szCs w:val="18"/>
          <w:color w:val="auto"/>
        </w:rPr>
      </w:pPr>
    </w:p>
    <w:p>
      <w:pPr>
        <w:ind w:left="1140" w:right="38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57" w:lineRule="exact"/>
        <w:rPr>
          <w:rFonts w:ascii="Times New Roman" w:cs="Times New Roman" w:eastAsia="Times New Roman" w:hAnsi="Times New Roman"/>
          <w:sz w:val="18"/>
          <w:szCs w:val="18"/>
          <w:color w:val="auto"/>
        </w:rPr>
      </w:pPr>
    </w:p>
    <w:p>
      <w:pPr>
        <w:ind w:left="1140" w:right="580" w:hanging="383"/>
        <w:spacing w:after="0" w:line="265"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9" w:lineRule="exact"/>
        <w:rPr>
          <w:rFonts w:ascii="Times New Roman" w:cs="Times New Roman" w:eastAsia="Times New Roman" w:hAnsi="Times New Roman"/>
          <w:sz w:val="18"/>
          <w:szCs w:val="18"/>
          <w:color w:val="auto"/>
        </w:rPr>
      </w:pPr>
    </w:p>
    <w:p>
      <w:pPr>
        <w:ind w:left="1140" w:right="8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1" w:lineRule="exact"/>
        <w:rPr>
          <w:rFonts w:ascii="Times New Roman" w:cs="Times New Roman" w:eastAsia="Times New Roman" w:hAnsi="Times New Roman"/>
          <w:sz w:val="18"/>
          <w:szCs w:val="18"/>
          <w:color w:val="auto"/>
        </w:rPr>
      </w:pPr>
    </w:p>
    <w:p>
      <w:pPr>
        <w:ind w:left="1140" w:right="84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95" w:lineRule="exact"/>
        <w:rPr>
          <w:rFonts w:ascii="Times New Roman" w:cs="Times New Roman" w:eastAsia="Times New Roman" w:hAnsi="Times New Roman"/>
          <w:sz w:val="18"/>
          <w:szCs w:val="18"/>
          <w:color w:val="auto"/>
        </w:rPr>
      </w:pPr>
    </w:p>
    <w:p>
      <w:pPr>
        <w:ind w:left="1140" w:right="36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95" w:lineRule="exact"/>
        <w:rPr>
          <w:rFonts w:ascii="Times New Roman" w:cs="Times New Roman" w:eastAsia="Times New Roman" w:hAnsi="Times New Roman"/>
          <w:sz w:val="18"/>
          <w:szCs w:val="18"/>
          <w:color w:val="auto"/>
        </w:rPr>
      </w:pPr>
    </w:p>
    <w:p>
      <w:pPr>
        <w:ind w:left="1140" w:right="56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62" w:name="page63"/>
    <w:bookmarkEnd w:id="62"/>
    <w:p>
      <w:pPr>
        <w:ind w:right="620"/>
        <w:spacing w:after="0" w:line="281" w:lineRule="auto"/>
        <w:rPr>
          <w:sz w:val="20"/>
          <w:szCs w:val="20"/>
          <w:color w:val="auto"/>
        </w:rPr>
      </w:pPr>
      <w:r>
        <w:rPr>
          <w:rFonts w:ascii="Times New Roman" w:cs="Times New Roman" w:eastAsia="Times New Roman" w:hAnsi="Times New Roman"/>
          <w:sz w:val="18"/>
          <w:szCs w:val="18"/>
          <w:color w:val="auto"/>
        </w:rPr>
        <w:t>may be ineffective in perfecting ownership of inventions developed by that individual. Any such events could have a material adverse effect on our business, financial condition and results of operations.</w:t>
      </w:r>
    </w:p>
    <w:p>
      <w:pPr>
        <w:spacing w:after="0" w:line="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5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1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22"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19" w:lineRule="exact"/>
        <w:rPr>
          <w:sz w:val="20"/>
          <w:szCs w:val="20"/>
          <w:color w:val="auto"/>
        </w:rPr>
      </w:pPr>
    </w:p>
    <w:p>
      <w:pPr>
        <w:ind w:right="280" w:firstLine="374"/>
        <w:spacing w:after="0" w:line="260"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and time-consuming, and the outcome is unpredictable. Further, we may not be able to obtain adequate remedies for any breach.</w:t>
      </w:r>
    </w:p>
    <w:p>
      <w:pPr>
        <w:spacing w:after="0" w:line="15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50"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121"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4" w:name="page65"/>
    <w:bookmarkEnd w:id="64"/>
    <w:p>
      <w:pPr>
        <w:ind w:firstLine="374"/>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9" w:lineRule="exact"/>
        <w:rPr>
          <w:sz w:val="20"/>
          <w:szCs w:val="20"/>
          <w:color w:val="auto"/>
        </w:rPr>
      </w:pPr>
    </w:p>
    <w:p>
      <w:pPr>
        <w:ind w:right="100" w:firstLine="374"/>
        <w:spacing w:after="0" w:line="280"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86"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litigation.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5" w:lineRule="exact"/>
        <w:rPr>
          <w:sz w:val="20"/>
          <w:szCs w:val="20"/>
          <w:color w:val="auto"/>
        </w:rPr>
      </w:pPr>
    </w:p>
    <w:p>
      <w:pPr>
        <w:ind w:left="1140" w:right="14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1" w:lineRule="exact"/>
        <w:rPr>
          <w:rFonts w:ascii="Times New Roman" w:cs="Times New Roman" w:eastAsia="Times New Roman" w:hAnsi="Times New Roman"/>
          <w:sz w:val="18"/>
          <w:szCs w:val="18"/>
          <w:color w:val="auto"/>
        </w:rPr>
      </w:pPr>
    </w:p>
    <w:p>
      <w:pPr>
        <w:ind w:left="1140" w:right="30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95" w:lineRule="exact"/>
        <w:rPr>
          <w:rFonts w:ascii="Times New Roman" w:cs="Times New Roman" w:eastAsia="Times New Roman" w:hAnsi="Times New Roman"/>
          <w:sz w:val="18"/>
          <w:szCs w:val="18"/>
          <w:color w:val="auto"/>
        </w:rPr>
      </w:pPr>
    </w:p>
    <w:p>
      <w:pPr>
        <w:ind w:left="1140" w:right="14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file patent applications covering certain of our inventions;</w:t>
      </w:r>
    </w:p>
    <w:p>
      <w:pPr>
        <w:spacing w:after="0" w:line="95" w:lineRule="exact"/>
        <w:rPr>
          <w:rFonts w:ascii="Times New Roman" w:cs="Times New Roman" w:eastAsia="Times New Roman" w:hAnsi="Times New Roman"/>
          <w:sz w:val="18"/>
          <w:szCs w:val="18"/>
          <w:color w:val="auto"/>
        </w:rPr>
      </w:pPr>
    </w:p>
    <w:p>
      <w:pPr>
        <w:ind w:left="1140" w:right="106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owned or in-licensed patent applications will not lead to issued patents;</w:t>
      </w:r>
    </w:p>
    <w:p>
      <w:pPr>
        <w:spacing w:after="0" w:line="157" w:lineRule="exact"/>
        <w:rPr>
          <w:rFonts w:ascii="Times New Roman" w:cs="Times New Roman" w:eastAsia="Times New Roman" w:hAnsi="Times New Roman"/>
          <w:sz w:val="18"/>
          <w:szCs w:val="18"/>
          <w:color w:val="auto"/>
        </w:rPr>
      </w:pPr>
    </w:p>
    <w:p>
      <w:pPr>
        <w:ind w:left="1140" w:right="8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95" w:lineRule="exact"/>
        <w:rPr>
          <w:rFonts w:ascii="Times New Roman" w:cs="Times New Roman" w:eastAsia="Times New Roman" w:hAnsi="Times New Roman"/>
          <w:sz w:val="18"/>
          <w:szCs w:val="18"/>
          <w:color w:val="auto"/>
        </w:rPr>
      </w:pPr>
    </w:p>
    <w:p>
      <w:pPr>
        <w:ind w:left="1140" w:right="80" w:hanging="383"/>
        <w:spacing w:after="0" w:line="288"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65" w:name="page66"/>
    <w:bookmarkEnd w:id="65"/>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57" w:lineRule="exact"/>
        <w:rPr>
          <w:rFonts w:ascii="Times New Roman" w:cs="Times New Roman" w:eastAsia="Times New Roman" w:hAnsi="Times New Roman"/>
          <w:sz w:val="18"/>
          <w:szCs w:val="18"/>
          <w:color w:val="auto"/>
        </w:rPr>
      </w:pPr>
    </w:p>
    <w:p>
      <w:pPr>
        <w:ind w:left="1140" w:right="38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5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5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50"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55"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and manufacture;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storage and distribution;</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effective;</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marketing surveillance, including reporting of deaths or serious injuries and recalls and correction and removals.</w:t>
      </w:r>
    </w:p>
    <w:p>
      <w:pPr>
        <w:spacing w:after="0" w:line="144"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p>
    <w:p>
      <w:pPr>
        <w:spacing w:after="0" w:line="110"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44" w:lineRule="exact"/>
        <w:rPr>
          <w:sz w:val="20"/>
          <w:szCs w:val="20"/>
          <w:color w:val="auto"/>
        </w:rPr>
      </w:pPr>
    </w:p>
    <w:p>
      <w:pPr>
        <w:ind w:left="1140" w:right="180" w:hanging="383"/>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safe or effective for their intended uses;</w:t>
      </w:r>
    </w:p>
    <w:p>
      <w:pPr>
        <w:spacing w:after="0" w:line="95" w:lineRule="exact"/>
        <w:rPr>
          <w:rFonts w:ascii="Times New Roman" w:cs="Times New Roman" w:eastAsia="Times New Roman" w:hAnsi="Times New Roman"/>
          <w:sz w:val="18"/>
          <w:szCs w:val="18"/>
          <w:color w:val="auto"/>
        </w:rPr>
      </w:pPr>
    </w:p>
    <w:p>
      <w:pPr>
        <w:ind w:left="1140" w:right="180" w:hanging="383"/>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67" w:name="page68"/>
    <w:bookmarkEnd w:id="67"/>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43" w:lineRule="exact"/>
        <w:rPr>
          <w:rFonts w:ascii="Times New Roman" w:cs="Times New Roman" w:eastAsia="Times New Roman" w:hAnsi="Times New Roman"/>
          <w:sz w:val="18"/>
          <w:szCs w:val="18"/>
          <w:color w:val="auto"/>
        </w:rPr>
      </w:pPr>
    </w:p>
    <w:p>
      <w:pPr>
        <w:ind w:left="1140" w:right="400" w:hanging="383"/>
        <w:spacing w:after="0" w:line="260"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114" w:lineRule="exact"/>
        <w:rPr>
          <w:rFonts w:ascii="Times New Roman" w:cs="Times New Roman" w:eastAsia="Times New Roman" w:hAnsi="Times New Roman"/>
          <w:sz w:val="18"/>
          <w:szCs w:val="18"/>
          <w:color w:val="auto"/>
        </w:rPr>
      </w:pPr>
    </w:p>
    <w:p>
      <w:pPr>
        <w:ind w:left="1140" w:right="180" w:hanging="383"/>
        <w:spacing w:after="0" w:line="281"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authority may identify significant deficiencies in our manufacturing processes, facilities or analytical methods or those of our third-party contract manufacturers;</w:t>
      </w:r>
    </w:p>
    <w:p>
      <w:pPr>
        <w:spacing w:after="0" w:line="95" w:lineRule="exact"/>
        <w:rPr>
          <w:rFonts w:ascii="Times New Roman" w:cs="Times New Roman" w:eastAsia="Times New Roman" w:hAnsi="Times New Roman"/>
          <w:sz w:val="18"/>
          <w:szCs w:val="18"/>
          <w:color w:val="auto"/>
        </w:rPr>
      </w:pPr>
    </w:p>
    <w:p>
      <w:pPr>
        <w:ind w:left="1140" w:right="360" w:hanging="383"/>
        <w:spacing w:after="0" w:line="281"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81" w:lineRule="exact"/>
        <w:rPr>
          <w:rFonts w:ascii="Times New Roman" w:cs="Times New Roman" w:eastAsia="Times New Roman" w:hAnsi="Times New Roman"/>
          <w:sz w:val="18"/>
          <w:szCs w:val="18"/>
          <w:color w:val="auto"/>
        </w:rPr>
      </w:pPr>
    </w:p>
    <w:p>
      <w:pPr>
        <w:ind w:left="1140" w:right="280" w:hanging="383"/>
        <w:spacing w:after="0" w:line="281"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regulatory authorities may audit our clinical trial data and conclude that the data is not sufficiently reliable to support approval or clearance.</w:t>
      </w:r>
    </w:p>
    <w:p>
      <w:pPr>
        <w:spacing w:after="0" w:line="95"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115"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101"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14"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1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8" w:name="page69"/>
    <w:bookmarkEnd w:id="68"/>
    <w:p>
      <w:pPr>
        <w:ind w:right="700" w:firstLine="374"/>
        <w:spacing w:after="0" w:line="281"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95" w:lineRule="exact"/>
        <w:rPr>
          <w:sz w:val="20"/>
          <w:szCs w:val="20"/>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 of our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510(k) clearance or PMA of new products, new intended uses or modifications to existing products;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 or PMAs that have already been granted;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57"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in the United States.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Medical devices regulated by the FDA are subject to “general controls” which include: registration with the FDA; listing commercially distributed products with the FDA; complying with all applicable requirements under the QSR, or QSMR when its goes into effect in February 2026;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122"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114"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106" w:lineRule="exact"/>
        <w:rPr>
          <w:sz w:val="20"/>
          <w:szCs w:val="20"/>
          <w:color w:val="auto"/>
        </w:rPr>
      </w:pPr>
    </w:p>
    <w:p>
      <w:pPr>
        <w:ind w:right="560" w:firstLine="374"/>
        <w:spacing w:after="0" w:line="281" w:lineRule="auto"/>
        <w:rPr>
          <w:sz w:val="20"/>
          <w:szCs w:val="20"/>
          <w:color w:val="auto"/>
        </w:rPr>
      </w:pPr>
      <w:r>
        <w:rPr>
          <w:rFonts w:ascii="Times New Roman" w:cs="Times New Roman" w:eastAsia="Times New Roman" w:hAnsi="Times New Roman"/>
          <w:sz w:val="18"/>
          <w:szCs w:val="18"/>
          <w:color w:val="auto"/>
        </w:rPr>
        <w:t>Promotional communications with respect to devices are subject to a variety of legal and regulatory restrictions and must be consistent with the information in the products’ cleared or approved labeling. As such, we may not</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9" w:name="page70"/>
    <w:bookmarkEnd w:id="69"/>
    <w:p>
      <w:pPr>
        <w:spacing w:after="0" w:line="254" w:lineRule="auto"/>
        <w:rPr>
          <w:sz w:val="20"/>
          <w:szCs w:val="20"/>
          <w:color w:val="auto"/>
        </w:rPr>
      </w:pPr>
      <w:r>
        <w:rPr>
          <w:rFonts w:ascii="Times New Roman" w:cs="Times New Roman" w:eastAsia="Times New Roman" w:hAnsi="Times New Roman"/>
          <w:sz w:val="18"/>
          <w:szCs w:val="18"/>
          <w:color w:val="auto"/>
        </w:rPr>
        <w:t>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19"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105"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a regulatory agency or enforcement authority may, among other things:</w:t>
      </w:r>
    </w:p>
    <w:p>
      <w:pPr>
        <w:spacing w:after="0" w:line="157" w:lineRule="exact"/>
        <w:rPr>
          <w:sz w:val="20"/>
          <w:szCs w:val="20"/>
          <w:color w:val="auto"/>
        </w:rPr>
      </w:pPr>
    </w:p>
    <w:p>
      <w:pPr>
        <w:ind w:left="1140" w:right="800" w:hanging="383"/>
        <w:spacing w:after="0" w:line="28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our facility to an adverse inspectional finding or Form 483, or other compliance or enforcement notice, communication or correspondence;</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or untitled letters that would result in adverse publicity or may require corrective advertising;</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clearances or approvals;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clear or approve pending applications or supplements to approved applications submitted by us;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sub-assembly suppliers’ facilities;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0" w:name="page71"/>
    <w:bookmarkEnd w:id="70"/>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95"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0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if the Supreme Court reverses or curtails the Chevron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spacing w:after="0" w:line="11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50"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2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66"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1" w:name="page72"/>
    <w:bookmarkEnd w:id="71"/>
    <w:p>
      <w:pPr>
        <w:ind w:right="80"/>
        <w:spacing w:after="0" w:line="281" w:lineRule="auto"/>
        <w:rPr>
          <w:sz w:val="20"/>
          <w:szCs w:val="20"/>
          <w:color w:val="auto"/>
        </w:rPr>
      </w:pPr>
      <w:r>
        <w:rPr>
          <w:rFonts w:ascii="Times New Roman" w:cs="Times New Roman" w:eastAsia="Times New Roman" w:hAnsi="Times New Roman"/>
          <w:sz w:val="18"/>
          <w:szCs w:val="18"/>
          <w:color w:val="auto"/>
        </w:rPr>
        <w:t>jurisdictions outside the United States, a product must be approved for reimbursement before it can be approved for sale in that jurisdiction. In some cases, the price that we intend to charge for our products is also subject to approval.</w:t>
      </w:r>
    </w:p>
    <w:p>
      <w:pPr>
        <w:spacing w:after="0" w:line="9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08"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2" w:lineRule="exact"/>
        <w:rPr>
          <w:sz w:val="20"/>
          <w:szCs w:val="20"/>
          <w:color w:val="auto"/>
        </w:rPr>
      </w:pPr>
    </w:p>
    <w:p>
      <w:pPr>
        <w:ind w:right="60" w:firstLine="8"/>
        <w:spacing w:after="0" w:line="25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1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5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15" w:lineRule="exact"/>
        <w:rPr>
          <w:sz w:val="20"/>
          <w:szCs w:val="20"/>
          <w:color w:val="auto"/>
        </w:rPr>
      </w:pPr>
    </w:p>
    <w:p>
      <w:pPr>
        <w:jc w:val="both"/>
        <w:ind w:right="80" w:firstLine="374"/>
        <w:spacing w:after="0" w:line="258" w:lineRule="auto"/>
        <w:rPr>
          <w:sz w:val="20"/>
          <w:szCs w:val="20"/>
          <w:color w:val="auto"/>
        </w:rPr>
      </w:pPr>
      <w:r>
        <w:rPr>
          <w:rFonts w:ascii="Times New Roman" w:cs="Times New Roman" w:eastAsia="Times New Roman" w:hAnsi="Times New Roman"/>
          <w:sz w:val="18"/>
          <w:szCs w:val="18"/>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101"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2" w:name="page73"/>
    <w:bookmarkEnd w:id="72"/>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the FDA’s QSR or QSMR when it goes into effect in February 2026, or other applicable foreign regulations, our manufacturing or distribution operations could be delayed or shut down and our revenue could suffer.</w:t>
      </w:r>
    </w:p>
    <w:p>
      <w:pPr>
        <w:spacing w:after="0" w:line="5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13" w:lineRule="exact"/>
        <w:rPr>
          <w:sz w:val="20"/>
          <w:szCs w:val="20"/>
          <w:color w:val="auto"/>
        </w:rPr>
      </w:pPr>
    </w:p>
    <w:p>
      <w:pPr>
        <w:jc w:val="both"/>
        <w:ind w:right="140" w:firstLine="374"/>
        <w:spacing w:after="0" w:line="265"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11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can provide no assurance that we will continue to remain in material compliance with the QSR, or QSMR when it goes into effect in February 2026.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1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50"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101"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Medicaid program. The ACA has impacted existing government healthcare programs and has resulted in the development of new programs.</w:t>
      </w:r>
    </w:p>
    <w:p>
      <w:pPr>
        <w:spacing w:after="0" w:line="157" w:lineRule="exact"/>
        <w:rPr>
          <w:sz w:val="20"/>
          <w:szCs w:val="20"/>
          <w:color w:val="auto"/>
        </w:rPr>
      </w:pPr>
    </w:p>
    <w:p>
      <w:pPr>
        <w:ind w:right="220" w:firstLine="374"/>
        <w:spacing w:after="0" w:line="255" w:lineRule="auto"/>
        <w:rPr>
          <w:sz w:val="20"/>
          <w:szCs w:val="20"/>
          <w:color w:val="auto"/>
        </w:rPr>
      </w:pPr>
      <w:r>
        <w:rPr>
          <w:rFonts w:ascii="Times New Roman" w:cs="Times New Roman" w:eastAsia="Times New Roman" w:hAnsi="Times New Roman"/>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0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119" w:lineRule="exact"/>
        <w:rPr>
          <w:sz w:val="20"/>
          <w:szCs w:val="20"/>
          <w:color w:val="auto"/>
        </w:rPr>
      </w:pPr>
    </w:p>
    <w:p>
      <w:pPr>
        <w:ind w:right="440" w:firstLine="374"/>
        <w:spacing w:after="0" w:line="265"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110"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57"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4" w:name="page75"/>
    <w:bookmarkEnd w:id="7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5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119"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105" w:lineRule="exact"/>
        <w:rPr>
          <w:sz w:val="20"/>
          <w:szCs w:val="20"/>
          <w:color w:val="auto"/>
        </w:rPr>
      </w:pPr>
    </w:p>
    <w:p>
      <w:pPr>
        <w:ind w:left="1140" w:right="20" w:hanging="383"/>
        <w:spacing w:after="0" w:line="25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118" w:lineRule="exact"/>
        <w:rPr>
          <w:rFonts w:ascii="Times New Roman" w:cs="Times New Roman" w:eastAsia="Times New Roman" w:hAnsi="Times New Roman"/>
          <w:sz w:val="18"/>
          <w:szCs w:val="18"/>
          <w:color w:val="auto"/>
        </w:rPr>
      </w:pPr>
    </w:p>
    <w:p>
      <w:pPr>
        <w:ind w:left="1140" w:right="60" w:hanging="383"/>
        <w:spacing w:after="0" w:line="25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14" w:lineRule="exact"/>
        <w:rPr>
          <w:rFonts w:ascii="Times New Roman" w:cs="Times New Roman" w:eastAsia="Times New Roman" w:hAnsi="Times New Roman"/>
          <w:sz w:val="18"/>
          <w:szCs w:val="18"/>
          <w:color w:val="auto"/>
        </w:rPr>
      </w:pPr>
    </w:p>
    <w:p>
      <w:pPr>
        <w:ind w:left="1140" w:right="380" w:hanging="383"/>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81" w:lineRule="exact"/>
        <w:rPr>
          <w:rFonts w:ascii="Times New Roman" w:cs="Times New Roman" w:eastAsia="Times New Roman" w:hAnsi="Times New Roman"/>
          <w:sz w:val="18"/>
          <w:szCs w:val="18"/>
          <w:color w:val="auto"/>
        </w:rPr>
      </w:pPr>
    </w:p>
    <w:p>
      <w:pPr>
        <w:ind w:left="1140" w:right="80" w:hanging="383"/>
        <w:spacing w:after="0" w:line="260"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14" w:lineRule="exact"/>
        <w:rPr>
          <w:rFonts w:ascii="Times New Roman" w:cs="Times New Roman" w:eastAsia="Times New Roman" w:hAnsi="Times New Roman"/>
          <w:sz w:val="18"/>
          <w:szCs w:val="18"/>
          <w:color w:val="auto"/>
        </w:rPr>
      </w:pPr>
    </w:p>
    <w:p>
      <w:pPr>
        <w:ind w:left="1140" w:right="40" w:hanging="383"/>
        <w:spacing w:after="0" w:line="276" w:lineRule="auto"/>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5" w:name="page76"/>
    <w:bookmarkEnd w:id="75"/>
    <w:p>
      <w:pPr>
        <w:ind w:left="1140"/>
        <w:spacing w:after="0"/>
        <w:rPr>
          <w:sz w:val="20"/>
          <w:szCs w:val="20"/>
          <w:color w:val="auto"/>
        </w:rPr>
      </w:pPr>
      <w:r>
        <w:rPr>
          <w:rFonts w:ascii="Times New Roman" w:cs="Times New Roman" w:eastAsia="Times New Roman" w:hAnsi="Times New Roman"/>
          <w:sz w:val="18"/>
          <w:szCs w:val="18"/>
          <w:color w:val="auto"/>
        </w:rPr>
        <w:t>information regarding ownership and investment interests held by physicians and their immediate family members; and</w:t>
      </w:r>
    </w:p>
    <w:p>
      <w:pPr>
        <w:spacing w:after="0" w:line="157" w:lineRule="exact"/>
        <w:rPr>
          <w:sz w:val="20"/>
          <w:szCs w:val="20"/>
          <w:color w:val="auto"/>
        </w:rPr>
      </w:pPr>
    </w:p>
    <w:p>
      <w:pPr>
        <w:ind w:left="1140" w:right="40" w:hanging="383"/>
        <w:spacing w:after="0" w:line="254"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08"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11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1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10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6" w:name="page77"/>
    <w:bookmarkEnd w:id="76"/>
    <w:p>
      <w:pPr>
        <w:spacing w:after="0" w:line="281" w:lineRule="auto"/>
        <w:rPr>
          <w:sz w:val="20"/>
          <w:szCs w:val="20"/>
          <w:color w:val="auto"/>
        </w:rPr>
      </w:pPr>
      <w:r>
        <w:rPr>
          <w:rFonts w:ascii="Times New Roman" w:cs="Times New Roman" w:eastAsia="Times New Roman" w:hAnsi="Times New Roman"/>
          <w:sz w:val="18"/>
          <w:szCs w:val="18"/>
          <w:color w:val="auto"/>
        </w:rPr>
        <w:t>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CMS fee schedules may harm our revenue and operating results.</w:t>
      </w:r>
    </w:p>
    <w:p>
      <w:pPr>
        <w:spacing w:after="0" w:line="121"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10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50" w:lineRule="exact"/>
        <w:rPr>
          <w:sz w:val="20"/>
          <w:szCs w:val="20"/>
          <w:color w:val="auto"/>
        </w:rPr>
      </w:pPr>
    </w:p>
    <w:p>
      <w:pPr>
        <w:ind w:right="180" w:firstLine="374"/>
        <w:spacing w:after="0" w:line="276"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03"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50"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05" w:lineRule="exact"/>
        <w:rPr>
          <w:sz w:val="20"/>
          <w:szCs w:val="20"/>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some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emphasis on clinical data;</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transparency, including publication of clinical trial data and safety summaries;</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7" w:name="page78"/>
    <w:bookmarkEnd w:id="77"/>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content and structure for technical files to support registration;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device identification system;</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burden on post-market surveillance and clinical follow-up;</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adverse event reporting time from 30 to 15 days after the event;</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review times; and</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power to notified bodies.</w:t>
      </w:r>
    </w:p>
    <w:p>
      <w:pPr>
        <w:spacing w:after="0" w:line="157"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11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5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failures associated with our products could lead to recalls, safety alerts or litigation, as well as significant costs and negative publicity.</w:t>
      </w:r>
    </w:p>
    <w:p>
      <w:pPr>
        <w:spacing w:after="0" w:line="12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119"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11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8" w:name="page79"/>
    <w:bookmarkEnd w:id="78"/>
    <w:p>
      <w:pPr>
        <w:ind w:right="40"/>
        <w:spacing w:after="0" w:line="258" w:lineRule="auto"/>
        <w:rPr>
          <w:sz w:val="20"/>
          <w:szCs w:val="20"/>
          <w:color w:val="auto"/>
        </w:rPr>
      </w:pPr>
      <w:r>
        <w:rPr>
          <w:rFonts w:ascii="Times New Roman" w:cs="Times New Roman" w:eastAsia="Times New Roman" w:hAnsi="Times New Roman"/>
          <w:sz w:val="18"/>
          <w:szCs w:val="18"/>
          <w:color w:val="auto"/>
        </w:rPr>
        <w:t>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1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0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1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50"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2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9" w:name="page80"/>
    <w:bookmarkEnd w:id="79"/>
    <w:p>
      <w:pPr>
        <w:ind w:right="80"/>
        <w:spacing w:after="0" w:line="258" w:lineRule="auto"/>
        <w:rPr>
          <w:sz w:val="20"/>
          <w:szCs w:val="20"/>
          <w:color w:val="auto"/>
        </w:rPr>
      </w:pPr>
      <w:r>
        <w:rPr>
          <w:rFonts w:ascii="Times New Roman" w:cs="Times New Roman" w:eastAsia="Times New Roman" w:hAnsi="Times New Roman"/>
          <w:sz w:val="18"/>
          <w:szCs w:val="18"/>
          <w:color w:val="auto"/>
        </w:rPr>
        <w:t>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1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50"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0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1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and security protection practices.</w:t>
      </w:r>
    </w:p>
    <w:p>
      <w:pPr>
        <w:spacing w:after="0" w:line="50"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or other incidents could result in a violation of applicable United States and international privacy, data protection, security and other laws, and subject us to individual or consumer class action litigation and governmental investigations and proceedings by federal,</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0" w:name="page81"/>
    <w:bookmarkEnd w:id="80"/>
    <w:p>
      <w:pPr>
        <w:spacing w:after="0" w:line="265" w:lineRule="auto"/>
        <w:rPr>
          <w:sz w:val="20"/>
          <w:szCs w:val="20"/>
          <w:color w:val="auto"/>
        </w:rPr>
      </w:pPr>
      <w:r>
        <w:rPr>
          <w:rFonts w:ascii="Times New Roman" w:cs="Times New Roman" w:eastAsia="Times New Roman" w:hAnsi="Times New Roman"/>
          <w:sz w:val="18"/>
          <w:szCs w:val="18"/>
          <w:color w:val="auto"/>
        </w:rPr>
        <w:t>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110" w:lineRule="exact"/>
        <w:rPr>
          <w:sz w:val="20"/>
          <w:szCs w:val="20"/>
          <w:color w:val="auto"/>
        </w:rPr>
      </w:pPr>
    </w:p>
    <w:p>
      <w:pPr>
        <w:ind w:right="100" w:firstLine="374"/>
        <w:spacing w:after="0" w:line="251" w:lineRule="auto"/>
        <w:rPr>
          <w:sz w:val="20"/>
          <w:szCs w:val="20"/>
          <w:color w:val="auto"/>
        </w:rPr>
      </w:pPr>
      <w:r>
        <w:rPr>
          <w:rFonts w:ascii="Times New Roman" w:cs="Times New Roman" w:eastAsia="Times New Roman" w:hAnsi="Times New Roman"/>
          <w:sz w:val="18"/>
          <w:szCs w:val="18"/>
          <w:color w:val="auto"/>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United States, California adopted the CCPA in January 2020, which requires certain companies that process information of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practices and policies and to incur substantial costs and expenses in an effort to comply.</w:t>
      </w:r>
    </w:p>
    <w:p>
      <w:pPr>
        <w:spacing w:after="0" w:line="12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119"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and other policies and practices. We could incur significant costs investigating and defending such claims and, if we are found liable, significant damages.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results could be adversely affected.</w:t>
      </w:r>
    </w:p>
    <w:p>
      <w:pPr>
        <w:spacing w:after="0" w:line="13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and the United Kingdom has adopted new standard contractual clauses that also are required to be implemented.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spacing w:after="0" w:line="113"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12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6"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10"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2" w:name="page83"/>
    <w:bookmarkEnd w:id="82"/>
    <w:p>
      <w:pPr>
        <w:spacing w:after="0" w:line="256" w:lineRule="auto"/>
        <w:rPr>
          <w:sz w:val="20"/>
          <w:szCs w:val="20"/>
          <w:color w:val="auto"/>
        </w:rPr>
      </w:pPr>
      <w:r>
        <w:rPr>
          <w:rFonts w:ascii="Times New Roman" w:cs="Times New Roman" w:eastAsia="Times New Roman" w:hAnsi="Times New Roman"/>
          <w:sz w:val="18"/>
          <w:szCs w:val="18"/>
          <w:color w:val="auto"/>
        </w:rPr>
        <w:t>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p>
    <w:p>
      <w:pPr>
        <w:spacing w:after="0" w:line="11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93"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12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11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66"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From time to time, we engage consultants to help design, monitor and analyze the results of certain of our clinical studies and trials. The consultants we engage interact with clinical investigators to enroll patients in our</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83" w:name="page84"/>
    <w:bookmarkEnd w:id="83"/>
    <w:p>
      <w:pPr>
        <w:spacing w:after="0" w:line="254" w:lineRule="auto"/>
        <w:rPr>
          <w:sz w:val="20"/>
          <w:szCs w:val="20"/>
          <w:color w:val="auto"/>
        </w:rPr>
      </w:pPr>
      <w:r>
        <w:rPr>
          <w:rFonts w:ascii="Times New Roman" w:cs="Times New Roman" w:eastAsia="Times New Roman" w:hAnsi="Times New Roman"/>
          <w:sz w:val="18"/>
          <w:szCs w:val="18"/>
          <w:color w:val="auto"/>
        </w:rPr>
        <w:t>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50"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0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19"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11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50"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84" w:name="page85"/>
    <w:bookmarkEnd w:id="84"/>
    <w:p>
      <w:pPr>
        <w:ind w:right="60"/>
        <w:spacing w:after="0" w:line="256" w:lineRule="auto"/>
        <w:rPr>
          <w:sz w:val="20"/>
          <w:szCs w:val="20"/>
          <w:color w:val="auto"/>
        </w:rPr>
      </w:pPr>
      <w:r>
        <w:rPr>
          <w:rFonts w:ascii="Times New Roman" w:cs="Times New Roman" w:eastAsia="Times New Roman" w:hAnsi="Times New Roman"/>
          <w:sz w:val="18"/>
          <w:szCs w:val="18"/>
          <w:color w:val="auto"/>
        </w:rPr>
        <w:t>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highly volatile and could be subject to wide fluctuations in response to various factors, some of which we cannot control. From the date of our initial public offering through May 1, 2024, our common stock has traded at a low of $8.80 and a high of $58.21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spacing w:after="0" w:line="118"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our results of operations and updates regarding our business;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current and future products or those of our competitors;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43" w:lineRule="exact"/>
        <w:rPr>
          <w:rFonts w:ascii="Times New Roman" w:cs="Times New Roman" w:eastAsia="Times New Roman" w:hAnsi="Times New Roman"/>
          <w:sz w:val="18"/>
          <w:szCs w:val="18"/>
          <w:color w:val="auto"/>
        </w:rPr>
      </w:pPr>
    </w:p>
    <w:p>
      <w:pPr>
        <w:ind w:left="1140" w:right="600" w:hanging="383"/>
        <w:spacing w:after="0" w:line="281"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85" w:name="page86"/>
    <w:bookmarkEnd w:id="85"/>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medical device sector;</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 and</w:t>
      </w:r>
    </w:p>
    <w:p>
      <w:pPr>
        <w:spacing w:after="0" w:line="157"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global and national events, such as the conflicts in Eastern Europe, and general economic downturns.</w:t>
      </w:r>
    </w:p>
    <w:p>
      <w:pPr>
        <w:spacing w:after="0" w:line="82"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Part II, Item 1A, “Risk Factors,” could have a dramatic and adverse impact on the market price of our common stock.</w:t>
      </w:r>
    </w:p>
    <w:p>
      <w:pPr>
        <w:spacing w:after="0" w:line="95"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5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9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50" w:lineRule="exact"/>
        <w:rPr>
          <w:sz w:val="20"/>
          <w:szCs w:val="20"/>
          <w:color w:val="auto"/>
        </w:rPr>
      </w:pPr>
    </w:p>
    <w:p>
      <w:pPr>
        <w:ind w:right="240" w:firstLine="374"/>
        <w:spacing w:after="0" w:line="272" w:lineRule="auto"/>
        <w:rPr>
          <w:sz w:val="20"/>
          <w:szCs w:val="20"/>
          <w:color w:val="auto"/>
        </w:rPr>
      </w:pPr>
      <w:r>
        <w:rPr>
          <w:rFonts w:ascii="Times New Roman" w:cs="Times New Roman" w:eastAsia="Times New Roman" w:hAnsi="Times New Roman"/>
          <w:sz w:val="17"/>
          <w:szCs w:val="17"/>
          <w:color w:val="auto"/>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6" w:name="page87"/>
    <w:bookmarkEnd w:id="86"/>
    <w:p>
      <w:pPr>
        <w:ind w:right="420" w:firstLine="374"/>
        <w:spacing w:after="0" w:line="281" w:lineRule="auto"/>
        <w:rPr>
          <w:sz w:val="20"/>
          <w:szCs w:val="20"/>
          <w:color w:val="auto"/>
        </w:rPr>
      </w:pPr>
      <w:r>
        <w:rPr>
          <w:rFonts w:ascii="Times New Roman" w:cs="Times New Roman" w:eastAsia="Times New Roman" w:hAnsi="Times New Roman"/>
          <w:sz w:val="18"/>
          <w:szCs w:val="18"/>
          <w:color w:val="auto"/>
        </w:rPr>
        <w:t>As of March 31, 2024, we had 37,161,753 shares of common stock issued and outstanding. All of these shares are available for sale in the public market, subject to limitations under Rule 144 with respect to affiliates of our company.</w:t>
      </w:r>
    </w:p>
    <w:p>
      <w:pPr>
        <w:spacing w:after="0" w:line="95"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have filed registration statements on Form S-8 under the Securities Act registering the offer and sale of up to an aggregate of 10,660,797 shares of common stock pursuant to our Equity Plans and an aggregate of 757,694 shares of common stock pursuant to our 2021 ESPP. Our 2021 Plan and 2021 ESPP each contain an evergreen provision that may increase the number of shares available for issuance pursuant to such plans on the first day of each fiscal year. See Note 6 – Stock-Based Compensation Expense in the Notes to the unaudited condensed consolidated financial statements included in this report.</w:t>
      </w:r>
    </w:p>
    <w:p>
      <w:pPr>
        <w:spacing w:after="0" w:line="10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On August 8, 2022, we filed a $200.0 million shelf registration statement which became effective on August 12, 2022. The shelf registration statement is effective for three years and permits us to sell, from time to time, up to $200.0 million in aggregate value of our common stock, preferred stock, debt securities, warrants, and/or units. The shelf registration statement is intended to provide us with flexibility to access additional capital when market conditions are appropriate. At the time of filing of the shelf registration statement, we also filed a prospectus supplement to sell up to an aggregate value of $50.0 million dollars of our common stock through an “at-the-market” (the “ATM”) offering. The shares were offered through BofA Securities, Inc. as sales agent. As of December 31, 2023, the full $50 million authorized under the ATM offering was sold. On February 10, 2023, we filed a prospectus supplement to sell $50.0 million dollars of our common stock in an underwritten public offering (the “Public Offering”). Pursuant to the Public Offering, we granted the underwriters an option to purchase up to an additional $7.5 million of our common stock. On February 10, 2023, we sold $50.0 million of our common stock and on February 14, 2023, the underwriters exercised their over-allotment option in full. As of March 31, 2024, $92.5 million remains available for issuance under the shelf registration statement.</w:t>
      </w:r>
    </w:p>
    <w:p>
      <w:pPr>
        <w:spacing w:after="0" w:line="124"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On February 28, 2024, we filed a registration statement on Form S-8 under the Securities Act to register the issuance of 1,445,580 shares of common stock subject to options or other equity awards reserved for future issuance under the 2021 Plan. The number of shares registered represents the annual evergreen increase calculated as 4% of the outstanding shares of our common stock on the last day of fiscal year 2023 under our 2021 Plan.</w:t>
      </w:r>
    </w:p>
    <w:p>
      <w:pPr>
        <w:spacing w:after="0" w:line="110"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9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6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 a public company we are incurring significant legal, accounting and other expenses and these expenses may increase since after December 31, 2023, we are no longer considered an “emerging growth company.” We are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and effort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employees and persons to serve on our Board of Directors, our board committees or as executive officers.</w:t>
      </w:r>
    </w:p>
    <w:p>
      <w:pPr>
        <w:spacing w:after="0" w:line="119"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Because we no longer qualify as an “emerging growth company” we will incur additional expenses and management’s time may be diverted in an effort to comply with compliance-related activities to comply with the increased documentation and reporting requirements under Section 404(b) of the Sarbanes-Oxley Act of 2002. The Sarbanes-Oxley Act requires, among other things, that we assess the effectiveness of our internal control over financial reporting annually and the effectiveness of our disclosure controls and procedures quarterly. In addition,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87" w:name="page88"/>
    <w:bookmarkEnd w:id="87"/>
    <w:p>
      <w:pPr>
        <w:ind w:right="60"/>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p>
    <w:p>
      <w:pPr>
        <w:spacing w:after="0" w:line="118" w:lineRule="exact"/>
        <w:rPr>
          <w:sz w:val="20"/>
          <w:szCs w:val="20"/>
          <w:color w:val="auto"/>
        </w:rPr>
      </w:pPr>
    </w:p>
    <w:p>
      <w:pPr>
        <w:jc w:val="both"/>
        <w:ind w:right="260" w:firstLine="374"/>
        <w:spacing w:after="0" w:line="260"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01"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0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50"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96"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43" w:lineRule="exact"/>
        <w:rPr>
          <w:rFonts w:ascii="Times New Roman" w:cs="Times New Roman" w:eastAsia="Times New Roman" w:hAnsi="Times New Roman"/>
          <w:sz w:val="18"/>
          <w:szCs w:val="18"/>
          <w:color w:val="auto"/>
        </w:rPr>
      </w:pPr>
    </w:p>
    <w:p>
      <w:pPr>
        <w:ind w:left="1140" w:right="280" w:hanging="383"/>
        <w:spacing w:after="0" w:line="281"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57" w:lineRule="exact"/>
        <w:rPr>
          <w:rFonts w:ascii="Times New Roman" w:cs="Times New Roman" w:eastAsia="Times New Roman" w:hAnsi="Times New Roman"/>
          <w:sz w:val="18"/>
          <w:szCs w:val="18"/>
          <w:color w:val="auto"/>
        </w:rPr>
      </w:pPr>
    </w:p>
    <w:p>
      <w:pPr>
        <w:ind w:left="1140" w:right="740" w:hanging="383"/>
        <w:spacing w:after="0" w:line="281"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8" w:name="page89"/>
    <w:bookmarkEnd w:id="88"/>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57"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01"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0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spacing w:after="0" w:line="110"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bylaws;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4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115"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124"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This Delaware forum provision does not apply to actions arising under the Securities Exchange Act of 1934 because the federal courts have exclusive jurisdiction over such claims.</w:t>
      </w:r>
    </w:p>
    <w:p>
      <w:pPr>
        <w:spacing w:after="0" w:line="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89" w:name="page90"/>
    <w:bookmarkEnd w:id="89"/>
    <w:p>
      <w:pPr>
        <w:ind w:firstLine="374"/>
        <w:spacing w:after="0" w:line="256" w:lineRule="auto"/>
        <w:rPr>
          <w:sz w:val="20"/>
          <w:szCs w:val="20"/>
          <w:color w:val="auto"/>
        </w:rPr>
      </w:pPr>
      <w:r>
        <w:rPr>
          <w:rFonts w:ascii="Times New Roman" w:cs="Times New Roman" w:eastAsia="Times New Roman" w:hAnsi="Times New Roman"/>
          <w:sz w:val="18"/>
          <w:szCs w:val="18"/>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11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are authorized to issue and designate shares of our preferred stock in additional series without stockholder approval under our charter documents and Delaware law.</w:t>
      </w:r>
    </w:p>
    <w:p>
      <w:pPr>
        <w:spacing w:after="0" w:line="5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9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0" w:lineRule="exact"/>
        <w:rPr>
          <w:sz w:val="20"/>
          <w:szCs w:val="20"/>
          <w:color w:val="auto"/>
        </w:rPr>
      </w:pPr>
    </w:p>
    <w:p>
      <w:pPr>
        <w:ind w:right="80" w:firstLine="374"/>
        <w:spacing w:after="0" w:line="252" w:lineRule="auto"/>
        <w:rPr>
          <w:sz w:val="20"/>
          <w:szCs w:val="20"/>
          <w:color w:val="auto"/>
        </w:rPr>
      </w:pPr>
      <w:r>
        <w:rPr>
          <w:rFonts w:ascii="Times New Roman" w:cs="Times New Roman" w:eastAsia="Times New Roman" w:hAnsi="Times New Roman"/>
          <w:sz w:val="18"/>
          <w:szCs w:val="18"/>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beginning in 2022, the Tax Act eliminates the option to immediately deduct research and development expenditures currently and requires taxpayers to capitalize and amortize them over five or fifteen years pursuant to Section 174 of the Code, which may impact our effective tax rate and our cash tax liability in 2022 or in future years.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was effective beginning in fiscal year 2023. We do not currently expect that the IRA will have a material impact on our income tax liability.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90" w:name="page91"/>
    <w:bookmarkEnd w:id="90"/>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or security breaches or incidents.</w:t>
      </w:r>
    </w:p>
    <w:p>
      <w:pPr>
        <w:spacing w:after="0" w:line="12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spacing w:after="0" w:line="11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spacing w:after="0" w:line="119" w:lineRule="exact"/>
        <w:rPr>
          <w:sz w:val="20"/>
          <w:szCs w:val="20"/>
          <w:color w:val="auto"/>
        </w:rPr>
      </w:pPr>
    </w:p>
    <w:p>
      <w:pPr>
        <w:ind w:right="440" w:firstLine="374"/>
        <w:spacing w:after="0" w:line="281"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security breaches, incidents, or failures and their consequences. As data</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91" w:name="page92"/>
    <w:bookmarkEnd w:id="91"/>
    <w:p>
      <w:pPr>
        <w:ind w:right="60"/>
        <w:spacing w:after="0" w:line="256" w:lineRule="auto"/>
        <w:rPr>
          <w:sz w:val="20"/>
          <w:szCs w:val="20"/>
          <w:color w:val="auto"/>
        </w:rPr>
      </w:pPr>
      <w:r>
        <w:rPr>
          <w:rFonts w:ascii="Times New Roman" w:cs="Times New Roman" w:eastAsia="Times New Roman" w:hAnsi="Times New Roman"/>
          <w:sz w:val="18"/>
          <w:szCs w:val="18"/>
          <w:color w:val="auto"/>
        </w:rPr>
        <w:t>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11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may adversely affect our business.</w:t>
      </w:r>
    </w:p>
    <w:p>
      <w:pPr>
        <w:spacing w:after="0" w:line="161"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w:t>
      </w:r>
    </w:p>
    <w:p>
      <w:pPr>
        <w:spacing w:after="0" w:line="111"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p>
      <w:pPr>
        <w:spacing w:after="0" w:line="101"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spacing w:after="0" w:line="114" w:lineRule="exact"/>
        <w:rPr>
          <w:sz w:val="20"/>
          <w:szCs w:val="20"/>
          <w:color w:val="auto"/>
        </w:rPr>
      </w:pPr>
    </w:p>
    <w:p>
      <w:pPr>
        <w:jc w:val="both"/>
        <w:ind w:right="140" w:firstLine="374"/>
        <w:spacing w:after="0" w:line="265" w:lineRule="auto"/>
        <w:rPr>
          <w:sz w:val="20"/>
          <w:szCs w:val="20"/>
          <w:color w:val="auto"/>
        </w:rPr>
      </w:pPr>
      <w:r>
        <w:rPr>
          <w:rFonts w:ascii="Times New Roman" w:cs="Times New Roman" w:eastAsia="Times New Roman" w:hAnsi="Times New Roman"/>
          <w:sz w:val="18"/>
          <w:szCs w:val="18"/>
          <w:color w:val="auto"/>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18"/>
          <w:szCs w:val="18"/>
          <w:color w:val="auto"/>
        </w:rPr>
        <w:t>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0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5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24"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Recent Sales of Unregistered Securities</w:t>
      </w: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93" w:name="page94"/>
    <w:bookmarkEnd w:id="93"/>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80" w:right="7060" w:hanging="372"/>
        <w:spacing w:after="0" w:line="411" w:lineRule="auto"/>
        <w:tabs>
          <w:tab w:leader="none" w:pos="26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Registered Securities </w:t>
      </w:r>
      <w:r>
        <w:rPr>
          <w:rFonts w:ascii="Times New Roman" w:cs="Times New Roman" w:eastAsia="Times New Roman" w:hAnsi="Times New Roman"/>
          <w:sz w:val="18"/>
          <w:szCs w:val="18"/>
          <w:color w:val="auto"/>
        </w:rPr>
        <w:t>None</w:t>
      </w:r>
    </w:p>
    <w:p>
      <w:pPr>
        <w:spacing w:after="0" w:line="154" w:lineRule="exact"/>
        <w:rPr>
          <w:rFonts w:ascii="Times New Roman" w:cs="Times New Roman" w:eastAsia="Times New Roman" w:hAnsi="Times New Roman"/>
          <w:sz w:val="18"/>
          <w:szCs w:val="18"/>
          <w:b w:val="1"/>
          <w:bCs w:val="1"/>
          <w:i w:val="1"/>
          <w:iCs w:val="1"/>
          <w:color w:val="auto"/>
        </w:rPr>
      </w:pPr>
    </w:p>
    <w:p>
      <w:pPr>
        <w:ind w:left="380" w:right="7500" w:hanging="372"/>
        <w:spacing w:after="0" w:line="398" w:lineRule="auto"/>
        <w:tabs>
          <w:tab w:leader="none" w:pos="25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94" w:name="page95"/>
    <w:bookmarkEnd w:id="94"/>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 unless otherwise stated.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8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6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21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0"/>
        </w:trPr>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60" w:type="dxa"/>
            <w:vAlign w:val="bottom"/>
            <w:tcBorders>
              <w:lef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60" w:type="dxa"/>
            <w:vAlign w:val="bottom"/>
            <w:tcBorders>
              <w:left w:val="single" w:sz="8" w:color="0000FF"/>
            </w:tcBorders>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the Sarbanes-Oxley Act of 2002.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r>
      <w:tr>
        <w:trPr>
          <w:trHeight w:val="4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r>
      <w:tr>
        <w:trPr>
          <w:trHeight w:val="20"/>
        </w:trPr>
        <w:tc>
          <w:tcPr>
            <w:tcW w:w="100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r>
      <w:tr>
        <w:trPr>
          <w:trHeight w:val="20"/>
        </w:trPr>
        <w:tc>
          <w:tcPr>
            <w:tcW w:w="100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the Sarbanes-Oxley Act of 2002.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7440" w:type="dxa"/>
            <w:vAlign w:val="bottom"/>
            <w:gridSpan w:val="5"/>
          </w:tcPr>
          <w:p>
            <w:pPr>
              <w:spacing w:after="0" w:line="20" w:lineRule="exact"/>
              <w:rPr>
                <w:sz w:val="1"/>
                <w:szCs w:val="1"/>
                <w:color w:val="auto"/>
              </w:rPr>
            </w:pPr>
          </w:p>
        </w:tc>
      </w:tr>
      <w:tr>
        <w:trPr>
          <w:trHeight w:val="6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10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70" w:lineRule="exact"/>
        <w:rPr>
          <w:sz w:val="20"/>
          <w:szCs w:val="20"/>
          <w:color w:val="auto"/>
        </w:rPr>
      </w:pPr>
    </w:p>
    <w:p>
      <w:pPr>
        <w:ind w:left="1000" w:hanging="979"/>
        <w:spacing w:after="0"/>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05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5" w:lineRule="exact"/>
        <w:rPr>
          <w:sz w:val="20"/>
          <w:szCs w:val="20"/>
          <w:color w:val="auto"/>
        </w:rPr>
      </w:pPr>
    </w:p>
    <w:p>
      <w:pPr>
        <w:jc w:val="both"/>
        <w:ind w:firstLine="8"/>
        <w:spacing w:after="0" w:line="260" w:lineRule="auto"/>
        <w:tabs>
          <w:tab w:leader="none" w:pos="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spacing w:after="0" w:line="3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95" w:name="page96"/>
    <w:bookmarkEnd w:id="95"/>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RxSight, Inc.</w:t>
            </w: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May 6, 2024</w:t>
            </w:r>
          </w:p>
        </w:tc>
        <w:tc>
          <w:tcPr>
            <w:tcW w:w="3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 Ron Kurtz, M.D.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300" w:type="dxa"/>
            <w:vAlign w:val="bottom"/>
            <w:tcBorders>
              <w:top w:val="single" w:sz="8" w:color="auto"/>
            </w:tcBorders>
          </w:tcPr>
          <w:p>
            <w:pPr>
              <w:jc w:val="center"/>
              <w:ind w:right="350"/>
              <w:spacing w:after="0" w:line="204" w:lineRule="exact"/>
              <w:rPr>
                <w:sz w:val="20"/>
                <w:szCs w:val="20"/>
                <w:color w:val="auto"/>
              </w:rPr>
            </w:pPr>
            <w:r>
              <w:rPr>
                <w:rFonts w:ascii="Times New Roman" w:cs="Times New Roman" w:eastAsia="Times New Roman" w:hAnsi="Times New Roman"/>
                <w:sz w:val="18"/>
                <w:szCs w:val="18"/>
                <w:color w:val="auto"/>
                <w:w w:val="99"/>
              </w:rPr>
              <w:t>Ron Kurtz, M.D.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Date: May 6, 2024</w:t>
            </w:r>
          </w:p>
        </w:tc>
        <w:tc>
          <w:tcPr>
            <w:tcW w:w="3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/s/ Shelley Thunen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480" w:type="dxa"/>
            <w:vAlign w:val="bottom"/>
            <w:vMerge w:val="continue"/>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00" w:type="dxa"/>
            <w:vAlign w:val="bottom"/>
          </w:tcPr>
          <w:p>
            <w:pPr>
              <w:jc w:val="center"/>
              <w:ind w:right="350"/>
              <w:spacing w:after="0" w:line="204" w:lineRule="exact"/>
              <w:rPr>
                <w:sz w:val="20"/>
                <w:szCs w:val="20"/>
                <w:color w:val="auto"/>
              </w:rPr>
            </w:pPr>
            <w:r>
              <w:rPr>
                <w:rFonts w:ascii="Times New Roman" w:cs="Times New Roman" w:eastAsia="Times New Roman" w:hAnsi="Times New Roman"/>
                <w:sz w:val="18"/>
                <w:szCs w:val="18"/>
                <w:color w:val="auto"/>
              </w:rPr>
              <w:t>Shelley Thunen</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3480" w:type="dxa"/>
            <w:vAlign w:val="bottom"/>
          </w:tcPr>
          <w:p>
            <w:pPr>
              <w:spacing w:after="0"/>
              <w:rPr>
                <w:sz w:val="24"/>
                <w:szCs w:val="24"/>
                <w:color w:val="auto"/>
              </w:rPr>
            </w:pPr>
          </w:p>
        </w:tc>
        <w:tc>
          <w:tcPr>
            <w:tcW w:w="30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0"/>
        </w:trPr>
        <w:tc>
          <w:tcPr>
            <w:tcW w:w="34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Kurtz, M.D., certify that:</w:t>
      </w:r>
    </w:p>
    <w:p>
      <w:pPr>
        <w:spacing w:after="0" w:line="225" w:lineRule="exact"/>
        <w:rPr>
          <w:sz w:val="20"/>
          <w:szCs w:val="20"/>
          <w:color w:val="auto"/>
        </w:rPr>
      </w:pPr>
    </w:p>
    <w:p>
      <w:pPr>
        <w:ind w:left="500" w:hanging="479"/>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RxSight, Inc.;</w:t>
      </w:r>
    </w:p>
    <w:p>
      <w:pPr>
        <w:spacing w:after="0" w:line="237" w:lineRule="exact"/>
        <w:rPr>
          <w:rFonts w:ascii="Times New Roman" w:cs="Times New Roman" w:eastAsia="Times New Roman" w:hAnsi="Times New Roman"/>
          <w:sz w:val="18"/>
          <w:szCs w:val="18"/>
          <w:color w:val="auto"/>
        </w:rPr>
      </w:pPr>
    </w:p>
    <w:p>
      <w:pPr>
        <w:jc w:val="both"/>
        <w:ind w:left="500" w:right="300" w:hanging="479"/>
        <w:spacing w:after="0" w:line="265"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00" w:right="260" w:hanging="479"/>
        <w:spacing w:after="0" w:line="281"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500" w:right="280" w:hanging="479"/>
        <w:spacing w:after="0" w:line="265"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80" w:right="160" w:hanging="587"/>
        <w:spacing w:after="0" w:line="265"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80" w:right="280" w:hanging="587"/>
        <w:spacing w:after="0" w:line="265"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80" w:right="460" w:hanging="587"/>
        <w:spacing w:after="0" w:line="312" w:lineRule="auto"/>
        <w:tabs>
          <w:tab w:leader="none" w:pos="108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left="1080" w:right="160" w:hanging="587"/>
        <w:spacing w:after="0" w:line="265"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00" w:right="260" w:hanging="479"/>
        <w:spacing w:after="0" w:line="281"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080" w:right="700" w:hanging="587"/>
        <w:spacing w:after="0" w:line="281"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080" w:right="380" w:hanging="587"/>
        <w:spacing w:after="0" w:line="281"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2024</w:t>
      </w:r>
    </w:p>
    <w:p>
      <w:pPr>
        <w:spacing w:after="0" w:line="27" w:lineRule="exact"/>
        <w:rPr>
          <w:sz w:val="20"/>
          <w:szCs w:val="20"/>
          <w:color w:val="auto"/>
        </w:rPr>
      </w:pPr>
    </w:p>
    <w:p>
      <w:pPr>
        <w:ind w:left="574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 Kurtz, M.D.</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-125095</wp:posOffset>
            </wp:positionV>
            <wp:extent cx="32880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1514475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Shelley Thunen, certify that:</w:t>
      </w:r>
    </w:p>
    <w:p>
      <w:pPr>
        <w:spacing w:after="0" w:line="225" w:lineRule="exact"/>
        <w:rPr>
          <w:sz w:val="20"/>
          <w:szCs w:val="20"/>
          <w:color w:val="auto"/>
        </w:rPr>
      </w:pPr>
    </w:p>
    <w:p>
      <w:pPr>
        <w:ind w:left="500" w:hanging="479"/>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RxSight, Inc.;</w:t>
      </w:r>
    </w:p>
    <w:p>
      <w:pPr>
        <w:spacing w:after="0" w:line="237" w:lineRule="exact"/>
        <w:rPr>
          <w:rFonts w:ascii="Times New Roman" w:cs="Times New Roman" w:eastAsia="Times New Roman" w:hAnsi="Times New Roman"/>
          <w:sz w:val="18"/>
          <w:szCs w:val="18"/>
          <w:color w:val="auto"/>
        </w:rPr>
      </w:pPr>
    </w:p>
    <w:p>
      <w:pPr>
        <w:jc w:val="both"/>
        <w:ind w:left="500" w:right="300" w:hanging="479"/>
        <w:spacing w:after="0" w:line="265"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00" w:right="260" w:hanging="479"/>
        <w:spacing w:after="0" w:line="281"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500" w:right="280" w:hanging="479"/>
        <w:spacing w:after="0" w:line="265"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80" w:right="160" w:hanging="587"/>
        <w:spacing w:after="0" w:line="265"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80" w:right="280" w:hanging="587"/>
        <w:spacing w:after="0" w:line="265"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80" w:right="460" w:hanging="587"/>
        <w:spacing w:after="0" w:line="312" w:lineRule="auto"/>
        <w:tabs>
          <w:tab w:leader="none" w:pos="108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left="1080" w:right="160" w:hanging="587"/>
        <w:spacing w:after="0" w:line="265"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00" w:right="260" w:hanging="479"/>
        <w:spacing w:after="0" w:line="281"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080" w:right="700" w:hanging="587"/>
        <w:spacing w:after="0" w:line="281"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080" w:right="380" w:hanging="587"/>
        <w:spacing w:after="0" w:line="281"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2024</w:t>
      </w:r>
    </w:p>
    <w:p>
      <w:pPr>
        <w:spacing w:after="0" w:line="27" w:lineRule="exact"/>
        <w:rPr>
          <w:sz w:val="20"/>
          <w:szCs w:val="20"/>
          <w:color w:val="auto"/>
        </w:rPr>
      </w:pPr>
    </w:p>
    <w:p>
      <w:pPr>
        <w:ind w:left="57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Shelley Thunen</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-125095</wp:posOffset>
            </wp:positionV>
            <wp:extent cx="32880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RxSight, Inc. (the “Company”) on Form 10-Q for the quarterly period ended March 31, 2024, as filed with the Securities and Exchange Commission on the date hereof (the “Report”), I, Ron Kurtz, M.D., Chief Executive Officer of the Company, certify, pursuant to 18 U.S.C. §1350, as adopted pursuant to §906 of the Sarbanes-Oxley Act of 2002, that, to my knowledge:</w:t>
      </w:r>
    </w:p>
    <w:p>
      <w:pPr>
        <w:spacing w:after="0" w:line="393" w:lineRule="exact"/>
        <w:rPr>
          <w:sz w:val="20"/>
          <w:szCs w:val="20"/>
          <w:color w:val="auto"/>
        </w:rPr>
      </w:pPr>
    </w:p>
    <w:p>
      <w:pPr>
        <w:ind w:left="1080" w:hanging="587"/>
        <w:spacing w:after="0"/>
        <w:tabs>
          <w:tab w:leader="none" w:pos="10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7" w:lineRule="exact"/>
        <w:rPr>
          <w:rFonts w:ascii="Times New Roman" w:cs="Times New Roman" w:eastAsia="Times New Roman" w:hAnsi="Times New Roman"/>
          <w:sz w:val="18"/>
          <w:szCs w:val="18"/>
          <w:color w:val="auto"/>
        </w:rPr>
      </w:pPr>
    </w:p>
    <w:p>
      <w:pPr>
        <w:ind w:left="1040" w:right="560" w:hanging="560"/>
        <w:spacing w:after="0" w:line="281"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Ron Kurtz, M.D.</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RxSight, Inc. (the “Company”) on Form 10-Q for the quarterly period ended March 31, 2024, as filed with the Securities and Exchange Commission on the date hereof (the “Report”), I, Shelley Thunen, Chief Financial Officer of the Company, certify, pursuant to 18 U.S.C. §1350, as adopted pursuant to §906 of the Sarbanes-Oxley Act of 2002, that, to my knowledge:</w:t>
      </w:r>
    </w:p>
    <w:p>
      <w:pPr>
        <w:spacing w:after="0" w:line="177" w:lineRule="exact"/>
        <w:rPr>
          <w:sz w:val="20"/>
          <w:szCs w:val="20"/>
          <w:color w:val="auto"/>
        </w:rPr>
      </w:pPr>
    </w:p>
    <w:p>
      <w:pPr>
        <w:ind w:left="1080" w:hanging="587"/>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7" w:lineRule="exact"/>
        <w:rPr>
          <w:rFonts w:ascii="Times New Roman" w:cs="Times New Roman" w:eastAsia="Times New Roman" w:hAnsi="Times New Roman"/>
          <w:sz w:val="18"/>
          <w:szCs w:val="18"/>
          <w:color w:val="auto"/>
        </w:rPr>
      </w:pPr>
    </w:p>
    <w:p>
      <w:pPr>
        <w:ind w:left="1080" w:right="520" w:hanging="587"/>
        <w:spacing w:after="0" w:line="28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Shelley Thunen</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Roman"/>
      <w:start w:val="4"/>
    </w:lvl>
  </w:abstractNum>
  <w:abstractNum w:abstractNumId="6">
    <w:nsid w:val="8138641"/>
    <w:multiLevelType w:val="hybridMultilevel"/>
    <w:lvl w:ilvl="0">
      <w:lvlJc w:val="left"/>
      <w:lvlText w:val="(%1)"/>
      <w:numFmt w:val="lowerRoman"/>
      <w:start w:val="3"/>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2"/>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lowerLetter"/>
      <w:start w:val="2"/>
    </w:lvl>
  </w:abstractNum>
  <w:abstractNum w:abstractNumId="46">
    <w:nsid w:val="749ABB43"/>
    <w:multiLevelType w:val="hybridMultilevel"/>
    <w:lvl w:ilvl="0">
      <w:lvlJc w:val="left"/>
      <w:lvlText w:val="*"/>
      <w:numFmt w:val="bullet"/>
      <w:start w:val="1"/>
    </w:lvl>
    <w:lvl w:ilvl="1">
      <w:lvlJc w:val="left"/>
      <w:lvlText w:val="%2"/>
      <w:numFmt w:val="decimal"/>
      <w:start w:val="104"/>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decimal"/>
      <w:start w:val="1"/>
    </w:lvl>
  </w:abstractNum>
  <w:abstractNum w:abstractNumId="51">
    <w:nsid w:val="12E685FB"/>
    <w:multiLevelType w:val="hybridMultilevel"/>
    <w:lvl w:ilvl="0">
      <w:lvlJc w:val="left"/>
      <w:lvlText w:val="%1."/>
      <w:numFmt w:val="decimal"/>
      <w:start w:val="2"/>
    </w:lvl>
    <w:lvl w:ilvl="1">
      <w:lvlJc w:val="left"/>
      <w:lvlText w:val="%2"/>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2024-05-06T15:31:24Z</dcterms:created>
  <dcterms:modified xsi:type="dcterms:W3CDTF">2024-05-06T15:31:24Z</dcterms:modified>
</cp:coreProperties>
</file>