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7.jpeg" ContentType="image/jpeg"/>
  <Override PartName="/word/media/image3.gif" ContentType="image/gif"/>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xst-20251231.htm"/>
      <w:bookmarkStart w:id="1" w:name="ksrxst2025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4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w:t>
            </w:r>
            <w:r>
              <w:rPr>
                <w:rFonts w:ascii="Times New Roman" w:hAnsi="Times New Roman"/>
                <w:color w:val="000000"/>
                <w:sz w:val="18"/>
              </w:rPr>
              <w:t xml:space="preserve"> </w:t>
            </w:r>
          </w:p>
        </w:tc>
      </w:tr>
    </w:tbl>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Commission File Number 001-40690</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b/>
          <w:color w:val="000000"/>
          <w:sz w:val="40"/>
        </w:rPr>
      </w:pPr>
      <w:r>
        <w:rPr>
          <w:rFonts w:ascii="Times New Roman" w:hAnsi="Times New Roman"/>
          <w:b/>
          <w:color w:val="000000"/>
          <w:sz w:val="40"/>
        </w:rPr>
        <w:t>RxSight,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94-3268801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100 Columbia</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Aliso Viejo,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92656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40" w:after="283"/>
        <w:jc w:val="center"/>
        <w:rPr>
          <w:rFonts w:ascii="Times New Roman" w:hAnsi="Times New Roman"/>
          <w:sz w:val="20"/>
        </w:rPr>
      </w:pPr>
      <w:r>
        <w:rPr>
          <w:rFonts w:ascii="Times New Roman" w:hAnsi="Times New Roman"/>
          <w:b/>
          <w:color w:val="000000"/>
          <w:sz w:val="18"/>
        </w:rPr>
        <w:t>Registrant’s telephone number, including area code: (949)</w:t>
      </w:r>
      <w:r>
        <w:rPr>
          <w:rFonts w:ascii="Times New Roman" w:hAnsi="Times New Roman"/>
          <w:color w:val="000000"/>
          <w:sz w:val="20"/>
        </w:rPr>
        <w:t xml:space="preserve"> </w:t>
      </w:r>
      <w:r>
        <w:rPr>
          <w:rFonts w:ascii="Times New Roman" w:hAnsi="Times New Roman"/>
          <w:b/>
          <w:color w:val="000000"/>
          <w:sz w:val="18"/>
        </w:rPr>
        <w:t>521-7830</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600" w:type="dxa"/>
        <w:jc w:val="left"/>
        <w:tblInd w:w="0" w:type="dxa"/>
        <w:tblLayout w:type="fixed"/>
        <w:tblCellMar>
          <w:top w:w="28" w:type="dxa"/>
          <w:left w:w="28" w:type="dxa"/>
          <w:bottom w:w="28" w:type="dxa"/>
          <w:right w:w="28" w:type="dxa"/>
        </w:tblCellMar>
      </w:tblPr>
      <w:tblGrid>
        <w:gridCol w:w="3166"/>
        <w:gridCol w:w="146"/>
        <w:gridCol w:w="826"/>
        <w:gridCol w:w="146"/>
        <w:gridCol w:w="3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RXST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40" w:after="283"/>
        <w:jc w:val="left"/>
        <w:rPr>
          <w:rFonts w:ascii="Times New Roman" w:hAnsi="Times New Roman"/>
          <w:color w:val="000000"/>
          <w:sz w:val="15"/>
        </w:rPr>
      </w:pPr>
      <w:r>
        <w:rPr>
          <w:rFonts w:ascii="Times New Roman" w:hAnsi="Times New Roman"/>
          <w:color w:val="000000"/>
          <w:sz w:val="15"/>
        </w:rPr>
        <w:t>Securities registered pursuant to Section 12(g) of the Act: None</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15"/>
        </w:rPr>
        <w:t xml:space="preserve">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6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0" w:after="60"/>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6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Times New Roman" w:hAnsi="Times New Roman"/>
          <w:color w:val="000000"/>
          <w:sz w:val="15"/>
        </w:rPr>
        <w:t>As of June 30, 2025, the aggregate market value of the voting and non-voting common equity held by non-affiliates of the registrant was approximately</w:t>
      </w:r>
      <w:r>
        <w:rPr>
          <w:rFonts w:ascii="Times New Roman" w:hAnsi="Times New Roman"/>
          <w:color w:val="000000"/>
          <w:sz w:val="20"/>
        </w:rPr>
        <w:t xml:space="preserve"> </w:t>
      </w:r>
      <w:r>
        <w:rPr>
          <w:rFonts w:ascii="Times New Roman" w:hAnsi="Times New Roman"/>
          <w:color w:val="000000"/>
          <w:sz w:val="15"/>
        </w:rPr>
        <w:t>$503.8</w:t>
      </w:r>
      <w:r>
        <w:rPr>
          <w:rFonts w:ascii="Times New Roman" w:hAnsi="Times New Roman"/>
          <w:color w:val="000000"/>
          <w:sz w:val="20"/>
        </w:rPr>
        <w:t xml:space="preserve"> </w:t>
      </w:r>
      <w:r>
        <w:rPr>
          <w:rFonts w:ascii="Times New Roman" w:hAnsi="Times New Roman"/>
          <w:color w:val="000000"/>
          <w:sz w:val="15"/>
        </w:rPr>
        <w:t>million</w:t>
      </w:r>
      <w:r>
        <w:rPr>
          <w:rFonts w:ascii="Times New Roman" w:hAnsi="Times New Roman"/>
          <w:color w:val="000000"/>
          <w:sz w:val="20"/>
        </w:rPr>
        <w:t xml:space="preserve"> </w:t>
      </w:r>
      <w:r>
        <w:rPr>
          <w:rFonts w:ascii="Times New Roman" w:hAnsi="Times New Roman"/>
          <w:color w:val="000000"/>
          <w:sz w:val="15"/>
        </w:rPr>
        <w:t>based upon the closing price of $13.00 on the Nasdaq Global Market on such date.</w:t>
      </w:r>
    </w:p>
    <w:p>
      <w:pPr>
        <w:pStyle w:val="TextBody"/>
        <w:bidi w:val="0"/>
        <w:spacing w:before="0" w:after="120"/>
        <w:jc w:val="left"/>
        <w:rPr>
          <w:rFonts w:ascii="Times New Roman" w:hAnsi="Times New Roman"/>
          <w:color w:val="000000"/>
          <w:sz w:val="15"/>
        </w:rPr>
      </w:pPr>
      <w:r>
        <w:rPr>
          <w:rFonts w:ascii="Times New Roman" w:hAnsi="Times New Roman"/>
          <w:color w:val="000000"/>
          <w:sz w:val="15"/>
        </w:rPr>
        <w:t>The number of shares of registrant’s Common Stock outstanding as of February 18, 2026 was 41,266,335.</w:t>
      </w:r>
    </w:p>
    <w:p>
      <w:pPr>
        <w:pStyle w:val="TextBody"/>
        <w:bidi w:val="0"/>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 xml:space="preserve">Portions of the registrant’s definitive Proxy Statement to be filed with the Securities and Exchange Commission in connection with the registrant’s 2026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2025. Except with respect to information specifically incorporated by reference, the Proxy Statement is not deemed to be filed as part of this Annual Report on Form 10-K.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market">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80" w:after="200"/>
        <w:jc w:val="left"/>
        <w:rPr>
          <w:rFonts w:ascii="Times New Roman" w:hAnsi="Times New Roman"/>
          <w:color w:val="000000"/>
          <w:sz w:val="20"/>
        </w:rPr>
      </w:pPr>
      <w:r>
        <w:rPr>
          <w:rFonts w:ascii="Times New Roman" w:hAnsi="Times New Roman"/>
          <w:color w:val="000000"/>
          <w:sz w:val="20"/>
        </w:rPr>
        <w:t>The following discussion and analysis should be read together with our consolidated financial statements and the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pStyle w:val="TextBody"/>
        <w:bidi w:val="0"/>
        <w:jc w:val="left"/>
        <w:rPr>
          <w:rFonts w:ascii="Times New Roman" w:hAnsi="Times New Roman"/>
          <w:color w:val="000000"/>
          <w:sz w:val="20"/>
        </w:rPr>
      </w:pPr>
      <w:r>
        <w:rPr>
          <w:rFonts w:ascii="Times New Roman" w:hAnsi="Times New Roman"/>
          <w:color w:val="000000"/>
          <w:sz w:val="20"/>
        </w:rPr>
        <w:t xml:space="preserve">The forward-looking statements are contained principally in the section entitled “Risk Factors” in Part I, Item 1A of this report and “Management’s Discussion and Analysis of Financial Condition and Results of Operations” in Part II, Item 7 of this report. Forward-looking statements include, but are not limited to, statements concerning the following: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 including our expectation that we do not anticipate the need to raise additional capital or incur additional debt in order to reach profitability from operations, as disclosed in our future Annual Reports on Form 10-K or Quarterly Reports on Form 10-Q as filed with the Securities and Exchange Commission (“SEC”), provided that we may opportunistically seek to raise capital under advantageous circumstances from time to time in order to support the expansion of our sales and operations in the United States ("U.S."), and internationally and to pursue other business opportunities;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belief that our current cash, cash equivalents and short-term investments through the date of filing of this report will be sufficient to fund our operations for at least the next 12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that revenue will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estimates of our expenses, ongoing losses, future revenue, capital requirements and our need for, or ability to obtain, additional financing;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expectations about our gross margins based on the forecast of manufacturing volumes of Light-Adjustable Lenses (“LALs”);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plans for the growth of our business and our organization, including with respect to new geographic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belief that, over time, our adjustable lens solution can be used to address a broad range of cataract surgery patients, including those that would otherwise elect for a conventional cataract procedure today;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belief that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belief that there is an opportunity to gain market share in the premium intraocular lens (“IOL”) market segment and also increase the penetration of premium IOLs in the broader market by converting doctors and patients currently electing for conventional cataract surgery;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belief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belief that current non-adjustable premium IOL offerings often cannot deliver on patient expectations regarding their desire to see at near, intermediate and far distances without reliance on glasses and to avoid troubling side effects such as glare, halos and loss of contrast sensitivity;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intentions regarding investment in our business as we pursue growth;</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plans and expected timelines related to our products, or developing new products, to address additional indications or otherwise;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obtain, maintain and expand regulatory clearances for our products and any new products we create;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expected uses of our existing resources;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belief that our current manufacturing capacity is sufficient to meet our current expected demand for at least the next 12 months;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belief that we have sufficiently trained personnel and processes to manufacture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belief that our existing facilities are adequate for our near-term needs, and that suitable additional or alternative space would be available in the future as required on commercially reasonable terms;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expectations regarding government and third-party payer coverage and reimbursement;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expectations regarding supply of materials and components for our products from our third-party suppliers, including single and sole source suppliers;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obtain, maintain and enforce intellectual property protection for our products and protect our intellectual property rights;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plans to conduct further clinical trials and any expectations related to the timing or outcomes of such trials;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comply with existing and future government laws, rules and regulations both in the U.S. and internationally;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identify and develop new and planned products and/or acquire new products;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developments and projections relating to our competitors or our industry, including anticipated growth rates for the conventional and premium IOL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center"/>
        <w:rPr>
          <w:rFonts w:ascii="Times New Roman" w:hAnsi="Times New Roman"/>
          <w:b/>
          <w:color w:val="000000"/>
          <w:sz w:val="20"/>
        </w:rPr>
      </w:pPr>
      <w:r>
        <w:rPr>
          <w:rFonts w:ascii="Times New Roman" w:hAnsi="Times New Roman"/>
          <w:b/>
          <w:color w:val="000000"/>
          <w:sz w:val="20"/>
        </w:rPr>
        <w:t>INDUSTRY, BUSINESS AND MARKET DATA</w:t>
      </w:r>
    </w:p>
    <w:p>
      <w:pPr>
        <w:pStyle w:val="TextBody"/>
        <w:bidi w:val="0"/>
        <w:jc w:val="left"/>
        <w:rPr>
          <w:rFonts w:ascii="Times New Roman" w:hAnsi="Times New Roman"/>
          <w:color w:val="000000"/>
          <w:sz w:val="20"/>
        </w:rPr>
      </w:pPr>
      <w:r>
        <w:rPr>
          <w:rFonts w:ascii="Times New Roman" w:hAnsi="Times New Roman"/>
          <w:color w:val="000000"/>
          <w:sz w:val="20"/>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120" w:after="160"/>
        <w:jc w:val="center"/>
        <w:rPr>
          <w:rFonts w:ascii="Times New Roman" w:hAnsi="Times New Roman"/>
          <w:b/>
          <w:color w:val="000000"/>
          <w:sz w:val="20"/>
        </w:rPr>
      </w:pPr>
      <w:r>
        <w:rPr>
          <w:rFonts w:ascii="Times New Roman" w:hAnsi="Times New Roman"/>
          <w:b/>
          <w:color w:val="000000"/>
          <w:sz w:val="20"/>
        </w:rPr>
        <w:t>TRADEMARKS, SERVICE MARKS AND TRADE NAMES</w:t>
      </w:r>
    </w:p>
    <w:p>
      <w:pPr>
        <w:pStyle w:val="TextBody"/>
        <w:bidi w:val="0"/>
        <w:jc w:val="left"/>
        <w:rPr>
          <w:rFonts w:ascii="Times New Roman" w:hAnsi="Times New Roman"/>
          <w:color w:val="000000"/>
          <w:sz w:val="20"/>
        </w:rPr>
      </w:pPr>
      <w:r>
        <w:rPr>
          <w:rFonts w:ascii="Times New Roman" w:hAnsi="Times New Roman"/>
          <w:color w:val="000000"/>
          <w:sz w:val="20"/>
        </w:rPr>
        <w:t xml:space="preserve">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283"/>
        <w:jc w:val="left"/>
        <w:rPr>
          <w:rFonts w:ascii="Times New Roman" w:hAnsi="Times New Roman"/>
          <w:sz w:val="20"/>
        </w:rPr>
      </w:pPr>
      <w:r>
        <w:rPr>
          <w:rFonts w:ascii="Times New Roman" w:hAnsi="Times New Roman"/>
          <w:color w:val="000000"/>
          <w:sz w:val="20"/>
        </w:rPr>
        <w:t>RxSight, Inc. is a commercial-stage medical technology company dedicated to providing high-quality customized vision to patients following cataract surgery. Our proprietary RxSight</w:t>
      </w:r>
      <w:r>
        <w:rPr>
          <w:rFonts w:ascii="Times New Roman" w:hAnsi="Times New Roman"/>
          <w:color w:val="000000"/>
          <w:sz w:val="13"/>
        </w:rPr>
        <w:t xml:space="preserve">® </w:t>
      </w:r>
      <w:r>
        <w:rPr>
          <w:rFonts w:ascii="Times New Roman" w:hAnsi="Times New Roman"/>
          <w:color w:val="000000"/>
          <w:sz w:val="20"/>
        </w:rPr>
        <w:t>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hAnsi="Times New Roman"/>
          <w:color w:val="000000"/>
          <w:sz w:val="13"/>
        </w:rPr>
        <w:t>®</w:t>
      </w:r>
      <w:r>
        <w:rPr>
          <w:rFonts w:ascii="Times New Roman" w:hAnsi="Times New Roman"/>
          <w:color w:val="000000"/>
          <w:sz w:val="20"/>
        </w:rPr>
        <w:t>(LAL</w:t>
      </w:r>
      <w:r>
        <w:rPr>
          <w:rFonts w:ascii="Times New Roman" w:hAnsi="Times New Roman"/>
          <w:color w:val="000000"/>
          <w:sz w:val="13"/>
        </w:rPr>
        <w:t>®</w:t>
      </w:r>
      <w:r>
        <w:rPr>
          <w:rFonts w:ascii="Times New Roman" w:hAnsi="Times New Roman"/>
          <w:color w:val="000000"/>
          <w:sz w:val="20"/>
        </w:rPr>
        <w:t>/LAL+</w:t>
      </w:r>
      <w:r>
        <w:rPr>
          <w:rFonts w:ascii="Times New Roman" w:hAnsi="Times New Roman"/>
          <w:color w:val="000000"/>
          <w:sz w:val="13"/>
        </w:rPr>
        <w:t>®</w:t>
      </w:r>
      <w:r>
        <w:rPr>
          <w:rFonts w:ascii="Times New Roman" w:hAnsi="Times New Roman"/>
          <w:color w:val="000000"/>
          <w:sz w:val="20"/>
        </w:rPr>
        <w:t>,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designed our RxSight system to address limitations of conventional premium IOL technologies by providing doctors with a more precise and adaptable method for achieving desired visual outcomes for their patients. Conventional premium IOLs require patients to select their visual priorities before surgery and accept the optical trade-offs inherent in those choices. Surgeons must rely on a series of preoperative measurements and predictive formulae to determine the appropriate lens power. If the selected power is not optimal, the patient may experience less-than-ideal results that could require a subsequent corneal refractive procedure or other corrective measures to achieve intended vision targets.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contrast, with the RxSight system, the surgeon implants the LAL as they would in any other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cataract is the loss of transparency in the eye’s natural lens, which causes blurry or hazy vision and can eventually lead to blindness. Approximately 50% of all individuals develop some form of cataracts by age 60, usually in both eyes, and prevalence increases with age. Among the world’s most commonly performed procedures, cataract surgery involves removing the cloudy natural lens and replacing it with a clear IOL. Prior to surgery, patients can opt for either a spherical monofocal IOL, which usually results in improved vision but may require glasses for best vision, or a premium IOL, which also corrects for astigmatism and/or presbyopia, thereby reducing spectacle dependence. In the U.S., Medicare and private insurers typically cover the full cost of spherical monofocal IOL procedures, while premium IOL procedures require patients to pay an incremental out-of-pocket fee, typically ranging from $2,000 to $5,000 per eye depending on the specific premium IOL used. In the U.S., the world’s largest premium IOL market, 2025 premium procedures represented about 21% of all cataract procedures and generated approximately $860 million in revenue, a figure that is projected to grow at a 8.0% compound annual growth rate (“CAGR”) by 2030, according to the Market Scope 2025 Premium Cataract Surgery Market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that the premium cataract surgery market remains underpenetrated due to both doctors’ reluctance to recommend competitive premium IOLs to the full universe of eligible patients and patients’ confusion in assessing the associated trade-offs and side effects with competitive premium IOLs. We believe competitive premium IOLs often fail to deliver on patients’ expectations for quality vision across a range of distances without glasses.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 The key benefits of our solution include: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Allowing full customization and optimization of patient vision after surgery. </w:t>
      </w:r>
      <w:r>
        <w:rPr>
          <w:rFonts w:ascii="Times New Roman" w:hAnsi="Times New Roman"/>
          <w:color w:val="000000"/>
          <w:sz w:val="20"/>
        </w:rPr>
        <w:t>Our LAL uses a proprietary silicone formulation that enables changing the mechanical and optical properties of the lens following implantation. Our LDD uses proprietary software and algorithms to deliver a short UV light exposure treatment that polymerizes specific portions of the lens and allows doctors to adjust spherical and cylindrical refraction in 0.25 diopter increments, similar to the adjustment increments used to refract patients for glasses or contact lenses, as well as in other refractive procedures like LASIK. All other premium IOLs are fixed-power lenses that cannot be adjusted following surgery;</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Delivering superior visual outcomes with low risk of side effects.</w:t>
      </w:r>
      <w:r>
        <w:rPr>
          <w:color w:val="000000"/>
        </w:rPr>
        <w:t xml:space="preserve"> </w:t>
      </w:r>
      <w:r>
        <w:rPr>
          <w:rFonts w:ascii="Times New Roman" w:hAnsi="Times New Roman"/>
          <w:color w:val="000000"/>
          <w:sz w:val="20"/>
        </w:rPr>
        <w:t xml:space="preserve">In our Food and Drug Administration (“FDA”) clinical trial, 70% of LAL patients achieved 20/20 or better uncorrected visual acuity without glasses, while in similar trials of other premium IOLs, only about 40% of patients achieved this performance level. Additionally, LAL patients do not experience increased incidence of glare or halos that are common with other premium IOLs;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Providing accuracy and precision to optimize vision with both eyes. </w:t>
      </w:r>
      <w:r>
        <w:rPr>
          <w:rFonts w:ascii="Times New Roman" w:hAnsi="Times New Roman"/>
          <w:color w:val="000000"/>
          <w:sz w:val="20"/>
        </w:rPr>
        <w:t>Most LAL patients choose minor differences in the refractive correction of each eye. In our most recent Phase IV commercial study data over 90% of patients were able to achieve 20/25 or better at distance without glasses, which is significantly higher than any of the alternative IOLs. In addition, over 90% of patients were also able to read 5-point font at near vision, which is typically the size of footnotes on a page;</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Enabling patients to preview and compare possible vision outcomes. </w:t>
      </w:r>
      <w:r>
        <w:rPr>
          <w:rFonts w:ascii="Times New Roman" w:hAnsi="Times New Roman"/>
          <w:color w:val="000000"/>
          <w:sz w:val="20"/>
        </w:rPr>
        <w:t xml:space="preserve">LAL patients are the only premium IOL patients able to test-drive their vision after surgery but before selecting a final refractive outcome. With up to three possible UV light treatments to adjust the LAL, patients direct their optimal visual acuity through an interactive and iterative process; and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Empowering doctors to grow their practices with a premium IOL they can trust and confidently recommend.</w:t>
      </w:r>
      <w:r>
        <w:rPr>
          <w:color w:val="000000"/>
        </w:rPr>
        <w:t xml:space="preserve"> </w:t>
      </w:r>
      <w:r>
        <w:rPr>
          <w:rFonts w:ascii="Times New Roman" w:hAnsi="Times New Roman"/>
          <w:color w:val="000000"/>
          <w:sz w:val="20"/>
        </w:rPr>
        <w:t xml:space="preserve">Our RxSight system has been shown to deliver excellent visual outcomes across a broad range of patient types and preferences. In our 2025 RxSight customer survey, 90% of respondents said they thought our RxSight system delivered the highest quality vision, 96% said they would recommend the LAL to others and 78% said they would select it for their own eyes.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commercial efforts began in 2019, and have been primarily focused in the U.S., where we are building a “razor and razor blade” business model to drive new customer adoption and ongoing LAL volume growth. Our U.S. commercial organization includes a direct sales team of LDD sales personnel and LAL account managers, as well as clinical specialists, field service engineers and marketing personnel. Our sales efforts are concentrated on the approximately 3,500 to 4,000 U.S. cataract surgeons that perform approximately 60% of all premium IOL procedures. As of December 31, 2025, we had established an installed base of 1,134 LDDs in ophthalmology practices and, since our inception through December 31, 2025, surgeons have implanted approximately 300,000 LALs.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plan to grow our business primarily by expanding the size of our LDD installed base and driving increased utilization of our LAL through heightened awareness of the superior clinical outcomes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 </w:t>
      </w:r>
    </w:p>
    <w:p>
      <w:pPr>
        <w:pStyle w:val="TextBody"/>
        <w:bidi w:val="0"/>
        <w:spacing w:before="120" w:after="283"/>
        <w:jc w:val="left"/>
        <w:rPr>
          <w:rFonts w:ascii="Times New Roman" w:hAnsi="Times New Roman"/>
          <w:sz w:val="20"/>
        </w:rPr>
      </w:pPr>
      <w:r>
        <w:rPr>
          <w:rFonts w:ascii="Times New Roman" w:hAnsi="Times New Roman"/>
          <w:b/>
          <w:color w:val="000000"/>
          <w:sz w:val="20"/>
        </w:rPr>
        <w:t>Our market and industry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Cataracts and other common vision conditions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Common vision conditions can be roughly divided by two defining factors: 1) the typical age of onset and 2) whether the condition is more closely linked to the cornea, the front surface of the eye that controls about two-thirds of its focusing ability, or the natural lens, which sits behind the iris and is responsible for the eye’s remaining focusing power. From childhood through the fourth decade of life, refractive conditions related primarily to the cornea – myopia, hyperopia and astigmatism – typically have the greatest impact on visual acuity and are usually addressed with glasses and contact lenses. In adults with these conditions, corneal procedures like LASIK can reduce dependence on glasses and contact lenses.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By age 50, most people also experience presbyopia, which manifests itself as increased difficulty seeing at near and intermediate distances without glasses or contact lenses. Presbyopia occurs because the natural lens is losing its elasticity and, therefore, its ability to focus light rays on near objects. By age 60, approximately half of all individuals also develop some form of cataracts, in which the normally clear lens loses its transparency and increasingly obstructs or otherwise interferes with the passage of light to the retina. The result is blurry or hazy vision and increased sensitivity to light, particularly at night, that cannot be treated with glasses or contact lenses. Cataracts are irreversible, progressive and usually affect both eyes. Cataracts can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significantly interfere with daily activities, affect quality of life and eventually cause blindness. According to the National Eye Institute, despite the availability of effective surgical treatment, cataracts are the leading cause of blindness worldwide.</w:t>
      </w:r>
    </w:p>
    <w:p>
      <w:pPr>
        <w:pStyle w:val="TextBody"/>
        <w:bidi w:val="0"/>
        <w:spacing w:before="160" w:after="283"/>
        <w:jc w:val="center"/>
        <w:rPr>
          <w:rFonts w:ascii="Times New Roman" w:hAnsi="Times New Roman"/>
          <w:sz w:val="20"/>
        </w:rPr>
      </w:pPr>
      <w:r>
        <w:rPr>
          <w:rFonts w:ascii="Times New Roman" w:hAnsi="Times New Roman"/>
          <w:color w:val="000000"/>
          <w:sz w:val="20"/>
        </w:rPr>
        <w:br/>
      </w:r>
      <w:r>
        <w:rPr>
          <w:rFonts w:ascii="Times New Roman" w:hAnsi="Times New Roman"/>
          <w:sz w:val="20"/>
        </w:rPr>
        <w:drawing>
          <wp:inline distT="0" distB="0" distL="0" distR="0">
            <wp:extent cx="5915025" cy="1238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15025" cy="1238250"/>
                    </a:xfrm>
                    <a:prstGeom prst="rect">
                      <a:avLst/>
                    </a:prstGeom>
                  </pic:spPr>
                </pic:pic>
              </a:graphicData>
            </a:graphic>
          </wp:inline>
        </w:drawing>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Cataract surgery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Cataract surgery is among the most common surgical procedures performed in the world and involves replacement of the patient’s natural cloudy lens with a clear artificial IOL. In the U.S., the procedure is commonly performed in an outpatient setting, such as an Ambulatory Surgery Center (“ASC”), by an ophthalmologist specializing in cataract surgery and often requires only 5 to 15 minutes to complete. In most cases, surgery begins with removal of the cataractous lens through a process known as phacoemulsification. During phacoemulsification, the ophthalmic surgeon makes a small surgical incision in the cornea and inserts an ultrasonic probe that breaks up, or emulsifies, the lens while a hollow needle removes the pieces of the lens (see image 1 below). After the cataract is removed, the surgeon inserts the replacement IOL through the same surgical incision (see image 2 below). Following implantation, the IOL sits firmly in place just behind the iris (see image 3 below).</w:t>
      </w:r>
    </w:p>
    <w:p>
      <w:pPr>
        <w:pStyle w:val="TextBody"/>
        <w:bidi w:val="0"/>
        <w:spacing w:before="120" w:after="283"/>
        <w:jc w:val="left"/>
        <w:rPr/>
      </w:pPr>
      <w:r>
        <w:rPr/>
        <w:t> </w:t>
      </w:r>
    </w:p>
    <w:p>
      <w:pPr>
        <w:pStyle w:val="TextBody"/>
        <w:bidi w:val="0"/>
        <w:spacing w:before="120" w:after="160"/>
        <w:jc w:val="center"/>
        <w:rPr/>
      </w:pPr>
      <w:r>
        <w:rPr/>
        <w:drawing>
          <wp:inline distT="0" distB="0" distL="0" distR="0">
            <wp:extent cx="5362575" cy="1314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62575" cy="1314450"/>
                    </a:xfrm>
                    <a:prstGeom prst="rect">
                      <a:avLst/>
                    </a:prstGeom>
                  </pic:spPr>
                </pic:pic>
              </a:graphicData>
            </a:graphic>
          </wp:inline>
        </w:drawing>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Conventional vs. premium cataract surgery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Cataract surgery is often bifurcated into two categories based on IOL type, as follows: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i/>
          <w:color w:val="000000"/>
          <w:sz w:val="20"/>
        </w:rPr>
        <w:t>Conventional:</w:t>
      </w:r>
      <w:r>
        <w:rPr>
          <w:color w:val="000000"/>
        </w:rPr>
        <w:t xml:space="preserve"> </w:t>
      </w:r>
      <w:r>
        <w:rPr>
          <w:rFonts w:ascii="Times New Roman" w:hAnsi="Times New Roman"/>
          <w:color w:val="000000"/>
          <w:sz w:val="20"/>
        </w:rPr>
        <w:t xml:space="preserve">The patient receives a monofocal IOL, which is designed to provide vision at one pre-defined distance without correction for other visual problems that often affect cataract surgery patients such as corneal astigmatism and presbyopia. Nearly all patients undergoing conventional cataract surgery will need to rely on glasses following cataract surgery to achieve the best distance, intermediate and near vision.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i/>
          <w:color w:val="000000"/>
          <w:sz w:val="20"/>
        </w:rPr>
        <w:t>Premium:</w:t>
      </w:r>
      <w:r>
        <w:rPr>
          <w:color w:val="000000"/>
        </w:rPr>
        <w:t xml:space="preserve"> </w:t>
      </w:r>
      <w:r>
        <w:rPr>
          <w:rFonts w:ascii="Times New Roman" w:hAnsi="Times New Roman"/>
          <w:color w:val="000000"/>
          <w:sz w:val="20"/>
        </w:rPr>
        <w:t>The patient receives a premium IOL, which is designed to address the shortcomings of conventional monofocal lenses by also correcting for the additional visual problems of astigmatism and/or presbyopia. Premium IOLs reduce the need for glasses relative to conventional IOLs but may impose trade-offs related to their ability to provide glasses-free near, intermediate and distance vision, as well as the potential for increased incidence of halos, glare and other side effects relative to monofocal IOLs.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Healthcare payors typically cover the full cost of conventional cataract procedures. In the U.S., a healthcare payor (primarily Centers for Medicare and Medicaid Services (“CMS”)) typically provides reimbursement for a conventional cataract procedure of approximately $500 for a surgeon fee and approximately $1,000 for a facility fee, which includes the cost of a conventional monofocal IOL. Accounting for reductions in CMS reimbursement and for inflation, reimbursement rates have decreased by two thirds since 1991. The surgeon fee covers all pre-operative cataract testing, the cataract operation and follow-up care for three months. </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 xml:space="preserve">For U.S. premium cataract procedures, the healthcare payor (primarily CMS) reimburses the same surgeon and facility fees, but the patient pays the surgeon an additional fee of approximately $2,000 for implantation of a toric IOL and an average between $2,000-$5,000 for implantation of other premium lenses, which includes the cost of the premium IOL. Consequently, premium cataract procedures are between 10 and 15 times more profitable for the doctors and ophthalmology practices than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conventional cataract procedures and are less impacted by changes in reimbursement rates. At the same time, because premium cataract patients pay an additional out-of-pocket fee, they tend to have high expectations that the surgeon will satisfy their desire for quality, glasses-free vision.</w:t>
      </w:r>
    </w:p>
    <w:p>
      <w:pPr>
        <w:pStyle w:val="TextBody"/>
        <w:bidi w:val="0"/>
        <w:spacing w:before="0" w:after="120"/>
        <w:jc w:val="left"/>
        <w:rPr>
          <w:rFonts w:ascii="Times New Roman" w:hAnsi="Times New Roman"/>
          <w:sz w:val="20"/>
        </w:rPr>
      </w:pPr>
      <w:r>
        <w:rPr>
          <w:rFonts w:ascii="Times New Roman" w:hAnsi="Times New Roman"/>
          <w:b/>
          <w:i/>
          <w:color w:val="000000"/>
          <w:sz w:val="20"/>
        </w:rPr>
        <w:t>Our market opportunity</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According to the Market Scope 2025 Premium Cataract Surgery Market Report and 2025 Market Scope IOL Report: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Approximately 33 million cataract surgeries were performed globally in 2025, including 5.2 million in the U.S. The number of procedures worldwide is projected to grow at a CAGR of 3.4% to over 39 million by 2030. In the U.S., procedures are expected to grow at a CAGR of 3.2% to 6.1 million by 2030;</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U.S.is the world’s largest premium IOL market. In 2025, premium IOL procedures represented approximately 21% and 15% of cataract surgeries in the U.S. and worldwide, respectively;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2025, premium IOL revenue was approximately $2.6 billion globally and $860 million in the U.S., and is expected to grow at an 11% CAGR globally and in the U.S., through 2030. Key growth drivers include the increasing number of patients who prefer to be glasses-free, technological innovations, increased access to healthcare and rising disposable income;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the U.S., there are approximately 9,500 ophthalmic surgeons that perform cataract surgery, including approximately 3,500 to 4,000 that perform roughly 60% of premium IOL cataract procedures.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there is an opportunity to gain market share in the premium IOL market segment and also increase the penetration of premium IOLs in the broader market by converting doctors and patients currently electing for conventional cataract surgery. We believe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 Furthermore, we believe current non-adjustable premium IOL offerings often cannot deliver on patient expectations regarding their desire to see at near, intermediate and far distances without reliance on glasses and to avoid troubling side effects such as glare, halos and loss of contrast sensitivity.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currently focused on driving awareness and penetration of our RxSight system in the premium cataract market, and primarily concentrating our near-term commercial efforts on the U.S. We believe the U.S.is a compelling market given the large population of individuals over the age of 60 that are covered by health insurance, the concentrated base of cataract surgeons experienced with premium IOL offerings, the high gross domestic product per capita and the favorable U.S. healthcare reimbursement system, which has a well-established history of covering a portion of the cost for cataract surgery.</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Non-adjustable premium IOLs and their limitations</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commercial availability of our RxSight system, doctors and patients chose from two primary types of premium IOLs, as follows: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Multifocal Lenses. </w:t>
      </w:r>
      <w:r>
        <w:rPr>
          <w:rFonts w:ascii="Times New Roman" w:hAnsi="Times New Roman"/>
          <w:color w:val="000000"/>
          <w:sz w:val="20"/>
        </w:rPr>
        <w:t xml:space="preserve">Multifocal lenses have two or more corrective zones, which allow the patient to receive focused light from different distances. Although multifocal lenses provide patients with a wider range of vision compared to the standard monofocal IOLs, multifocal lenses split light across the multiple corrective zones on the lens, sometimes impacting visual quality. For example, approximately two to three times as many patients who choose a multifocal lens over a monofocal lens experience side effects such as glare and halos, as well as reduced contrast vision, which are especially problematic in low light situations such as driving at night. For some patients these become more pronounced and can lead to explantation (removal of the IOL and replacement with another type of IOL). Extended-depth-of-focus (“EDOF”) lenses are similar to multifocals, except they have only one corrective zone. They create an elongated focal point that allows for a broader range of vision, although patients may still require glasses for distance and near vision. EDOF lenses will still typically result in glare and halos, as well as reduced contrast vision, although generally less severe than those experienced with multifocal lenses; and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Astigmatism-Correcting or Toric Lenses.</w:t>
      </w:r>
      <w:r>
        <w:rPr>
          <w:color w:val="000000"/>
        </w:rPr>
        <w:t xml:space="preserve"> </w:t>
      </w:r>
      <w:r>
        <w:rPr>
          <w:rFonts w:ascii="Times New Roman" w:hAnsi="Times New Roman"/>
          <w:color w:val="000000"/>
          <w:sz w:val="20"/>
        </w:rPr>
        <w:t xml:space="preserve">Toric lenses correct for astigmatism, a condition in which the cornea is not uniformly curved leading to distortion of near and distance vision. According to the 2025 Market Scope IOL Report, approximately 70% of the population has clinically significant astigmatism of 0.5 diopters or more. Corrective toric lenses can provide additional distance, intermediate or near vision correction depending on the power of the lens selected and if their optical design incorporates either multifocal or EDOF features.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When preparing patients for premium cataract surgery, surgeons must have a comprehensive understanding of available premium IOL options and how to best match a patient to the technology that fits their priorities. Patient decisions are based on several factors and tend to be heavily influenced by surgeon recommendations, as well as the patient’s motivation for independence from glasses and willingness to tolerate side effects. During an initial consultation, surgeons often ask patients to fill out a survey regarding their vision experiences and expectations to determine if the patient is a good premium IOL candidate. If so, the surgeon helps select the appropriate premium IOL based on the patient’s lifestyle and the type of vision they most value (i.e., near, intermediate or distance). Significant time is often required to educate patients on the various trade-offs with respect to the visual outcomes associated with each type of premium IOL. Following this consultation, surgery is usually scheduled within several weeks or months.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Prior to surgery, the patient’s eyes are measured using one or more diagnostic devices to help the surgeon predict the lens focusing power best suited to achieve the optimal postoperative outcome. Focusing power, expressed in diopters (D), refers to how a lens focuses light to a point (spherical power) or a line (cylindrical or astigmatic power). Accurately predicting lens power is critical to reducing postoperative residual refractive error and delivering the best possible visual outcomes. Because the lens power of competitive premium IOLs cannot be changed after implantation, doctors rely on a series of preoperative diagnostic tests and predictive formulae to determine the lens power. Typically, the patient returns a day after surgery to have their eye evaluated and ensure healing is underway. After approximately one month, premium cataract patients that are dissatisfied with their results may be fitted for glasses or elect to undergo a secondary, remedial procedure to meet desired vision targets. A separate LASIK procedure is the most common surgical procedure to correct any residual visual errors following the cataract procedure.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key limitation of these competitive premium IOLs is that they cannot be adjusted after the surgery and, as such, require the patient to commit to a desired visual outcome prior to the procedure. However, in discussing vision optimization options with patients ahead of the procedure, it can be difficult to effectively demonstrate different visual outcomes. Once a premium IOL is selected, another key limitation is the ability of the surgeon to precisely predict the correct lens power and then implant the IOL with the level of accuracy required to deliver the patient’s expected outcome. Additionally, the incision made to remove the cloudy lens and insert the IOL along with the resultant healing process often creates additional levels of astigmatism, which cannot be predicted with precision before cataract surgery.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that the need to commit to a visual outcome before surgery combined with the limited ability to make adjustments following the procedure are key factors contributing to the low levels of premium IOL penetration. When expectations regarding postoperative visual acuity and independence from glasses are not met, patients are often disappointed. As a result, even though 60% of cataract patients rate “being glasses free after cataract surgery” as extremely important, surgeons are often hesitant to recommend existing premium IOLs to their patients.</w:t>
      </w:r>
    </w:p>
    <w:p>
      <w:pPr>
        <w:pStyle w:val="TextBody"/>
        <w:bidi w:val="0"/>
        <w:spacing w:before="160" w:after="120"/>
        <w:jc w:val="left"/>
        <w:rPr>
          <w:rFonts w:ascii="Times New Roman" w:hAnsi="Times New Roman"/>
          <w:sz w:val="20"/>
        </w:rPr>
      </w:pPr>
      <w:r>
        <w:rPr>
          <w:rFonts w:ascii="Times New Roman" w:hAnsi="Times New Roman"/>
          <w:b/>
          <w:color w:val="000000"/>
          <w:sz w:val="20"/>
        </w:rPr>
        <w:t>Our solution</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designed our RxSight system to address the shortcomings of existing premium IOL technologies and provide a solution that doctors can trust to improve visual outcomes and achieve high levels of patient satisfaction. We began commercializing our solution in the U.S. in 2019, and are focused on establishing the RxSight system as the standard of care for premium IOL procedures. As of December 31, 2025, we had an installed base of 1,134 LDDs in ophthalmology practices, and since our inception, approximately 300,000 surgeries have been performed with our RxSight system.</w:t>
      </w:r>
    </w:p>
    <w:p>
      <w:pPr>
        <w:pStyle w:val="TextBody"/>
        <w:bidi w:val="0"/>
        <w:spacing w:before="160" w:after="120"/>
        <w:jc w:val="left"/>
        <w:rPr>
          <w:rFonts w:ascii="Times New Roman" w:hAnsi="Times New Roman"/>
          <w:sz w:val="20"/>
        </w:rPr>
      </w:pPr>
      <w:r>
        <w:rPr>
          <w:rFonts w:ascii="Times New Roman" w:hAnsi="Times New Roman"/>
          <w:b/>
          <w:i/>
          <w:color w:val="000000"/>
          <w:sz w:val="20"/>
        </w:rPr>
        <w:t>Overview of the RxSight system</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RxSight system is the first and only FDA-approved IOL technology that enables doctors to customize and optimize visual acuity for patients after cataract surgery. With the RxSight system, the doctor performs a standard cataract procedure to implant the LAL, determines refractive error with patient input after healing is complete, then uses the LDD to reshape the LAL to achieve the patients’ desired vision outcomes. Our RxSight system is comprised of two key components, along with other intraoperative and postoperative accessories: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RxSight Light Adjustable Lens: </w:t>
      </w:r>
      <w:r>
        <w:rPr>
          <w:rFonts w:ascii="Times New Roman" w:hAnsi="Times New Roman"/>
          <w:color w:val="000000"/>
          <w:sz w:val="20"/>
        </w:rPr>
        <w:t xml:space="preserve">The LAL is our proprietary IOL that can be adjusted postoperatively to improve uncorrected visual acuity. Our IOL is made of special photosensitive material that changes shape and power when a specific pattern of UV light is delivered from the LDD.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RxSight Light Delivery Device: </w:t>
      </w:r>
      <w:r>
        <w:rPr>
          <w:rFonts w:ascii="Times New Roman" w:hAnsi="Times New Roman"/>
          <w:color w:val="000000"/>
          <w:sz w:val="20"/>
        </w:rPr>
        <w:t>The LDD is our proprietary office-based light treatment device that delivers UV light in a precisely programmed pattern to induce a predictable change in the shape and refractive properties of the LAL, enabling surgeons to precisely modify the LAL based on the visual correction needed to achieve the patient’s desired vision after cataract surgery.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pPr>
      <w:r>
        <w:rPr/>
        <w:drawing>
          <wp:inline distT="0" distB="0" distL="0" distR="0">
            <wp:extent cx="1533525" cy="2047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33525" cy="2047875"/>
                    </a:xfrm>
                    <a:prstGeom prst="rect">
                      <a:avLst/>
                    </a:prstGeom>
                  </pic:spPr>
                </pic:pic>
              </a:graphicData>
            </a:graphic>
          </wp:inline>
        </w:drawing>
      </w:r>
      <w:r>
        <w:rPr>
          <w:color w:val="000000"/>
        </w:rPr>
        <w:t xml:space="preserve"> </w:t>
      </w:r>
      <w:r>
        <w:rPr/>
        <w:drawing>
          <wp:inline distT="0" distB="0" distL="0" distR="0">
            <wp:extent cx="1400175" cy="2095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00175" cy="2095500"/>
                    </a:xfrm>
                    <a:prstGeom prst="rect">
                      <a:avLst/>
                    </a:prstGeom>
                  </pic:spPr>
                </pic:pic>
              </a:graphicData>
            </a:graphic>
          </wp:inline>
        </w:drawing>
      </w:r>
      <w:r>
        <w:rPr>
          <w:color w:val="00000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Our foundational technology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developed our RxSight system over the last 20 years, incorporating expertise and proprietary technologies across multiple disciplines, including optics, material science, chemistry, software and hardware engineering. The proprietary RxSight technology that enables post-operative adjustability is based on the principles of photochemistry. The LAL is made of a photosensitive material that changes shape and power when a specific pattern of UV light is delivered to the LAL.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LAL, which we manufacture using our proprietary silicone formulation, leverages the unique material properties of silicone. Silicone consists of an inorganic silicon-oxygen backbone, which is a chain of alternating silicon and oxygen atoms with an attached side group, which is a pair of organic molecules bonded to each silicon atom in the chain. Combined with organic side functionality including reactive groups, silicones can be cross-linked at multiple points resulting in three-dimensional structures. By varying chain length, attached side group and cross-linking design, silicone polymers can be tailored to have unique properties, leading to their broad use across a wide array of applications. We have developed a novel application of silicone to optimize the mechanical and optical properties of IOLs in order to improve vision in patients following cataract surgery.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create the LAL, we use a composition of silicone polymers including low molecular weight functionalized polymer, we call them “macromers”, mixed with photo-active molecules and other compounds. The initial composition of our lens material is a viscous liquid that is thermally cured in a lens mold. Thermal curing and photopolymerization use temperature and ultraviolet light, respectively, to initiate and propagate a polymerization reaction. To avoid polymerizing the macromers in the composition, the thermal curing is performed at a low temperature. The partial polymerization of the LAL results in a solid but soft silicone lens, leaving the photosensitive macromers unpolymerized and distributed throughout the lens. While the resulting lens is optically clear, the macromers and photo-active molecules remain free to continuously move within the lens.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After packaging and sterilization, the LAL is ready to be implanted as part of a standard cataract surgical procedure to replace the patient’s natural lens. Once wound healing is complete, a short exposure of UV light is applied to the LAL to adjust the refractive properties of the lens. When the UV light is directed to a specific portion of the lens, the exposed macromers in that portion of the lens are polymerized and become stationary. This creates an excess concentration of free macromers in the unexposed portion of the lens and sets up a diffusion gradient over which the unpolymerized macromers move from the concentrated area to the less concentrated area. Over the next one to two days, the unpolymerized macromers redistribute across the lens to achieve a uniform distribution. The redistribution of the macromers causes the exposed portion of the lens to swell relative to the unexposed portion of the lens, enabling refractive power change.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movement of the macromers causes a highly predictable change in the curvature of the lens. If the central portion of the lens is exposed to UV light, unpolymerized macromers in the periphery of the lens move into the central portion. As a result, the central portion of the lens swells, creating a lens shape for correction of hyperopia. Conversely, if the periphery of the lens is exposed to UV light, unpolymerized macromers in the central portion of the lens migrate into the periphery. As a result, the periphery of the lens swells, creating a lens shape for correction of myopia. In addition to spherical correction for myopia or hyperopia, customized cylinder adjustments along any axis of the lens can be targeted to correct for astigmatism.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achieve the desired refractive change in the LAL, our LDD uses proprietary software and algorithms to deliver a short UV exposure treatment that polymerizes specific portions of the lens according to a predefined pattern of light, called a nomogram. Nomograms allow for adjustment of spherical and cylindrical refraction in 0.25 diopter increments, like the adjustment increments used to refract patients for glasses or contact lenses, as well as in other refractive procedures like LASIK, which has similar refractive accuracy. Designed for placement in the doctor’s office, the LDD is a combination of a standard slit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lamp and a digital light projector. The slit lamp portion allows the doctor to see inside the patient’s eye and align the light beam with the LAL. The digital light projector portion projects an image onto the LAL using DLP technology that has approximately 250,000 micro mirrors that are electronically activated to represent an image stored in memory.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Each UV light treatment consumes only a portion of the macromers in the lens, allowing the LAL to be adjusted multiple times. This process can be repeated up to three times over a period of several weeks, until the patient and doctor are satisfied. The entire lens is then polymerized to provide a stable correction. After adjustment light treatments are completed, one or two lock-in light treatments are applied to consume all remaining macromers and photo-active compounds. After the final lock-in treatment, the lens power can no longer be adjusted.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Our approach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With the RxSight system, the surgeon performs a standard IOL implant procedure, replacing the patients’ natural lens with the LAL. Two to three weeks following surgery, the patient visits the doctor’s office for a standard postoperative refraction, which is similar to the eye test used to create a prescription for eye glasses. Using a traditional phoropter and vision chart, a clinician determines the refractive error and prescription required and inputs the information into the LDD’s graphical user interface. The patient’s eye is dilated and a contact lens is applied to the eye as the patient is seated in front of the LDD for a light treatment. Based on the prescription input, the LDD generates a programmed, predetermined exposure of UV light. For approximately 100 seconds, the light painlessly and non-invasively reshapes the implanted LAL to correct the measured refractive error. The entire treatment takes less than five minutes. The patient returns approximately three to five days later for additional light treatments to further adjust their vision, if desired, or to lock-in the lens. While patients can receive up to three adjustments, the average number of adjustments in our FDA clinical trial was 1.6.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RxSight system enables a fully interactive and iterative process to optimize visual acuity with patients able to test drive their vision, comparing possible outcomes before selecting a final prescription for their LAL. In clinical practice since our FDA approval, roughly 86% of patients choose some form of blended vision and 73% of those patients change their target during the course of LDD treatments to optimize their spherical target, underscoring the value of adjustability and customization. From the time of surgery until 24 hours after the LAL is locked in, the patient wears UV light protective glasses as unprotected exposure to light can cause uncontrolled changes in the LAL. Since late 2021, we have included ActivShield technology on all LALs, which provides an extra layer of UV protection on the lens surface and reduces dependence on patient compliance with protective glasses.</w:t>
      </w:r>
    </w:p>
    <w:p>
      <w:pPr>
        <w:pStyle w:val="TextBody"/>
        <w:bidi w:val="0"/>
        <w:spacing w:before="160" w:after="283"/>
        <w:jc w:val="left"/>
        <w:rPr>
          <w:rFonts w:ascii="Times New Roman" w:hAnsi="Times New Roman"/>
          <w:sz w:val="20"/>
        </w:rPr>
      </w:pPr>
      <w:r>
        <w:rPr>
          <w:rFonts w:ascii="Times New Roman" w:hAnsi="Times New Roman"/>
          <w:b/>
          <w:i/>
          <w:color w:val="000000"/>
          <w:sz w:val="20"/>
        </w:rPr>
        <w:t>Key benefits of the RxSight system for patients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Superior vision outcomes. </w:t>
      </w:r>
      <w:r>
        <w:rPr>
          <w:rFonts w:ascii="Times New Roman" w:hAnsi="Times New Roman"/>
          <w:color w:val="000000"/>
          <w:sz w:val="20"/>
        </w:rPr>
        <w:t>In the pivotal study that formed the basis for our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Most LAL patients choose minor differences in the refractive correction of each eye. In our most recent Phase IV commercial study data over 90% of LAL patients who chose to optimize vision with both eyes, achieved 20/25 or better distance vision and were also able to read 5-point font without glasses;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Postoperative customization. </w:t>
      </w:r>
      <w:r>
        <w:rPr>
          <w:rFonts w:ascii="Times New Roman" w:hAnsi="Times New Roman"/>
          <w:color w:val="000000"/>
          <w:sz w:val="20"/>
        </w:rPr>
        <w:t xml:space="preserve">Our RxSight system enables patients to preview and compare possible vision outcomes after surgery based on their unique preferences and lifestyle requirements before they select a final prescription for their LAL. With up to three possible adjusting light treatments, patients can dial-in their optimal visual acuity through an interactive and iterative process;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No increase in glare and halo. </w:t>
      </w:r>
      <w:r>
        <w:rPr>
          <w:rFonts w:ascii="Times New Roman" w:hAnsi="Times New Roman"/>
          <w:color w:val="000000"/>
          <w:sz w:val="20"/>
        </w:rPr>
        <w:t xml:space="preserve">Our LALs do not induce higher rates of glare and halos compared to monofocal IOLs. In contrast, multifocal IOLs, generally relied upon to improve near vision, are associated with a higher incidence of unwanted side effects including reduced contrast sensitivity and increased glare and halos around bright lights. These problems can lead to explants, in which patients undergo another procedure to remove the multifocal IOL and replace it with another type of IOL. In FDA studies for the Alcon Panoptix and J&amp;J Symfony, 48.8% and 59.2% of subjects, respectively, reported being bothered by halos postoperatively; and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Corrects residual refractive error</w:t>
      </w:r>
      <w:r>
        <w:rPr>
          <w:rFonts w:ascii="Times New Roman" w:hAnsi="Times New Roman"/>
          <w:color w:val="000000"/>
          <w:sz w:val="20"/>
        </w:rPr>
        <w:t xml:space="preserve">. The RxSight system can reduce the potential for secondary surgical procedures by correcting residual refractive error after surgery using our office based LDD to shape the LAL. With other premium IOLs, a separate LASIK procedure is generally the only way to correct for residual visual errors following the primary cataract procedure. </w:t>
      </w:r>
    </w:p>
    <w:p>
      <w:pPr>
        <w:pStyle w:val="TextBody"/>
        <w:bidi w:val="0"/>
        <w:spacing w:before="160" w:after="283"/>
        <w:jc w:val="left"/>
        <w:rPr>
          <w:rFonts w:ascii="Times New Roman" w:hAnsi="Times New Roman"/>
          <w:sz w:val="20"/>
        </w:rPr>
      </w:pPr>
      <w:r>
        <w:rPr>
          <w:rFonts w:ascii="Times New Roman" w:hAnsi="Times New Roman"/>
          <w:b/>
          <w:i/>
          <w:color w:val="000000"/>
          <w:sz w:val="20"/>
        </w:rPr>
        <w:t>Key benefits of RxSight system for doctors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Clear value proposition for patients, helping doctors to build their premium cataract practices. </w:t>
      </w:r>
      <w:r>
        <w:rPr>
          <w:rFonts w:ascii="Times New Roman" w:hAnsi="Times New Roman"/>
          <w:color w:val="000000"/>
          <w:sz w:val="20"/>
        </w:rPr>
        <w:t xml:space="preserve">Rather than explaining the complicated trade-offs with respect to visual outcomes and predicting refraction before surgery, the surgeon may simply tell patients that their vision will be corrected postoperatively via a painless, in-office process similar to being prescribed glasses. The doctor can also share the LALs clinical results with the patient to provide reassurance that the procedure will deliver desired results;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Increased confidence. </w:t>
      </w:r>
      <w:r>
        <w:rPr>
          <w:rFonts w:ascii="Times New Roman" w:hAnsi="Times New Roman"/>
          <w:color w:val="000000"/>
          <w:sz w:val="20"/>
        </w:rPr>
        <w:t xml:space="preserve">The clinical benefit of “dialing-in” to achieve superior visual outcomes postoperatively increases doctors’ confidence that the LAL can meet patients’ expectations. The doctor does not need to decide prior to surgery whether the patient will be particularly sensitive to suboptimal visual outcomes or side effects (such as glare, halo and loss of contrast). The patient is also unlikely to need a postoperative adjustment such as LASIK to improve their outcome;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Fewer intraoperative measurements. </w:t>
      </w:r>
      <w:r>
        <w:rPr>
          <w:rFonts w:ascii="Times New Roman" w:hAnsi="Times New Roman"/>
          <w:color w:val="000000"/>
          <w:sz w:val="20"/>
        </w:rPr>
        <w:t>With other premium IOLs, the lens power is fixed and cannot be changed after surgery, requiring doctors to spend considerable time on preoperative and intraoperative measurements to estimate the most suitable lens power to implant and lens position. With our RxSight system, surgeons are not as dependent on preoperative and intraoperative equipment for measurements. Instead, they can focus on the surgical procedure, knowing refractive error will be corrected postoperatively with the LDD, and with the patient’s active involvement;</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Broad application across different patients’ needs. </w:t>
      </w:r>
      <w:r>
        <w:rPr>
          <w:rFonts w:ascii="Times New Roman" w:hAnsi="Times New Roman"/>
          <w:color w:val="000000"/>
          <w:sz w:val="20"/>
        </w:rPr>
        <w:t>Our IOLs can address a broad range of patient types and needs, while providing a solution that doctors can trust to improve visual outcomes, eliminating the need for extensive preoperative discussions with patients about which IOL may best fit their lifestyle and visual preferences. Moreover, the superior outcomes and patient-centered approach of the RxSight system helps drive patient referrals and grow premium cataract volumes, which generally produce higher practice revenue and profit margin than conventional procedures; and</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Economic benefits that drive practice growth.</w:t>
      </w:r>
      <w:r>
        <w:rPr>
          <w:color w:val="000000"/>
        </w:rPr>
        <w:t xml:space="preserve"> </w:t>
      </w:r>
      <w:r>
        <w:rPr>
          <w:rFonts w:ascii="Times New Roman" w:hAnsi="Times New Roman"/>
          <w:color w:val="000000"/>
          <w:sz w:val="20"/>
        </w:rPr>
        <w:t>Based on a 2024 economic impact survey by Haffey &amp; Company, of the practices using the RxSight system revealed that LAL procedures were sourced from all other categories of other IOLs. For example, respondents indicated that approximately 40% of their LAL patients would have otherwise selected a conventional monofocal IOL, which is far less profitable for a practice than a LAL procedure. In addition, based on an average of 11 LALs implanted per month at these practices, doctors observed a payback period of approximately six months for the LDD, based on the current list purchase price. Following this payback period, practices continue to reap the financial benefit of converting patients to the RxSight system.</w:t>
      </w:r>
    </w:p>
    <w:p>
      <w:pPr>
        <w:pStyle w:val="TextBody"/>
        <w:bidi w:val="0"/>
        <w:spacing w:before="160" w:after="120"/>
        <w:jc w:val="left"/>
        <w:rPr>
          <w:rFonts w:ascii="Times New Roman" w:hAnsi="Times New Roman"/>
          <w:sz w:val="20"/>
        </w:rPr>
      </w:pPr>
      <w:r>
        <w:rPr>
          <w:rFonts w:ascii="Times New Roman" w:hAnsi="Times New Roman"/>
          <w:b/>
          <w:color w:val="000000"/>
          <w:sz w:val="20"/>
        </w:rPr>
        <w:t>Our growth strategies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are leveraging the tangible and compelling benefits of our RxSight solution to achieve broad adoption of our technology and establish it as the standard of care for premium cataract surgery. Our growth strategies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Establishing new customers and ensuring optimal patient outcomes. </w:t>
      </w:r>
      <w:r>
        <w:rPr>
          <w:rFonts w:ascii="Times New Roman" w:hAnsi="Times New Roman"/>
          <w:color w:val="000000"/>
          <w:sz w:val="20"/>
        </w:rPr>
        <w:t xml:space="preserve">We believe our technology offers a differentiated value proposition to doctors and patients, providing us an opportunity to grow our share in the premium IOL market and increase the penetration of premium IOLs in the broader cataract surgery market. To grow our installed base, we are focused primarily on converting high-volume premium cataract surgeons to the RxSight system by highlighting its clinical, economic and workflow benefits compared to competing premium IOL technologies. Secondarily, we are focused on the broader pool of cataract surgeons who may implant premium IOLs sparingly or not at all due to suboptimal visual outcomes, persistent side effects and uneven patient satisfaction sometimes associated with non-adjustable premium IOL offerings. Because our RxSight system is designed to overcome these shortcomings, we believe many of these doctors have the potential to be successful RxSight customers. We are also investing in professional education, additional clinical studies and registries that expand our evidence base, facilitating peer-to-peer dialogue and forums and communicating the benefits of our technology through marketing initiatives, tradeshows and podium presentations;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Increasing the utilization of our LALs by empowering doctors to grow their practices. </w:t>
      </w:r>
      <w:r>
        <w:rPr>
          <w:rFonts w:ascii="Times New Roman" w:hAnsi="Times New Roman"/>
          <w:color w:val="000000"/>
          <w:sz w:val="20"/>
        </w:rPr>
        <w:t>We work closely with every new customer to conduct a thorough training and onboarding process, providing a high level of service to help the practice succeed with the RxSight system. This support helps the practice confidently recommend the LAL to an increasing number of patients and, in turn, grow their practice. In a recent RxSight customer survey conducted by Haffey &amp; Company, 90% of doctors said they thought our RxSight system delivered the highest quality vision, 96% said they would recommend the LAL to others and 79% said they would select it for their own eyes. In addition to personnel support, we also provide practices with marketing materials, such as patient brochures, literature and digital content for website and social media promotions. We also provide ongoing training related to new technology features and developments, as well as education on the patient benefits of our solution;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Strategically expanding our commercial organization and marketing activities. </w:t>
      </w:r>
      <w:r>
        <w:rPr>
          <w:rFonts w:ascii="Times New Roman" w:hAnsi="Times New Roman"/>
          <w:color w:val="000000"/>
          <w:sz w:val="20"/>
        </w:rPr>
        <w:t>Since launching the RxSight system commercially in late 2019, we have substantially increased the size and scope of our U.S. commercial organization. While we believe our current commercial organization is well built to reach our focused target of high-volume premium cataract surgeons, we will add highly qualified personnel for time to time, with a strategic mix of sales personnel and clinical specialists, to drive higher levels of awareness and penetration in certain regions. We also expect to accelerate marketing initiatives and professional education, including training on best practices and techniques;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Investing in RxSight system enhancements and expanding indications.</w:t>
      </w:r>
      <w:r>
        <w:rPr>
          <w:color w:val="000000"/>
        </w:rPr>
        <w:t xml:space="preserve"> </w:t>
      </w:r>
      <w:r>
        <w:rPr>
          <w:rFonts w:ascii="Times New Roman" w:hAnsi="Times New Roman"/>
          <w:color w:val="000000"/>
          <w:sz w:val="20"/>
        </w:rPr>
        <w:t>We continue to enhance our RxSight system to improve the patient and doctor experience, meet evolving customer needs and address the widest possible patient population. Since our initial FDA approval in November 2017 through December 31, 2025, we have received approximately 55 supplemental approvals. Recent enhancements include the addition of low diopter powers for the LAL+</w:t>
      </w:r>
      <w:r>
        <w:rPr>
          <w:rFonts w:ascii="Times New Roman" w:hAnsi="Times New Roman"/>
          <w:color w:val="000000"/>
          <w:sz w:val="13"/>
        </w:rPr>
        <w:t>®</w:t>
      </w:r>
      <w:r>
        <w:rPr>
          <w:rFonts w:ascii="Times New Roman" w:hAnsi="Times New Roman"/>
          <w:color w:val="000000"/>
          <w:sz w:val="20"/>
        </w:rPr>
        <w:t xml:space="preserve">, improvements to our manufacturing processes and improvements to the LDD software. We believe these technological advancements help to drive increased adoption of our RxSight system;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Scaling our business to achieve cost and production efficiencies. </w:t>
      </w:r>
      <w:r>
        <w:rPr>
          <w:rFonts w:ascii="Times New Roman" w:hAnsi="Times New Roman"/>
          <w:color w:val="000000"/>
          <w:sz w:val="20"/>
        </w:rPr>
        <w:t>We expect to realize operating leverage through increased scale efficiencies as our commercial operations grow. We have executed a number of design and manufacturing process improvements to streamline both LAL and LDD production. We are also concurrently executing on our strategy to optimize our diverse supply chain. The combination of these strategies may drive margin improvement in the future when introduced into production and offered for sale;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Growing our commercial operations in international markets. </w:t>
      </w:r>
      <w:r>
        <w:rPr>
          <w:rFonts w:ascii="Times New Roman" w:hAnsi="Times New Roman"/>
          <w:color w:val="000000"/>
          <w:sz w:val="20"/>
        </w:rPr>
        <w:t>While our current commercial focus is on the large opportunity within the U.S., we believe the RxSight system offers compelling benefits for cataract doctors and patients in select international markets. According to the Market Scope 2025 Premium Cataract Surgery Market Report, approximately 78% of the premium IOL procedures in 2025 were outside the U.S. Our RxSight system has regulatory approval in the U.S., Europe, Canada, Mexico, Singapore, Australia and South Korea. We may selectively pursue commercial expansion outside the U.S., with a priority on markets where we see significant potential growth opportunities. New approvals may also be sought in large cataract markets with more complex regulatory environments.</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FDA clinical studies</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2016, we completed our FDA Phase 3 pivotal randomized clinical study of 600 subjects, designed to evaluate the safety and effectiveness of performing light treatments to correct postoperative spherical and cylindrical refractive error. In this study, 391 subjects had the LAL implanted in one eye and the results were compared at the six-month postoperative visit against 193 subjects with a monofocal control IOL implanted in one eye. The LAL met all primary effectiveness endpoints and was approved by the FDA on November 22, 2017 as the first commercially available adjustable IOL. In the study, 70.1% of LAL subjects achieved monocular uncorrected distance visual acuity of 20/20 or better compared to 36.3% of the eyes implanted with the monofocal control IOL. In addition to being statistically significantly better than the control IOL, the observed rate of eyes with 20/20 or better uncorrected distance visual acuity was the highest reported for any approved intraocular lens and approximately twice what was observed by the two most popular astigmatism-correcting IOLs (38.4% by Alcon’s Acrysof Toric, and 43.6% by J&amp;J’s Tecnis Toric) in similar patient populations in the pivotal studies that led to their approvals by the FDA. Additionally, LAL patients reported a low rate of glare or halo, visual side effects that are frequently reported with premium IOLs. </w:t>
      </w:r>
    </w:p>
    <w:p>
      <w:pPr>
        <w:pStyle w:val="TextBody"/>
        <w:bidi w:val="0"/>
        <w:spacing w:before="120" w:after="283"/>
        <w:jc w:val="left"/>
        <w:rPr>
          <w:rFonts w:ascii="Times New Roman" w:hAnsi="Times New Roman"/>
          <w:sz w:val="20"/>
        </w:rPr>
      </w:pPr>
      <w:r>
        <w:rPr>
          <w:rFonts w:ascii="Times New Roman" w:hAnsi="Times New Roman"/>
          <w:color w:val="000000"/>
          <w:sz w:val="20"/>
        </w:rPr>
        <w:t>In 2024, we completed a 500-eye prospective, randomized, controlled multi-center Post Approval Study (“PAS”), which was a requirement of our Premarket Approval (“PMA”). As of February 7</w:t>
      </w:r>
      <w:r>
        <w:rPr>
          <w:rFonts w:ascii="Times New Roman" w:hAnsi="Times New Roman"/>
          <w:color w:val="000000"/>
          <w:sz w:val="13"/>
        </w:rPr>
        <w:t>th</w:t>
      </w:r>
      <w:r>
        <w:rPr>
          <w:rFonts w:ascii="Times New Roman" w:hAnsi="Times New Roman"/>
          <w:color w:val="000000"/>
          <w:sz w:val="20"/>
        </w:rPr>
        <w:t xml:space="preserve">, 2025, the PAS was accepted by the FDA fulfilling our Post Approval Study requirements.” The PAS subjects were randomized in a 2:1 ratio to receive either the LAL or a monofocal IOL. Study subjects were followed for six months. The study compared effectiveness and safety of the LAL and a monofocal IOL. 335 eyes were implanted with the LAL and 165 eyes with a monofocal control IOL. Both safety endpoints were met. Regarding effectiveness, the monocular uncorrected distance visual acuity was 20/20 or better in 82.5% of LAL eyes compared to 50.6% of control eyes. The study found that the odds of achieving manifest refraction cylinder of 0.50 D or less were more than 20 times greater for the LAL group than the control group at six months. </w:t>
      </w:r>
    </w:p>
    <w:p>
      <w:pPr>
        <w:pStyle w:val="TextBody"/>
        <w:bidi w:val="0"/>
        <w:spacing w:before="160" w:after="120"/>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efforts are designed to create a “razor and razor blade” business model by building a sizable LDD installed base to enable ongoing growth in LAL procedure volumes. New customer contracts typically include sale of the LDD, sale of LALs and an LAL consignment agreement. Once the LDD is installed, our clinical specialists work closely with the practice’s doctors, technicians and staff members to ensure that they are fully trained, proficient LAL providers. Our LAL account managers oversee this process and engage with practices on an ongoing basis to assist with patient awareness and education programs, development of efficient patient flow processes and other initiatives. To achieve broad awareness of the RxSight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among cataract surgeons, we also conduct various marketing programs, including promotions at industry and society conferences, podium presentations, social media, and educational webinars focused on the differentiated benefits of our RxSight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RxSight system has regulatory approval in the U.S., Europe, Canada, Mexico, Singapore, Australia and South Korea. Beyond these, we have begun sales in select foreign jurisdictions where permitted.</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research and development activities are focused on programs that improve clinical outcomes, improve customer experience, expand our indications for use, reduce manufacturing costs and lifecycle management. Since our initial FDA approval in November 2017 through December 31, 2025, we have received approximately 40 supplemental approvals that advance these objectives.</w:t>
      </w:r>
    </w:p>
    <w:p>
      <w:pPr>
        <w:pStyle w:val="TextBody"/>
        <w:bidi w:val="0"/>
        <w:jc w:val="left"/>
        <w:rPr>
          <w:rFonts w:ascii="Times New Roman" w:hAnsi="Times New Roman"/>
          <w:color w:val="000000"/>
          <w:sz w:val="20"/>
        </w:rPr>
      </w:pPr>
      <w:r>
        <w:rPr>
          <w:rFonts w:ascii="Times New Roman" w:hAnsi="Times New Roman"/>
          <w:color w:val="000000"/>
          <w:sz w:val="20"/>
        </w:rPr>
        <w:t>In January 2023, the FDA approved our PMA supplement for our compact LDD with various modifications, and it was approved in Canada in September 2024, and in South Korea in February 2025. Research and development expenses were $38.5 million, $34.4 million and $29.1 million for the years ended December 31, 2025, 2024 and 2023, respectively.</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Manufacturing and supply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currently manufacture, assemble, test, and ship our LAL and LDD in Aliso Viejo, California at our campus of five facilities which consist of an aggregate of approximately 150,000 total square feet. We have intentionally pursued a vertically integrated manufacturing strategy offering critical advantages, including control over our product quality and rapid product iteration using strong R&amp;D and quality groups. We believe our current manufacturing capacity is sufficient to meet our current expected demand for at least the next 12 months.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registered with the FDA as a medical device manufacturer and are licensed by the State of California to manufacture and distribute our medical devices. We are required to manufacture our products in compliance with the FDA’s Quality Management System Regulation (“QMSR”) (21 CFR Part 820 incorporating ISO 13485:2016), replacing the former Quality System Regulation. The FDA enforces the QSR through periodic inspections and may also inspect the facilities of our suppliers. All of our current Aliso Viejo, California facilities have been registered with the FDA, the State of California, and the European Notified Body (British Standards Institution) for the manufacture and distribution of medical devices.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received International Organization for Standardization (“ISO”) 13485:2016 certification for our quality management system. ISO certification generally includes recertification audits every third year, scheduled annual surveillance audits and periodic unannounced audits. We have also received quality system certification to the Medical Device Single Audit Program (“MDSAP”) to cover the jurisdictions of U.S., Canada, Brazil, Japan, and Australia from the British Standards Institution. The MDSAP certification follows the ISO 13485:2016 certification schedule. The most recent recertification and surveillance audit was conducted in November 2024 and the most recent unannounced audit was conducted in November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LAL is a silicone intraocular lens made from a proprietary blend of custom chemical components. Chemical component vendors produce the raw materials, which we inspect, blend, further purify, and process, and formulate into uncured silicone blend. Using this uncured silicone, we mold the lens in one of our three ISO Class 7 clean rooms. After curing, the molded lens is inspected and packaged and then sent to a third-party ethylene oxide sterilization vendor. After sterilization, the lens is returned to us for final inspection, packaging, and shipment to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LDD is a UV projector medical device, which consists of an anterior segment biomicroscope, computer controllers for performing light treatments, and a biometrically designed patient interface and table. The optics are bonded into their mounts using epoxies, which are then oven cured, and are assembled into the main optical housing. The completed optical head is integrated into the table, along with a computer, power supplies and other electro-mechanical parts. We outsource the cables and circuit boards used in the LDD to certified specialty contract manufacturers. The fully assembled LDD is put through an electrical safety and final acceptance test process, and then reviewed by quality control, packaged and shipped directly to our customers for installation.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use a combination of internally manufactured and externally sourced components to produce the LAL and LDD. We rely on third parties, including single and sole source suppliers, to manufacture certain components and subcomponents of our products that include off-the-shelf chemical, materials, microchips integrated into printed circuit boards and cables, sub-assemblies, and custom parts that are provided by qualified and approved suppliers. We also employ a third-party sterilization vendor. We have long-term supply agreements with (or guaranteed commitments from) the majority of our sole source, critical suppliers. We utilize purchase orders or blanket orders covering the medium term of 12–18 months for the majority of our supplier base. While we depend on our suppliers to provide us and our customers with materials in a timely manner that meet our and their quality, quantity and cost requirements, vendors will miss delivery dates, extend delivery dates or in some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pushed out delivery dates, and tariffs. Additionally, due to these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suppliers are evaluated, qualified, and approved as part of our supplier quality program, which includes verification and monitoring procedures to ensure that our suppliers comply with FDA and ISO standards, as well as our own specifications and requirements. We inspect and verify externally sourced components under strict processes supported by internal policies and procedures. We maintain a rigorous change control policy to assure that no product or process changes are implemented without our prior review and approval. </w:t>
      </w:r>
    </w:p>
    <w:p>
      <w:pPr>
        <w:pStyle w:val="TextBody"/>
        <w:bidi w:val="0"/>
        <w:spacing w:before="160" w:after="120"/>
        <w:jc w:val="left"/>
        <w:rPr>
          <w:rFonts w:ascii="Times New Roman" w:hAnsi="Times New Roman"/>
          <w:sz w:val="20"/>
        </w:rPr>
      </w:pPr>
      <w:r>
        <w:rPr>
          <w:rFonts w:ascii="Times New Roman" w:hAnsi="Times New Roman"/>
          <w:b/>
          <w:color w:val="000000"/>
          <w:sz w:val="20"/>
        </w:rPr>
        <w:t>Third-party reimbursement and patient billing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Dual aspect payment model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U.S., the CMS has determined that the additional refractive correction provided by astigmatism correcting and presbyopia correcting (premium) IOLs is not a covered benefit. As described in two CMS rulings (CMS 05-01 and CMS 1536-R), premium IOLs have both a covered and non-covered aspect, providing the framework for the “dual-aspect payment model.” In effect since 2005, this model means that CMS does not reimburse the physician or the facility for the additional costs associated with a premium IOL, while still covering the cost of the conventional IOL procedure. Instead, the patient selecting a premium IOL is responsible for the additional charges from the physician and from the facility that exceed the regular charges for insertion of a conventional IOL that are submitted to CMS by each of these providers. As of 2017, CMS has recognized the LAL as an astigmatism correcting (premium) IOL, making it eligible for the dual aspect payment model. Most commercial payers mirror the Medicare rulings, but this can vary by payor. </w:t>
      </w:r>
    </w:p>
    <w:p>
      <w:pPr>
        <w:pStyle w:val="TextBody"/>
        <w:bidi w:val="0"/>
        <w:spacing w:before="160" w:after="283"/>
        <w:jc w:val="left"/>
        <w:rPr>
          <w:rFonts w:ascii="Times New Roman" w:hAnsi="Times New Roman"/>
          <w:sz w:val="20"/>
        </w:rPr>
      </w:pPr>
      <w:r>
        <w:rPr>
          <w:rFonts w:ascii="Times New Roman" w:hAnsi="Times New Roman"/>
          <w:b/>
          <w:i/>
          <w:color w:val="000000"/>
          <w:sz w:val="20"/>
        </w:rPr>
        <w:t>Procedure coding and payment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U.S., we primarily sell our LAL products to ambulatory surgical centers (“ASCs”) and occasionally to hospitals. These customers in turn bill various third-party payors, such as commercial payors and state and government payors, as well as patients and doctors directly for the services provided to each patient.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Third-party payors require physicians and hospitals to identify the service for which they are seeking reimbursement by using Current Procedural Terminology, or CPT, codes, which are created and maintained by the American Medical Association, or AMA. For cataract surgery, the most common specific CPT codes are 66984 (Cataract surgery with IOL, on stage) and 66982 (Cataract surgery, complex). The facility fees associated with these codes include payment for a conventional IOL of up to $150. A specific HCPCS code is listed on the CMS claim by the facility to indicate use of premium IOL for tracking purposes only (V2787 or V2788 for astigmatism-correcting or presbyopia-correction function of IOL, respectively). Similarly, the physician includes HCPCS code A9270 (non-covered item or service) on their claim to Medicare (or another third party) to indicate charges for extended care related to the correction of refractive error.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While an Advanced Beneficiary Notice (“ABN”) or Notice of Exclusion from Medicare Benefits (“NEMB”) is not required, most providers issue an ABN or NEMB to alert patients that CMS (or non-Medicare payers) do not cover the additional charges associated with a premium IOL and to get the patient’s agreement to pay these charges. Patients are then billed directly by the physician and the ASC for these charges. In some cases, the physician bills the patient exclusively and then reimburses the ASC for the additional cost of the premium IOL. </w:t>
      </w:r>
    </w:p>
    <w:p>
      <w:pPr>
        <w:pStyle w:val="TextBody"/>
        <w:bidi w:val="0"/>
        <w:spacing w:before="160" w:after="283"/>
        <w:jc w:val="left"/>
        <w:rPr>
          <w:rFonts w:ascii="Times New Roman" w:hAnsi="Times New Roman"/>
          <w:sz w:val="20"/>
        </w:rPr>
      </w:pPr>
      <w:r>
        <w:rPr>
          <w:rFonts w:ascii="Times New Roman" w:hAnsi="Times New Roman"/>
          <w:b/>
          <w:i/>
          <w:color w:val="000000"/>
          <w:sz w:val="20"/>
        </w:rPr>
        <w:t>Commercial payor and government program coverage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While the dual aspect payment model has been in use for over 15 years, the extent to which this model will be used by non-government third-party payors, such as commercial insurance, and managed healthcare organizations may vary. One third-party payor’s decision does not ensure that other payors will also follow this model. As a result, the coverage determination process can require manufacturers to provide additional support for the use of a product to each payor separately. This can be a time-consuming process, with no assurance that the dual aspect model will be applied consistently.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Reimbursement outside of the U.S.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international markets, reimbursement and healthcare payment systems also vary significantly by country, and many countries have instituted price ceilings on specific products and therapies. In many countries, analogous determinations to the dual aspect CMS ruling have been made, allowing for partial coverage of the cataract procedure by national health systems, with patients paying out of pocket for refractive services associated with the premium IOL. In other countries, such dual billing is not allowed, forcing patients to pay for the entire cost of the cataract surgery and IOL when a premium IOL is used. In such markets, it may be possible for doctors to charge separately for the cost of light treatments, which are not part of the cataract procedure. This method would require a different billing methodology by us than is currently used in the U.S., where light treatments are included with the purchase of the LAL. There is no assurance that these methodologies will be allowed or that an adequate level of payment will be established, or that the third-party payors’ reimbursement policies will not adversely affect the ability for manufacturers to sell products profitably.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Intellectual Property, License Agreements and Other Material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obtain, maintain, protect, and enforce our intellectual property rights, including our patent rights, preserve the confidentiality of our trade secrets, operate without infringing, misappropriating or otherwise violating the intellectual property rights of others and prevent others from infringing, misappropriating or otherwise violating our intellectual property rights. We rely on a combination of patent, trademark, trade secret, copyright and other intellectual property rights and measures to protect the products and technology that we consider important to our business. We also rely on know-how and continuing technological innovation to develop and maintain our competitive position.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policy is to seek to protect our proprietary position by, among other methods, pursuing and obtaining patent protection in the U.S. and in jurisdictions outside of the U.S. related to our technology, inventions, improvements and products that are important to the development and implementation of our business. Our patent portfolio covers various aspects of our LDD, LAL and related devices and methods.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term of individual patents depends upon the legal term of the patents in the countries in which they are obtained. Generally, in the U.S., issued patents are granted a term of 20 years from the earliest claimed non-provisional or Patent Cooperation Treaty (“PCT”) filing date. In certain instances, a patent term can be adjusted to recapture a portion of delay by the U.S. Patent and Trademark Office (“USPTO”), in examining the patent application (patent term adjustment, or PTA) or extended to account for term effectively lost as a result of the FDA regulatory review period (patent term extension, or PTE), or both. Additionally, a patent term may be shortened if a patent is terminally disclaimed over an earlier filed patent. However, the life of the patent, and the protection it affords, is limited. In addition, we cannot provide any assurance that any patents will be issued from our pending or future applications or that any issued patents will adequately protect our current and future products. We also cannot predict the breadth of claims that may be allowed or enforced in our owned or in-licensed patents or whether such claims, if issued, will cover our products, provide sufficient protection from competitors or otherwise provide any competitive advantage. Any issued patents that we may own or in-license in the future may be challenged, invalidated, narrowed, held unenforceable, infringed or circumvented.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December 31, 2025, our patent estate is directed to various aspects of our programs and technology, including our LAL and our LDD as well as lens adjustment procedure and other technology. The U.S. and foreign patents issued or pending are estimated to expire from 2026 to 2045, without taking into account any possible patent term adjustments or extensions and assuming payment of all appropriate maintenance, renewal, annuity, and other governmental fees. Further details on certain segments of our patent portfolio, including our owned and exclusively in-licensed issued patents and patent applications, are included below.</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current LAL: Some of the patents directed to our current LAL include, for example, U.S. Pat. No. 10,874,505, which is estimated to expire in 2033, U.S. Pat. No. 11,266,495, which is estimated to expire in 2039 and U.S. Pat. No. 12,102,524, which is estimated to expire in 2039.</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LDD: Some of the patents directed to our LDD include, for example, U.S. Pat. No. 10,864,075, which is estimated to expire in 2038, and U.S. Pat. No. 10,932,864, which is estimated to expire in 2039.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lens adjustment procedure: Some of the patents directed to our lens adjustment procedure include, for example, U.S. Pat. No. 10,166,731, which is estimated to expire in 2036.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RxSight system accessories: A patent directed to our RxSight system accessories includes, for example, U.S. Pat. No. 11,083,568, which is estimated to expire in 2037.</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Pursuant to the agreement with QAD, Inc. (“QAD”) dated October 29, 2015 (the “QAD Agreement”), we received a nonexclusive, non-transferable, perpetual license to use certain QAD software at the physical location where we install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software. Under the agreement, we purchase such QAD software through individual orders (“Purchase Orders”), and each Purchase Order has a respective payment fee and maintenance fee. We use the software licensed under the QAD agreement for inventory, shipping, receiving, sales order, work order, planning and financial transactions for the business. Maintenance for the software is offered by QAD and available for purchase by us on an annual basis, and such purchase was compulsory for the first year of the agreement. After the first year, maintenance purchased under the agreement automatically renews for successive one-year periods unless terminated by us or QAD 60 days prior to the effective date of any renewal term. Further, we grant QAD audit rights to verify our usage of QAD software, and if following such audit our use of the QAD software is in excess of our license, we are obligated to pay to QAD the amounts necessary to become compliant. QAD provides limited warranties to the software and retains all intellectual property ownership rights in the QAD software including any modifications made by us, however we receive a license to use any modifications made by us. Unless earlier terminated, the term of the QAD agreement is perpetual. Both parties have the right to terminate the agreement for convenience by giving the other party 90 days prior written notice and such termination does not affect the license granted. Either party to the agreement may terminate the agreement with notice, if the other materially breaches the agreement, and the breach is not cured within specified time periods. In addition, either party may terminate if the other party is adjudicated bankrupt or an official is appointed to manage its financial affairs. Upon termination for cause, we must immediately discontinue all use of the software.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that we have certain know-how and trade secrets relating to our technology and current and future products. We rely on trade secrets to protect certain aspects of our technology related to our current and future products. However, trade secrets and know-how can be difficult to protect. We seek to protect our trade secrets and know-how, in part, by entering into confidentiality agreements with our employees, consultants, scientific advisors, service providers, and contractors but these agreements may not provide meaningful protection, and we cannot guarantee that we have executed such agreements with all applicable counterparties. These agreements may also be breached, and we may not have an adequate remedy for any such breach. We also seek to preserve the integrity and confidentiality of our data and trade secrets by maintaining physical security of our premises and physical and electronic security of our information technology systems. Although we take steps to protect our trade secrets and know-how, third parties may independently develop or otherwise gain access to our trade secrets and know-how.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more information regarding risks related to our intellectual property, please see “Risk Factors-Risks related to Intellectual Property” in Part I, Item 1A of this Annual Report. </w:t>
      </w:r>
    </w:p>
    <w:p>
      <w:pPr>
        <w:pStyle w:val="TextBody"/>
        <w:bidi w:val="0"/>
        <w:spacing w:before="1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surgical ophthalmology market is intense and is primarily driven by technological innovation and the regulatory approval required to commercialize products in the key markets around the world. The development of new or improved products may make existing products less attractive, reduce them to commodity status or even make them obsolete. We believe the principal competitive factors in our markets include: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quality of patient outcomes, oftentimes measured by visual acuity, and adverse event rates;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 experience, including patient recovery time and level of discomfort;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acceptance by treating doctors and referral sources;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doctor learning curves and willingness to adopt new technologies;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ease-of-use and reliability;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economic benefits and cost savings;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strength of clinical evidence;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effective distribution and marketing to surgeons and potential patients;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product price and qualification for coverage and reimbursement.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a commercial perspective, we believe our primary competitors in the cataract U.S. IOL market are premium IOL providers, including Alcon and Johnson &amp; Johnson. According to Market Scope, the global cataract IOL market is highly concentrated, with these top two players accounting for approximately 75% of the total U.S. premium cataract surgery market and approximately 70% of the global manufacturer market revenue.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and cost-efficiently drive awareness of the unique value of our RxSight system.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patients who receive an LAL will be required to wear UV protective glasses until final lock-in which is approximately 4-5 weeks after surgery. They will also be required to return for an additional two to three clinic visits compared to traditional cataract surgery. The additional clinic visits are non-surgical but do require the patient’s eyes to be dilated. Due to these additional requirements, market acceptance of the LAL may be impacted.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most popular premium IOLs families approved for cataract treatment are toric and multifocal Acrysof and Tecnis IOL models. According to the Market Scope 2025 Premium Cataract Surgery Market Report Alcon and Johnson &amp; Johnson are two of the top IOL manufacturers, with an estimated 2025 revenue share of the world-wide premium IOL market of approximately 45% and 27%, respectively. The Acrysof and Tecnis families of IOLs are available in a monofocal Toric, multifocal Toric and EDOF Toric versions. The Presbyopia-Correcting and Toric versions of these lenses represented over half of all premium multifocal IOLs sold in 2025. The rest of the market is shared between several smaller companies each with under 5% market share. From a technology perspective, we believe the LAL competes with nearly all of the existing IOLs, including conventional, premium astigmatism correcting and premium presbyopia correcting lenses.</w:t>
      </w:r>
    </w:p>
    <w:p>
      <w:pPr>
        <w:pStyle w:val="TextBody"/>
        <w:bidi w:val="0"/>
        <w:spacing w:before="16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and operations are subject to extensive and ongoing regulation by the FDA under the Federal Food, Drug, and Cosmetic Act, (the “FDCA”) and its implementing regulations, as well as other federal, state and local regulatory authorities in the U.S., as well as foreign regulatory authorities. The FDA regulates, among other things, product design and development, pre-clinical and clinical testing, manufacturing, packaging, labeling, storage, record keeping and reporting, clearance or approval, marketing, distribution, promotion, import and export, and post-marketing surveillance in the U.S. to assure the safety and effectiveness of medical products for their intended use. </w:t>
      </w:r>
    </w:p>
    <w:p>
      <w:pPr>
        <w:pStyle w:val="TextBody"/>
        <w:bidi w:val="0"/>
        <w:spacing w:before="160" w:after="283"/>
        <w:jc w:val="left"/>
        <w:rPr>
          <w:rFonts w:ascii="Times New Roman" w:hAnsi="Times New Roman"/>
          <w:sz w:val="20"/>
        </w:rPr>
      </w:pPr>
      <w:r>
        <w:rPr>
          <w:rFonts w:ascii="Times New Roman" w:hAnsi="Times New Roman"/>
          <w:b/>
          <w:i/>
          <w:color w:val="000000"/>
          <w:sz w:val="20"/>
        </w:rPr>
        <w:t>FDA regulation of medical devices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an exemption applies, each new or significantly modified medical device we seek to commercially distribute in the U.S. will require either a premarket notification to the FDA requesting permission for commercial distribution under Section 510(k) of the FDCA, also referred to as a 510(k) clearance, or approval from the FDA of a PMA application. Both the 510(k) clearance and PMA processes can be resource intensive, expensive, and lengthy, and require payment of significant user fees, unless an exemption is available.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FDA classifies medical devices into one of three classes – Class I, Class II or Class III – depending on the degree of risk associated with each medical device and the extent of control needed to provide reasonable assurances with respect to safety and effectiveness.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Class I devices are those for which safety and effectiveness can be reasonably assured by adherence to the FDA’s general controls for medical devices, which include compliance with the applicable portions of FDA’s current good manufacturing practices for devices, as reflected in the FDA's QMSR, establishment registration and device listing, reporting of adverse events and malfunctions, and appropriate, truthful and non-misleading labeling and promotional materials. Some Class I devices, also called Class I reserved devices, also require premarket clearance by the FDA through the 510(k) premarket notification process described below. Most Class I products are exempt from the premarket notification requirements.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Class II devices are those that are subject to the FDA’s general controls and any other special controls deemed necessary by the FDA to ensure the safety and effectiveness of the device. These special controls can include performance standards, patient registries, product-specific FDA guidance documents, special labeling requirements and post-market surveillance. Most Class II devices are subject to premarket review and clearance by the FDA through the 510(k) premarket notification process.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Class III devices include devices deemed by the FDA to pose the greatest risk such as life-supporting or life-sustaining devices, or implantable devices, in addition to those deemed novel and not substantially equivalent following the 510(k) process. Due to the level of risk associated with Class III devices, the FDA’s general controls and special controls alone are insufficient to assure their safety and effectiveness. Devices placed in Class III generally require the submission of a PMA application, demonstrating the safety and effectiveness of the device which must be approved by the FDA prior to marketing, or the receipt of a 510(k) de novo classification. The PMA approval process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a new medical device does not qualify for the 510(k) premarket notification process because no predicate device to which it is substantially equivalent can be identified, the device is automatically classified into Class III. The Food and Drug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Obtaining FDA marketing authorization, de novo down-classification, or approval for medical devices is expensive and uncertain, and may take several years, and generally requires significant scientific and clinical data. </w:t>
      </w:r>
    </w:p>
    <w:p>
      <w:pPr>
        <w:pStyle w:val="TextBody"/>
        <w:bidi w:val="0"/>
        <w:spacing w:before="160" w:after="120"/>
        <w:jc w:val="left"/>
        <w:rPr>
          <w:rFonts w:ascii="Times New Roman" w:hAnsi="Times New Roman"/>
          <w:sz w:val="20"/>
        </w:rPr>
      </w:pPr>
      <w:r>
        <w:rPr>
          <w:rFonts w:ascii="Times New Roman" w:hAnsi="Times New Roman"/>
          <w:b/>
          <w:i/>
          <w:color w:val="000000"/>
          <w:sz w:val="20"/>
        </w:rPr>
        <w:t>Investigational device process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the U.S.,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subjects. Generally, clinical trials for a significant risk device may begin once the IDE application is approved by the FDA and the study protocol and informed consent are approved by appropriate institutional review boards for each clinical trial site. There can be no assurance that submission of an IDE will result in the ability to commence clinical trials, and although the FDA’s approval of an IDE allows clinical testing to go forward for a specified number of subjects, it does not bind the FDA to accept the results of the clinical trial as sufficient to prove the product’s safety and effectiveness, even if the clinical trial meets its intended success criteria.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institutional review board approval and for informed consent and other human subject protections. Required records and reports are subject to inspection by the FDA.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results of clinical testing may be unfavorable, or, even if the intended safety and effectiveness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FDA or other regulatory authorities do not approve a clinical trial protocol or a clinical trial, or place a clinical trial on hold;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Patients do not enroll in clinical trials at the rate expected;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Patients do not comply with trial protocols;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 follow-up is not at the rate expected;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Patients experience adverse events;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Patients die during a clinical trial, even though their death may not be related to the products that are part of the clinical trial;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Device malfunctions occur with unexpected frequency or potential adverse consequences;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Side effects or device malfunctions of similar products already in the market that change the FDA’s view toward approval of new or similar PMAs or result in the imposition of new requirements or testing;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Institutional review boards may delay or reject the clinical trial protocol;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Third-party investigators are disqualified by the FDA;</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Third-party clinical investigators have significant financial interests related to us or our study such that the FDA deems the study results unreliable, or we or investigators fail to disclose such interests;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Regulatory inspections of our clinical trials or manufacturing facilities, which may, among other things, require us to undertake corrective action or suspend or terminate our clinical trials;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government regulations or administrative actions;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interim or final results of the clinical trial are inconclusive or unfavorable as to safety or effectiveness; 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FDA concludes that our trial design is unreliable or inadequate to demonstrate safety and effectiveness.</w:t>
      </w:r>
    </w:p>
    <w:p>
      <w:pPr>
        <w:pStyle w:val="TextBody"/>
        <w:bidi w:val="0"/>
        <w:spacing w:before="160" w:after="120"/>
        <w:jc w:val="left"/>
        <w:rPr>
          <w:rFonts w:ascii="Times New Roman" w:hAnsi="Times New Roman"/>
          <w:sz w:val="20"/>
        </w:rPr>
      </w:pPr>
      <w:r>
        <w:rPr>
          <w:rFonts w:ascii="Times New Roman" w:hAnsi="Times New Roman"/>
          <w:b/>
          <w:i/>
          <w:color w:val="000000"/>
          <w:sz w:val="20"/>
        </w:rPr>
        <w:t>The 510(k) clearance process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510(k) process, the manufacturer must submit to the FDA a premarket notification, demonstrating that the device is “substantially equivalent,” as defined in the statute, to a legally marketed predicate device.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predicate device is a legally marketed device that is not subject to premarket approval, i.e., a device that was legally marketed prior to May 28, 1976 (pre-amendments device) and for which a PMA is not required, a device that has been reclassified from Class III to Class II or Class I, or a device that was previously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 Clinical data is sometimes, but not always, required to support substantial equivalence.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Medical Device User Fee Amendments sets a performance goal of 90 days for FDA review of a 510(k) submission, but the review time can be delayed if FDA raises questions or requests additional information during the review process. As a practical matter, clearance often takes longer, and clearance is never assured. Thus,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A manufacturer can also submit a petition for direct de novo review if the manufacturer is unable to identify an appropriate predicate device and the new device or new use of the device presents a moderate or low risk.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Medical devices can only be marketed for the indications for which they are cleared or approved. 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or de novo classification. The determination as to whether or not a modification constitutes such a change is initially left to the manufacturer using available FDA guidance; however, the FDA may review this determination to evaluate the regulatory status of the modified product at any time and may require the manufacturer to cease marketing and recall the modified device until new 510(k) clearance or PMA approval is obtained. If the FDA disagrees with a manufacturer’s determination regarding whether a new premarket submission is required for the modification of an existing device, the FDA can require the manufacturer to cease marketing and/or recall the modified device until 510(k) clearance or approval of a PMA application is obtained. The manufacturer may also be subject to significant regulatory fines or penalties.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sz w:val="20"/>
        </w:rPr>
      </w:pPr>
      <w:r>
        <w:rPr>
          <w:rFonts w:ascii="Times New Roman" w:hAnsi="Times New Roman"/>
          <w:b/>
          <w:i/>
          <w:color w:val="000000"/>
          <w:sz w:val="20"/>
        </w:rPr>
        <w:t>The PMA approval process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substantive review. The FDA, by statute and by regulation,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device may not be shown safe or effective to the FDA’s satisfaction;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data from pre-clinical studies and/or clinical trials may be found unreliable or insufficient to support approval;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manufacturing process or facilities may not meet applicable requirements;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Changes in FDA approval policies or adoption of new regulations may require additional data.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clinical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require post-market surveillance for certain devices cleared under a 510(k) notification, such as implants or life-supporting or life-sustaining devices used outside a device user facility. The FDA may also approve a PMA application with other post-approval conditions intended to ensure the safety and effectiveness of the device, such as, among other things, restrictions on labeling, promotion, sale, distribution and use. Significant modifications to the manufacturing process, labeling and design for a device which has received approval through the PMA process may require submission of a new PMA application or PMA supplement prior to marketing. </w:t>
      </w:r>
    </w:p>
    <w:p>
      <w:pPr>
        <w:pStyle w:val="TextBody"/>
        <w:bidi w:val="0"/>
        <w:spacing w:before="160" w:after="120"/>
        <w:jc w:val="left"/>
        <w:rPr>
          <w:rFonts w:ascii="Times New Roman" w:hAnsi="Times New Roman"/>
          <w:sz w:val="20"/>
        </w:rPr>
      </w:pPr>
      <w:r>
        <w:rPr>
          <w:rFonts w:ascii="Times New Roman" w:hAnsi="Times New Roman"/>
          <w:b/>
          <w:i/>
          <w:color w:val="000000"/>
          <w:sz w:val="20"/>
        </w:rPr>
        <w:t>Ongoing regulation by the FDA</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Even after the FDA permits a device to be marketed, numerous regulatory requirements apply, including but not limited to: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establishment registration and device listing;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QMSR, which went into effect in February 2026, which requires manufacturers, including third-party manufacturers, to follow stringent design, testing, production, control, supplier/contractor selection, complaint handling, documentation, and other quality assurance procedures during the manufacturing process;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labeling regulations, advertising and promotion requirements, restrictions on sale distribution or use of a device, each including the FDA general prohibition against the promotion of products for any uses other than those authorized by the FDA, which are commonly known as “off label” uses;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Medical Device Reporting (“MDR”) regulation, which requires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medical device corrections and removal reporting regulations, which require that manufactures report to the FDA field corrections or removals if undertaken to reduce a risk to health posed by a device or to remedy a violation of the FDCA Act that may present a risk to health;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recall requirements, including a mandatory recall if there is a reasonable probability that the device would cause serious adverse health consequences or death;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 order of repair, replacement or refund;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device tracking requirements;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post market study and surveillance requirements.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After a device receives 510(k) clearance, any modification that could significantly affect its safety or effectiveness, or that would constitute a major change in its intended use, will require a new 510(k) or possibly a PMA. The FDA requires each manufacturer to make this determination initially, but the FDA can review any such decision and can disagree with a manufacturer’s determination. If the FDA disagrees with our determination not to seek a new 510(k) clearance, the FDA may retroactively require us to seek 510(k) clearance or possibly a PMA. The FDA could also require us to cease marketing and distribution and/or recall the modified device until 510(k) clearance or a PMA is obtained. Also, in these circumstances, we may be subject to significant regulatory fines and penalties.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Some changes to an approved PMA device, including changes in indications, labeling, or manufacturing processes or facilities, require submission and FDA approval of a new PMA application or PMA supplement, as appropriate, before the change can be implemented. Supplements to a PMA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FDA regulations require us to register as a medical device manufacturer with the FDA. Additionally, some states also require medical device manufacturers and/or distributors doing business within the state to register with the state or apply for a state license, which could subject our facility to state inspection as well as FDA inspection on a routine basis for compliance with the FDA's QMSR and any applicable state requirements. Further, the FDA requires us to comply with various FDA regulations regarding labeling. Failure by us or by our suppliers to comply with applicable regulatory requirements can result in enforcement action by the FDA or state authorities, which may include any of the following sanctions: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warning or untitled letters, fines, injunctions, consent decrees and civil penalties;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customer notifications, voluntary or mandatory recall or seizure of our products;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operating restrictions, partial suspension or total shutdown of production;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delay in processing, clearing or approving submissions or applications for new products or modifications to existing products;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suspension or withdrawal of FDA approvals or clearances that have already been granted;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products under development.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facilities, records and manufacturing processes are subject to periodic unscheduled inspections by the FDA. Failure to comply with the applicable U.S.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When the FDA conducts an inspection, the inspectors will identify any deficiencies they believe exist in the form of a notice of inspectional observations, or Form FDA 483. If we receive a notice of inspectional observations or deficiencies from the FDA following an inspection, we would be required to respond in writing, and would be required to undertake corrective and/or preventive or other actions in order to address the FDA’s or other regulators’ concerns. Failure to address the FDA’s concerns may result in the issuance of a warning letter or other enforcement or administrative actions. </w:t>
      </w:r>
    </w:p>
    <w:p>
      <w:pPr>
        <w:pStyle w:val="TextBody"/>
        <w:bidi w:val="0"/>
        <w:spacing w:before="160" w:after="283"/>
        <w:jc w:val="left"/>
        <w:rPr>
          <w:rFonts w:ascii="Times New Roman" w:hAnsi="Times New Roman"/>
          <w:sz w:val="20"/>
        </w:rPr>
      </w:pPr>
      <w:r>
        <w:rPr>
          <w:rFonts w:ascii="Times New Roman" w:hAnsi="Times New Roman"/>
          <w:b/>
          <w:i/>
          <w:color w:val="000000"/>
          <w:sz w:val="20"/>
        </w:rPr>
        <w:t>International medical device premarket authorization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European Union has established a comprehensive regulatory framework governing the design, manufacture, clinical investigation, labeling, and post-market surveillance of medical devices. Our products are regulated in the European Union under Regulation (EU) 2017/745, commonly referred to as the EU Medical Devices Regulation (“EU MDR”). Medical devices are classified under the EU MDR based on intended use and risk profile, with conformity assessment requirements determined by the applicable classification. Our products have completed the required conformity assessment procedures and are fully certified under the EU MDR, permitting the application of the CE mark. The CE mark demonstrates conformity with applicable regulatory requirements and allows for commercialization throughout the European Union without the need for additional national approvals. Certification is issued by a designated Notified Body and is subject to ongoing compliance with the EU MDR and applicable ISO 13485 quality system requirements.</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Regulatory oversight of medical devices in the European Union is carried out by national authorities, referred to as Competent Authorities, in coordination with Notified Bodies. The Company is subject to periodic surveillance and re-certification audits by its Notified Body to verify continued compliance with regulatory and quality system requirements, including those applicable to clinical trials sponsored by the Company. In addition to EU MDR certification, the Company has obtained UK Conformity Assessed (UKCA) certification for products marketed in Great Britain and has completed medical device registration in Switzerland in accordance with applicable Swiss regulatory requirements. The Company also maintains certification under the Medical Device Single Audit Program (“MDSAP”), covering the jurisdictions of the U.S., Canada, Japan, Brazil, and Australia, which allows a single audit to satisfy quality system requirements across these markets. All regulatory registrations and certifications required as a result of the United Kingdom’s withdrawal from the European Union and Switzerland’s regulatory changes have been completed and are maintained in accordance with applicable regulatory requirements</w:t>
      </w:r>
    </w:p>
    <w:p>
      <w:pPr>
        <w:pStyle w:val="TextBody"/>
        <w:bidi w:val="0"/>
        <w:spacing w:before="160" w:after="283"/>
        <w:jc w:val="left"/>
        <w:rPr>
          <w:rFonts w:ascii="Times New Roman" w:hAnsi="Times New Roman"/>
          <w:sz w:val="20"/>
        </w:rPr>
      </w:pPr>
      <w:r>
        <w:rPr>
          <w:rFonts w:ascii="Times New Roman" w:hAnsi="Times New Roman"/>
          <w:b/>
          <w:i/>
          <w:color w:val="000000"/>
          <w:sz w:val="20"/>
        </w:rPr>
        <w:t>Other U.S. regulatory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device companies are subject to additional healthcare regulation and enforcement by the federal government and by authorities in the states and foreign jurisdictions in which they conduct their business. Manufacturing, sales, promotion and other activities following product clearance or approval are subject to regulation by numerous regulatory authorities in the U.S.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For example, in the U.S., sales, marketing and scientific and educational programs also must comply with state and federal fraud and abuse, anti-kickback false claims, transparency, government price reporting, anti-corruption, and health information privacy and security laws and regulations. Internationally, other governments also impose regulations in connection with their healthcare reimbursement programs and the delivery of healthcare items and services.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The growth of our business and sales organization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various interpretations. Any action brought against us for violations of these laws or regulations, even successfully defended, could cause us to incur significant legal expenses and divert our management’s attention from the operation of our business. Also, we may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individual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 </w:t>
      </w:r>
    </w:p>
    <w:p>
      <w:pPr>
        <w:pStyle w:val="TextBody"/>
        <w:bidi w:val="0"/>
        <w:spacing w:before="160" w:after="283"/>
        <w:jc w:val="left"/>
        <w:rPr>
          <w:rFonts w:ascii="Times New Roman" w:hAnsi="Times New Roman"/>
          <w:sz w:val="20"/>
        </w:rPr>
      </w:pPr>
      <w:r>
        <w:rPr>
          <w:rFonts w:ascii="Times New Roman" w:hAnsi="Times New Roman"/>
          <w:b/>
          <w:i/>
          <w:color w:val="000000"/>
          <w:sz w:val="20"/>
        </w:rPr>
        <w:t>U.S. health 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healthcare policy could increase our costs and subject us to additional regulatory requirements that may interrupt commercialization of our current and future solutions. Current and future legislative proposals to further reform healthcare or reduce healthcare costs may limit coverage for the procedures associated with the use of our products or result in lower reimbursement for those procedures. The cost containment measures that payers and providers are instituting and the effect of any healthcare reform initiative implemented in the future could significantly reduce our revenues from the sale of our products. Changes in healthcare policy, including changes in the implementation or the repeal of the ACA in the U.S., could increase our costs, decrease our revenue and impact sales of and reimbursement and coverage for our current and future products.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this case and held oral arguments in November 2020.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of the Biden administration will impact the ACA and our business. Other legislative changes have been proposed and adopted since the ACA was enacted, including aggregate reductions of Medicare payments to providers of 2% per fiscal year and reduced payments to several types of Medicare providers, which will remain in effect through 2032, unless additional action is taken by Congress. Moreover, there recently has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Complying with any new legislation or reversing changes implemented under the ACA could be time-intensive and expensive, resulting in a material adverse effect on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 </w:t>
      </w:r>
    </w:p>
    <w:p>
      <w:pPr>
        <w:pStyle w:val="TextBody"/>
        <w:bidi w:val="0"/>
        <w:spacing w:before="160" w:after="283"/>
        <w:jc w:val="left"/>
        <w:rPr>
          <w:rFonts w:ascii="Times New Roman" w:hAnsi="Times New Roman"/>
          <w:sz w:val="20"/>
        </w:rPr>
      </w:pPr>
      <w:r>
        <w:rPr>
          <w:rFonts w:ascii="Times New Roman" w:hAnsi="Times New Roman"/>
          <w:b/>
          <w:color w:val="000000"/>
          <w:sz w:val="20"/>
        </w:rPr>
        <w:t>Data privacy and security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Medical device companies may be subject to foreign and U.S. federal and state health information privacy, data protection, security and data breach notification laws, which may govern the collection, use, disclosure and protection of health-related and other personal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Even when HIPAA does not apply, failing to take appropriate steps to keep personal information secure may constitute a violation of laws or unfair acts or practices in or affecting commerce in violation of Section 5(a) of the Federal Trade Commission Act, 15 U.S.C § 45(a). The FTC expects a company’s data security measures to be reasonable and appropriate in light of the sensitivity and volume of personal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Any actual or perceived failure to comply with these laws can result in private claims, demands and litigation, regulatory investigations and other proceedings, and the imposition of significant civil and/or criminal penalties and other relief. For example, California enacted the California Consumer Privacy Act, (“CCPA”), which went into effect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in November 2020, California voters passed the California Privacy Rights Act of 2020 (“CPRA”). The CPRA, which became effective January 1, 2023, created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EU also has laws and regulations dealing with the collection, use and processing of personal data obtained from individuals in the EU, including the EU General Data Protection Regulation, or GDPR. These laws and regulations are often more restrictive than those in the U.S. and restrict transfers of personal data to the U.S. unless certain requirements are met. The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 has adopted the UK General Data Protection Regulation and UK Data Protection Act of 2018, which retains the GDPR in the United Kingdom’s national law and provides for a penalty structure similar to the GDPR. 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the interpretations or applications of existing laws, regulations and standards, we may also become subject to fines, audits, inquiries, whistleblower complaints, adverse media coverage, investigations, lawsuits, loss of export privileges, severe criminal or civil sanction or other penalties.</w:t>
      </w:r>
    </w:p>
    <w:p>
      <w:pPr>
        <w:pStyle w:val="TextBody"/>
        <w:bidi w:val="0"/>
        <w:spacing w:before="160" w:after="283"/>
        <w:jc w:val="left"/>
        <w:rPr>
          <w:rFonts w:ascii="Times New Roman" w:hAnsi="Times New Roman"/>
          <w:sz w:val="20"/>
        </w:rPr>
      </w:pPr>
      <w:r>
        <w:rPr>
          <w:rFonts w:ascii="Times New Roman" w:hAnsi="Times New Roman"/>
          <w:b/>
          <w:color w:val="000000"/>
          <w:sz w:val="20"/>
        </w:rPr>
        <w:t>Employees and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461 full-time employees. All of our employees are full-time and none of our employees are represented by a labor union or covered under a collective bargaining agreement.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jc w:val="left"/>
        <w:rPr>
          <w:rFonts w:ascii="Times New Roman" w:hAnsi="Times New Roman"/>
          <w:color w:val="000000"/>
          <w:sz w:val="20"/>
        </w:rPr>
      </w:pPr>
      <w:r>
        <w:rPr>
          <w:rFonts w:ascii="Times New Roman" w:hAnsi="Times New Roman"/>
          <w:color w:val="000000"/>
          <w:sz w:val="20"/>
        </w:rPr>
        <w:t xml:space="preserve">We were incorporated in California on March 5, 1997 as Calhoun Vision, Inc. and changed our name to RxSight, Inc. in October 2016. We reincorporated in Delaware on July 6, 2021. Our principal executive offices are located at 100 Columbia, Aliso Viejo, California 92656. Our telephone number is (949) 521-7830. We maintain a website at www.rxsight.com.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contained on our website is not incorporated by reference into this Annual Report on Form 10-K or any other filings we make with the SEC. </w:t>
      </w:r>
    </w:p>
    <w:p>
      <w:pPr>
        <w:pStyle w:val="TextBody"/>
        <w:bidi w:val="0"/>
        <w:spacing w:before="160" w:after="120"/>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Annual Report on Form 10-K, Quarterly Reports on Form 10-Q, Current Reports on Form 8-K and other filings with the SEC, and all amendments to these filings, can be obtained free of charge from our website at www.rxsight.com following our filing of any of these reports with the SEC. The SEC maintains an internet site that contains reports, proxy and information statements and other information regarding issuers that file electronically with the SEC at www.sec.gov. The contents of these and other websites referenced throughout the filing are not incorporated and do not constitute a part of this filing. Further, the Company’s references to the URLs for these websites are intended to be inactive textual references only.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used, and intend to continue to use, our investor relations website, press releases, public conference calls, and webcasts to disclose material non-public information and to comply with our disclosure obligations under Regulation FD. </w:t>
      </w:r>
    </w:p>
    <w:p>
      <w:pPr>
        <w:pStyle w:val="TextBody"/>
        <w:bidi w:val="0"/>
        <w:jc w:val="left"/>
        <w:rPr>
          <w:rFonts w:ascii="Times New Roman" w:hAnsi="Times New Roman"/>
          <w:color w:val="000000"/>
          <w:sz w:val="20"/>
        </w:rPr>
      </w:pPr>
      <w:r>
        <w:rPr>
          <w:rFonts w:ascii="Times New Roman" w:hAnsi="Times New Roman"/>
          <w:color w:val="000000"/>
          <w:sz w:val="20"/>
        </w:rPr>
        <w:br/>
        <w:b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jc w:val="left"/>
        <w:rPr>
          <w:rFonts w:ascii="Times New Roman" w:hAnsi="Times New Roman"/>
          <w:sz w:val="20"/>
        </w:rPr>
      </w:pPr>
      <w:r>
        <w:rPr>
          <w:rFonts w:ascii="Times New Roman" w:hAnsi="Times New Roman"/>
          <w:i/>
          <w:color w:val="000000"/>
          <w:sz w:val="20"/>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r>
        <w:rPr>
          <w:rFonts w:ascii="Times New Roman" w:hAnsi="Times New Roman"/>
          <w:color w:val="000000"/>
          <w:sz w:val="20"/>
        </w:rPr>
        <w:t xml:space="preserv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If we fail to effectively train our sales force, increase our sales and marketing capabilities, or develop broad brand awareness in a cost-effective manner, our growth will be impeded, and our business will suffer.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 history of net losses, and we expect to continue to incur losses in the future. If we ever achieve profitability, we may not be able to sustain it.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order to support our continued operations and the growth of our business, we may seek to raise additional capital, which may not be available to us on acceptable terms, or at all.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commenced, and intend to expand in the future, sales of our products internationally, but we may experience difficulties in obtaining regulatory clearance or approval or in successfully marketing our products internationally even if approved.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variety of risks associated with marketing our products internationally could materially adversely affect our business.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unable to protect the confidentiality of our trade secrets and other proprietary information, our business and competitive position may be harmed.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 which could impair our business.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fail to obtain and maintain necessary regulatory clearances or approvals for our products, or if clearances or approvals for future products and indications are delayed or not issued, our commercial operations may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price of our stock may be volatile, and you could lose all or part of your investment.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must recruit, retain, manage and motivate qualified executives as we build out the management team, and we are highly dependent on our management team.</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color w:val="000000"/>
          <w:sz w:val="20"/>
        </w:rPr>
        <w:t>Current and future litigation proceedings could adversely affect our business</w:t>
      </w:r>
      <w:r>
        <w:rPr>
          <w:rFonts w:ascii="Times New Roman" w:hAnsi="Times New Roman"/>
          <w:strike/>
          <w:color w:val="000000"/>
          <w:sz w:val="20"/>
        </w:rPr>
        <w:t>.</w:t>
      </w:r>
      <w:r>
        <w:rPr>
          <w:rFonts w:ascii="Times New Roman" w:hAnsi="Times New Roman"/>
          <w:color w:val="000000"/>
          <w:sz w:val="20"/>
        </w:rPr>
        <w:t>, including the putative securities class action complaint filed in July 2025 in the U.S. District Court for the Central District of California which is pending.</w:t>
      </w:r>
      <w:r>
        <w:rPr>
          <w:color w:val="000000"/>
          <w:u w:val="single"/>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effectively train our sales force, increase our sales and marketing capabilities or develop broad brand awareness in a cost-effective manner, our growth will be impeded, and our business will suffer.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While sales declined in 2025 following several years of rapid growth, we have implemented changes in our sales organization in an effort to return to revenue growth in absolute dollars. In order to increase LAL use at our current customers, we recently realigned our commercial structure by unifying our LAL sales and clinical support personnel into a single Customer Success Organization. Each team within the Customer Success Organization is responsible for a defined group of doctors and practices, overseeing customer experience from initial onboarding through ongoing efforts to drive long-term utilization growth. Our LDD sales team remains focused on acquiring new high-potential accounts, which are subsequently transitioned to the Customer Success Organization for clinical support, education, and to maximize long-term utilization and growth and LAL use.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clearances under applicable law both domestically and internationally, including FDA 510(k) clearance or pre-market approval, (“PMA”), for, and successfully commercialize, market and sell, our planned or future products in the U.S.,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a history of net losses, and we expect to continue to incur losses in the future. If we ever achieve profitability, we may not be able to sustain it.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incurred losses from operations since our inception and expect to continue to incur losses from operations in the future. We reported losses from operations of $48.2 million and $36.9 million for the years ended December 31, 2025 and 2024, respectively. As a result of these losses, as of December 31, 2025, we had an accumulated deficit of $661.0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 order to support our continued operations and the growth of our business, we may seek to raise additional capital, which may not be available to us on acceptable terms, or at 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these and other factors, we expect to continue to incur net losses and negative cash flows from operations in the future. Our future liquidity and capital funding requirements will depend on numerous factors,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sales growth;</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research and development efforts;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sales and marketing activities;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success in leveraging future strategic partnerships;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working capital investments, primarily in inventories and accounts receivable;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borrow or raise additional funds through future debt or equity offerings to finance our operations;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outcome, costs and timing of any clinical trial results for our current or future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emergence and effect of competing or complementary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availability and amount of reimbursement for procedures using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terms and timing of any collaborative, licensing or other arrangements that we have or may establish;</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operating and finance lease payments for our facilities;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U.S. and worldwide resulting from the conflicts in Eastern Europe, the Middle East and otherwise.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2025, we had $228.1 million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there is no assurance that we will be able to generate sufficient liquidity as and when needed. Further, although we do not anticipate the need to raise additional capital or incur additional debt in order to reach profit from operations, as such metric may be disclosed in the Company’s future Annual Reports on Form 10-K or Quarterly Reports on Form 10-Q filed with the SEC,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There is no assurance that we will be able to generate sufficient liquidity as and when needed.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Global economic, political and market conditions, including downgrades of the U.S. credit rating, and inflation may adversely affect our business, results of operations and financial condition, including our revenue growth and profitability.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Deterioration in the economic conditions globally has resulted in instability in global financial markets, including: inflation and rising interest rates and instability in the capital markets.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Various social and political circumstances in the U.S. and around the world (including wars and other forms of conflict, terrorist acts, security operations and catastrophic events such as fires, floods, earthquakes, tornadoes, hurricanes and global health pandemic) may also contribute to increased market volatility and economic uncertainties or deterioration in the U.S. and worldwide and have a material adverse effect on our business, financial conditions,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Additionally, the current inflationary environment may materially affect our business and operating results by increasing the costs of our supplies and may drive the U.S. Federal Reserve system to increase interest rates, which in turn may increase our overhead costs. Rising interest rates could make it more difficult to obtain traditional financing on acceptable terms, if at all. Furthermore, such economic conditions have produced downward pressure on share prices. Although we do not believe that inflation has had a material impact on our financial positions or results of operations to date, additional high inflation could increase our operating costs, including our labor costs and research and development costs. These costs may also be negatively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impacted due to supply chain constraints, global geopolitical tensions, worsening macroeconomic conditions and employee availability and wage increases, which may result in additional stress on our working capital. We import from China certain materials and other components for use in our products, and such goods are subject to tariffs. Increases in tariffs could result in increased costs.</w:t>
      </w:r>
    </w:p>
    <w:p>
      <w:pPr>
        <w:pStyle w:val="TextBody"/>
        <w:bidi w:val="0"/>
        <w:spacing w:before="0" w:after="120"/>
        <w:jc w:val="left"/>
        <w:rPr>
          <w:rFonts w:ascii="Times New Roman" w:hAnsi="Times New Roman"/>
          <w:sz w:val="20"/>
        </w:rPr>
      </w:pPr>
      <w:r>
        <w:rPr>
          <w:rFonts w:ascii="Times New Roman" w:hAnsi="Times New Roman"/>
          <w:b/>
          <w:i/>
          <w:color w:val="000000"/>
          <w:sz w:val="20"/>
        </w:rPr>
        <w:t>Changes in U.S. trade policy, including recently announced tariffs, could have a material adverse impact on our business, financial condition, and results of operations.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Changes in U.S. trade policy, including recently announced tariffs, could have a material adverse impact on our business, financial condition, and results of operations. The imposition of retaliatory or new tariffs or increases in existing tariffs on goods imported from countries where we source our products could result in increased material costs for our products. If we are unable to mitigate these risks through supply chain adjustments, such as changing vendors, pricing strategies, or other measures could adversely affect our gross margins, business, financial condition and results of operations.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actual and perceived effectiveness and reliability of our RxSight system, especially relative to alternative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prevalence and severity of any adverse patient events involving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results of clinical studies and trials relating to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sustain meaningful clinical benefits for our patients;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obtain regulatory approval to market our planned or future products for use in the U.S. or internationally;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availability, relative cost and perceived advantages and disadvantages of alternative technologies or treatment methods for conditions treated by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degree of patient willingness to pay for the additional costs associated with our premium intraocular lens out of pocket or return for an additional two to three clinic visits compared to traditional cataract surgery;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degree to which doctors adopt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in and to our RxSight system;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degree to which patients value the customized vision delivered by the RxSight system and are satisfied with their results;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achieving and maintaining compliance with regulatory requirements applicable to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extent to which we are successful in educating doctors about IOLs in general, and the benefits of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reputation among doctors, patients, and the market;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strength of our marketing, clinical support, and commercial organization;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effectiveness of our marketing and sales efforts in the U.S., including our efforts to build out our sales and clinical team;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expand the commercialization of our products into international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continue to develop, validate and maintain a commercially viable manufacturing process that is compliant with the QMSR, which went into effect in February 2026, and other applicable foreign, federal and state regulatory requirements;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success of our ongoing or future clinical trials;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whether we are required by the FDA or comparable non-U.S. regulatory authorities to conduct additional clinical trials for current or future indications.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Adoption of our products depends upon appropriate training for doctors, and inadequate training may lead to negative patient outcomes, affect adoption of our products and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commercial success of our RxSight system will depend upon attaining significant market acceptance of these products among patients and doctors.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current customers that have adopted our RxSight system. Our future growth and profitability largely depend on our ability to increase other doctors’ awareness of our RxSight system and our products and on the willingness of doctors and patients to adopt them. These parties may not adopt our products like our current customers have unless they are able to determine, based on experience, clinical data, medical society recommendations and other analyses, that our products are safe, effective and, with respect to providers, cost-effective, on a stand-alone basis and relative to competitors’ products. Patients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long-standing relationships with competing companies and distributors that sell other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competitive response and negative selling efforts from providers of alternative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lack of experience with our products and concerns that we are relatively new to market;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lack or perceived lack of sufficient clinical evidence, including long-term data, supporting safety or clinical benefits;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time commitment and skill development that may be required to gain familiarity and proficiency with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patient confusion regarding the wide range of commercially available premium IOL offerings and their ability to deliver promised results at near, middle and far distances without reliance on glasses;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patient reticence to select a premium IOL due to nonperformance and adverse side effects associated with competing products in the market;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 inability to generate patient referral due to dissatisfaction with results obtained through treatment with our products, the out-of-pocket cost of treatments using our products or otherwise.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order for doctors to use our RxSight system, they often must make a significant up-front investment to purchase the LDD. This can result in a lengthy sales cycle and require extensive negotiations and management time. If we are unsuccessful in placing LDDs with providers, our sales growth may stall and our sales may decrease, and our operating results may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There is no assurance that we will achieve broad market acceptance among doctors.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There is no assurance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RxSight system involves surgical risks and is contraindicated in certain patients, which may limit adoption.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IOL market is intensely competitive, subject to rapid change and is constantly impacted by new product introductions and other market activities of industry participants. We compete with manufacturers and distributors of premium and conventional IOLs. Our most significant competitors in the IOL field include Alcon, Johnson &amp; Johnson and Bausch + Lomb, which all continue to develop and release new IOL products and technologies. Most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quality of patient outcomes, oftentimes measured by visual acuity, and adverse event rates;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Patient experience, including patient recovery time and level of discomfort;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Acceptance by treating doctors and referral 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Doctor learning curves and willingness to adopt new technologies, particularly during competitive launch periods;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Ease-of-use and reliability;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Economic benefits and cost savings;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Strength of clinical evidence;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Effective distribution and marketing to surgeons and potential patients;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price and qualification for coverage and reimbursement.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compete primarily on the basis that our products are designed to enable more doctors to treat more patients more efficiently and effectively. Our continued success depends on our ability to:</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continue to develop innovative, proprietary products that address significant clinical needs in a manner that is safe and effective for patients and easy-to-use for doctors;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obtain and maintain regulatory clearances or approvals;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demonstrate safety and effectiveness in our sponsored and third-party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expand our sales and clinical teams across key markets to increase doctors’ awareness;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obtain and maintain coverage and adequate reimbursement for procedures using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attract and retain skilled research, development, sales and clinical personnel;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cost-effectively manufacture, market and sell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provide doctors with a sufficient return on investment as compared to alternative premium IOL procedures that justifies the upfront cost of our LDD;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obtain, maintain, enforce and defend our intellectual property rights and operate our business without infringing, misappropriating or otherwise violating the intellectual property rights of others.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is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Any collaboration or partnership arrangements that we may enter into in the future may not be successful, which could adversely affect our ability to develop and commercialize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clinical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current and future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currently maintain our research and development, manufacturing and administrative operations in Aliso Viejo, California, and we do not have redundant facilities. We operate in five separate facilities, designated as a single manufacturing facility, and should any one of these facilities be significantly damaged or destroyed by natural or man-made disasters, such as earthquakes, and/or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Furthermore, the current leases on our facilities expire on January 31, 2031, with two options to extend for five years each. We may be unable to renew our leases or find a new facility on commercially reasonable terms, or at all. If we are unable or unwilling to renew at the proposed rates, relocating our manufacturing facility would involve significant expense in connection with the movement and installation of key manufacturing equipment and any necessary recertification with regulatory bodies, and such a move could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Technological change may adversely affect sales of our products and may cause our products to become obsolete.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IOL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employee turnover, inability to hire personnel with sufficient technical skills or replace key personnel,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Uncertainties with respect to the development, deployment, and use of artificial intelligence in our business and products may result in harm to our business and reputation.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in the early stages of incorporating artificial intelligence (“AI”) into our business activities and our product and service offerings. As with many innovations, AI presents risks and challenges that could adversely impact our business. The development, adoption, and use of AI technologies are still in their early stages and ineffective or inadequate AI development or deployment practices could result in unintended consequences. For example, AI algorithms may be flawed or may be based on datasets that are biased or insufficient. In addition, any disruption or failure in the AI functionality we incorporate into our business activities, products or services could adversely impact our business or result in delays or errors in our offerings. Conversely, a failure to timely and effectively use or deploy AI and integrate it into new product offerings and services could negatively impact our competitiveness, particularly ahead of evolving industry trends and evolving consumer demands. We may be unable to devote adequate financial resources to develop or acquire new AI technologies and systems in the future. Use of AI to improve internal business operations, or in the development or provision of products or services, poses risks and challenges. There also may be real or perceived social harm, unfairness, or other outcomes that undermine public confidence in the use and deployment of AI. Any of the foregoing may result in decreased demand for our products or harm to our business, financial statements or reputation. The legal and regulatory landscape surrounding AI technologies is rapidly evolving and uncertain, including in the areas of intellectual property, cybersecurity and privacy and data protection. Compliance with new or changing laws, regulations or industry standards relating to AI may impose significant costs and may limit our ability to develop, deploy or use AI technologies. Failure to appropriately respond to this evolving landscape may result in legal liability, regulatory action, or brand and reputational harm.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clinical trials are unsuccessful or significantly delayed, or if we do not complete our clinical trials, our business may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successful and timely completion of nonclinical studies or clinical development of our products, as well as the associated costs, including any unforeseen costs we may incur as a result of clinical trial delays;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enrollment in our clinical trials may be slower than we anticipate, or we may experience high screen failure rates in our clinical trials, resulting in significant delays;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clinical trials may produce negative or inconclusive results, and we may decide, or regulators may require us, to conduct additional clinical and/or preclinical testing which may be expensive and time-consuming;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clinical trial results may not meet the level of statistical significance required by the FDA or other regulatory authorities;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similar foreign regulatory authorities may find that one or more of our products is not sufficiently safe for investigational use in humans or may interpret data from preclinical testing and clinical trials in different ways than we do;</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may be delays or failure in obtaining approval of our clinical trial protocols from the FDA or other regulatory authorities;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may be delays in obtaining institutional review board approvals or governmental approvals to conduct clinical trials at prospective sites;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similar foreign regulatory authorities may find our or our suppliers’ manufacturing processes or facilities unsatisfactory;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similar foreign regulatory authorities may change their review policies or adopt new regulations that may negatively affect or delay our ability to bring a product to market or receive approvals or clearances to treat new indications;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may have trouble in managing multiple clinical sites; or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may have trouble finding patients to enroll in our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experience delays in agreeing on acceptable terms with third-party research organizations and clinical trial sites that may help us conduct the clinical trials;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or regulators, may suspend or terminate our clinical trials because the participating patients are being exposed to unacceptable health risks.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Failures or perceived failures in our clinical trials will delay and may prevent our product development and regulatory approval process, damage our business prospects and negatively affect our reputation and competitive position.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Unauthorized third parties may seek to access our devices or other products and services, or related devices, products, and services, and modify or use them in a way inconsistent with our FDA clearances and approvals, which may create risks to users.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Medical devices are increasingly connected to the internet, hospital networks, and other medical devices to provide features that improve healthcare and increase the ability of healthcare providers to treat patients and patients to manage their conditions. Although disabled, our RxSight system is capable of bidirectional connectivity and interoperability with other devices, local networks and the internet, which if enabled,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IT systems,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our brand and cause material disruption to our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 partners, are increasingly vulnerable to attacks and disruptions on their networks and systems by a wide range of actors on an ongoing and regular basis.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example, as previously disclosed in May 2024, an unauthorized actor targeted the personal cell phone number of an RxSight employee. The unauthorized actor obtained unauthorized access to the employee’s cloud-based work account, and to e-mails and files that were accessible from that account. We discovered the incident on the same day and were able to prevent interruption of our information systems, and they remained operational during this unauthorized access. This incident did not have a material impact on our operations, financial systems, or financial condition. However, there can be no assurance that a similar incident would not have a future material impact on our operations, financial systems, or financial condition and we remain subject to various risks due to the incident.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or incident could result in disruptions to our business processes, network degradation, and system down time, along with the potential that a third-party will gain unauthorized access to, acquire, or otherwise use, modify, or process intellectual property, proprietary business information, and data related to our employees, customers, suppliers, and business partners, including personal data, in an unauthorized manner. Any disruption, degradation, or other security breach, incident, or other event that results in loss or unavailability of or damage to our data or systems, system downtime or other disruptions, or in inappropriate disclosure or other processing of confidential or personal data, could adversely impact us and our customers, potentially resulting in, among other things, financial losses, loss of customers or business, our inability to transact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adverse impact on our reputation, actual or alleged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Despite the implementation of security measures in our efforts to protect systems that store our information, given their size and complexity and the increasing amounts of information maintained on our internal information technology systems and external processing and storage systems (e.g., hosting), contractors and consultants and other third-party service providers, these systems are potentially vulnerable to breakdown or other damage or interruption. Our systems and the systems of third parties who support our operations are vulnerable to service interruptions, system malfunction, natural disasters, terrorism,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the unauthorized access to, misuse, disclosure, loss, destruction, alteration or dissemination of, or damage to, our data, including trade secrets or other confidential information, intellectual property, proprietary business information, and personal information. For example, companies have experienced an increase in phishing and social engineering attacks from third parties in recent years. Our employees generally work in a hybrid model in our offices and from home, and we may need to adjust our working model from time to time. As a result, we have increased cyber-security and data security risks, due to increased use of home wi-fi networks and virtual private networks, as well as increased disbursement of physical machines. </w:t>
      </w:r>
    </w:p>
    <w:p>
      <w:pPr>
        <w:pStyle w:val="TextBody"/>
        <w:bidi w:val="0"/>
        <w:jc w:val="left"/>
        <w:rPr>
          <w:rFonts w:ascii="Times New Roman" w:hAnsi="Times New Roman"/>
          <w:color w:val="000000"/>
          <w:sz w:val="20"/>
        </w:rPr>
      </w:pPr>
      <w:r>
        <w:rPr>
          <w:rFonts w:ascii="Times New Roman" w:hAnsi="Times New Roman"/>
          <w:color w:val="000000"/>
          <w:sz w:val="20"/>
        </w:rPr>
        <w:t>Any disruption, security incident, or security breach resulting in any loss, destruction, unavailability, alteration or dissemination of, or damage to, our data, could subject us to significant fines or penalties for any noncompliance with certain state, federal and/or international laws relating to privacy, data protection, and information security. Litigation and governmental investigations could force us to spend money in defense or settlement, divert management’s time and attention, increase our costs of doing business, and/or adversely affect our reputation.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risks of, or to detect, such attacks, breaches or incidents that occur will be successful and our failure to do so could have a material adverse effect on our business, financial condition and results of operations.</w:t>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or indication and fail to capitalize on products or indications that may be more profitable or for which there is a greater likelihood of success.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there is no assurance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identify, acquire and develop other products, we may be unable to grow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there is no assurance that any such products that are approved or cleared will be manufactured or produced economically, successfully commercialized or widely accepted in the marketplace.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unable to develop suitable potential products through internal research programs or by obtaining rights from third parties,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may seek to acquire or invest in businesses, applications or technologies that we believe could complement or expand our portfolio, enhance our technical capabilities or otherwise offer growth opportunities. However, there is no assurance that we would be able to successfully complete any acquisition we choose to pursue, or that we would be able to successfully integrate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Depending on the country or region,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While third-party payors in certain countries and regions currently cover and provide reimbursement for a portion of the cost of the procedures performed using our currently cleared or approved products, there is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U.S. or any international markets we enter, the demand for our products and our revenue will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decreased demand for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substantial monetary awards to clinical trial participants or patients;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exhaustion of any available insurance and our capital resources;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inability to market and sell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Sales of our products outside of the U.S. would be subject to foreign regulatory requirements governing clinical trials and marketing approval. We will incur substantial expenses in connection with our international expansion. Additional risks related to operating in foreign countries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 including changes to regulatory requirements and implementation of new regulations in foreign countries;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difficulties in compliance with non-U.S. laws and regulations;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trade protection measures, import or export licensing requirements, or other restrictive actions by U.S. or non-U.S. governments;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U.S., or in any other jurisdiction, does not ensure approval in other jurisdictions. Obtaining foreign approvals could result in significant delays, difficulties and costs for us and require additional clinical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generate revenue will be diminished. Our inability to successfully enter all our desired international markets and manage business on a global scale could negatively affect our business, financial results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achieve or maintain satisfactory pricing and margins for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sizes of the markets for our current and future products have not been established with precision and may be smaller than we estimate.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believe that optometrists are qualified to perform LDD procedures involving our RxSight system, but 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There is no assurance about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federal government is considering ways to change, and has changed, the manner in which healthcare services are paid for in the U.S.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quarterly and annual results may fluctuate significantly and may not fully reflect the underlying performance of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expanded, and may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experienced growth in the number of our employees and the scope of our operations, particularly in the areas of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Certain of our operating results and financial metrics may be difficult to predict as a result of seasonality.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To the extent we experience this seasonality, it may cause fluctuations in our operating results and financial metrics and make forecasting our future operating results and financial metrics more difficult. See further discussion in “Management’s Discussion and Analysis of Financial Condition and Results of Operations” in Part II, Item 7 of this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to offset future taxable income may be subject to certain limitations.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2025, we had federal net operating loss carryforwards (“NOLs”) of approximately $376.7 million, some of which will begin to expire in various years ranging from 2026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beginning after December 31, 2020, the deductibility of such federal NOLs, is generally limited to 80% of the current year taxable income. Various states may conform to the Tax Act, as modified by the CARES Act, to different extents.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maintain, protect and enforce patent and other intellectual property protection in the U.S. and other countries with respect to our products and technology we develop. If we fail to obtain, maintain, protect and enforce our intellectual property, third parties may be able to compete more effectively against us, we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lose our technological or competitive advantage, or we may incur substantial litigation costs in our attempts to recover or restrict use of our intellectual property.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seek to protect our position by in-licensing intellectual property relating to our products and filing patent applications in the U.S.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patents and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in-licensed issued patents may be challenged in courts or patent offices in the U.S. and abroad. For example, we may be subject to a third-party submission of prior art to the U.S. Patent and Trademark Office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Often the relative patent positions of companies is highly uncertain, involves complex legal and factual questions, and has been the subject of much litigation in recent years. 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this could arise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U.S. The U.S. government has recently taken actions to indicate closer review of patents resulting from government funding for compliance with the Bayh-Dole Act, which if found noncompliant, may authorize the government to exercise its march-in right. Any exercise by the government of such rights could harm our competitive position, business, financial condition,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intellectual property, including potential ownership errors, potential errors during prosecution of such intellectual property, and potential encumbrances that could limit our ability to enforce such intellectual property rights.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technology for an adequate amount of time.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Patents have a limited lifespan. In the U.S.,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current and future products in any jurisdiction.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and our failure to identify and correctly interpret relevant patents may negatively impact our ability to develop and market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future reliance on third parties may require us to share our trade secrets, which increases the possibility that a competitor will discover them or that our trade secrets will be misappropriated or disclosed.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Because we rely on third parties to supply components, raw materials, chemicals and other supplies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contract research organizations (“CRO”)s. We seek to protect our proprietary technology in part by entering into agreements containing confidentiality and use restrictions and obligations with our advisors, employees, contractors, contract manufacturing organizations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use or disclosure would impair our competitive position and may have an adverse effect on our business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would invalidate the claims of any such U.S. patent. Conversely, the patent owner need only prove infringement by a preponderance of the evidence, which is a lower burden of proof.</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rights to develop and commercialize our products are subject, in part, to the terms and conditions of licenses granted to us by others.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may obtain licenses to patent rights, proprietary technology, or other intellectual property from third parties that are important or necessary for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patent applications, the rights we have licensed may be reduced or eliminated, and our right to develop and commercialize any of our products that are subject of such licensed rights could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Disputes may arise between us and our future licensors regarding intellectual property subject to a license agreement,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products, and what activities satisfy those diligence obligations;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right to transfer or assign the license;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any of our future licensors and us and our partners.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successful in obtaining necessary rights to any products we may develop through acquisitions and in-licenses.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and other proprietary information, our business and competitive position may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U.S. Consequently, we may be unable to prevent our proprietary technology from being exploited abroad, which could affect our ability to expand to international markets or require costly efforts to protect our technology.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These agreements are often difficult to enforce in many jurisdictions and might not be enforceable in certain cases.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U.S. could increase the uncertainties and costs surrounding the prosecution of patent applications and the enforcement or defense of issued patents. The U.S. has enacted and implemented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or the America Invents Act, enacted in September 2011, the U.S.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Filing, prosecuting, and defending patents covering our RxSight system, and any of our future products throughout the world would be prohibitively expensive, and our intellectual property rights in some countries outside the U.S. are less extensive than those in the U.S. In some cases, we or our licensors may not be able to obtain patent protection for certain technology outside the U.S. In addition, the laws of some foreign countries do not protect intellectual property rights to the same extent as federal and state laws in the U.S. Consequently, we may not be able to prevent third parties from practicing our or our licensors’ inventions in all countries outside the U.S., even in jurisdictions where we or our licensors do pursue patent protection, or from selling or importing products made using our or our licensors’ inventions in and into the U.S.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June 1, 2023, European applications have the option, upon grant of a patent, of becoming a Unitary Patent which will be subject to the jurisdiction of the Unitary Patent Court (“UPC”). This is a significant change in European patent practice. As the UPC is a new court system, precedent is developing for the court, increasing the uncertainty of any litigation.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others may be able to make a product that is similar to our current products and future products we intend to commercialize and that is not covered by the patents that we own or exclusively in-license and have the right to enforce;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and any of our current or future licensors or collaborators might not have been the first to make the inventions covered by the issued patents or pending patent applications that we own, license or may own or license in the future;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or any of our current or future licensors or collaborators might not have been the first to file patent applications covering certain of our inventions;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intellectual property rights;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it is possible that our current or future owned or in-licensed patent applications will not lead to issued patents;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issued patents that we own or in-license may not provide us with any competitive advantages, or may be held invalid or unenforceable as a result of legal challenges, including as a result of legal challenges by our competitors;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use of “open source” software could subject our proprietary software to general release, adversely affect our ability to sell our products and subject us to possible litigation.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incorporate open source software in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trademarks, service marks and tradenames are not adequately protected, then we may not be able to build name recognition in our markets and our business may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rely on trademarks, service marks, tradenames and brand names to distinguish our products from the products of our competitors and have registered or applied to register these trademarks. There is no assurance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obtain and maintain necessary regulatory clearances or approvals for our products, or if clearances or approvals for future products and indications are delayed or not issued, our commercial operations would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products are subject to extensive regulation by the FDA in the U.S. and by regulatory agencies in other countries where we may choose to do business. Government regulations specific to medical devices are wide ranging and govern,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design, development and manufacture;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laboratory, preclinical and clinical testing, labeling, packaging, storage and distribution;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premarketing clearance or approval;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record keeping;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safety and effectiveness;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changes;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marketing, promotion and advertising, sales and distribution;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post marketing surveillance, including reporting of deaths or serious injuries and recalls and correction and removals.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Before a new medical device, or a new intended use for an existing product, can be marketed in the U.S., a company must first submit and receive either 510(k) clearance pursuant to Section 510(k) of the FDCA, or approval of a premarket approval, or PMA, application from the FDA, unless an exemption applies.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longer, from the time the PMA is submitted to the FDA until an approval is obtained. Any delay or failure to obtain necessary regulatory approvals or clearances would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can delay, limit or deny clearance or approval of a device for many reasons,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regulatory entity or notified body that our products are safe or effective for their intended uses;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disagreement of the FDA or the applicable foreign regulatory body with the design, conduct or implementation of our clinical trials or the analyses or interpretation of data from pre-clinical studies or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data from our pre-clinical studies and clinical trials may be insufficient to support clearance or approval, where required;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applicable regulatory authority may identify significant deficiencies in our manufacturing processes, facilities or analytical methods or those of our third-party contract manufacturers;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potential for approval policies or regulations of the FDA or applicable foreign regulatory bodies to change significantly in a manner rendering our clinical data or regulatory filings insufficient for clearance or approval;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foreign regulatory authorities may audit our clinical trial data and conclude that the data is not sufficiently reliable to support approval or clearance.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FDA and the Federal Trade Commission, or FTC, also regulate the advertising, promotion and labeling of our products to ensure that the claims we make are consistent with our regulatory clearances and approvals, that there is adequate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the FDA or state agencies, which may include any of the following sanctions: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adverse publicity, warning letters, fines, injunctions, consent decrees and civil penalties;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repair, replacement, refunds, recalls, termination of distribution, administrative detention or seizure of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denial of our requests for 510(k) clearance or PMA of new products, new intended uses or modifications to existing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withdrawal of 510(k) clearance or PMAs that have already been granted;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Medical devices regulated by the FDA are subject to “general controls” which include: registration with the FDA; listing commercially distributed products with the FDA; complying with all applicable requirements under the QMSR;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Although our products have received regulatory approval or clearance from FDA in the U.S.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U.S. and requirements of comparable non-U.S. regulatory authorities in any international markets we choose to enter.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also received a 510(k) clearance for our contact lens, which is indicated for visualization and treatment in the anterior segment of the eye, and our reusable and single-use insertion devices.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fail to comply with applicable regulatory requirements, a regulatory agency or enforcement authority may,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subject our facility to an adverse inspectional finding or Form 483, or other compliance or enforcement notice, communication or correspondence;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issue warning or untitled letters that would result in adverse publicity or may require corrective advertising;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impose civil or criminal penalties;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suspend or withdraw regulatory clearances or approvals;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refuse to clear or approve pending applications or supplements to approved applications submitted by us;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impose restrictions on our operations, including closing our sub-assembly suppliers’ facilities;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seize or detain products; 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require a product recall.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violations of the FDCA relating to the promotion of approved products may lead to investigations alleging violations of federal and state healthcare fraud and abuse and other laws, as well as state consumer protection laws.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Recently,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challenges brought against the FDA, or the nature or extent of government regulation that may arise from future legislation or administrative action.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under the current leadership at the HHS, agency reorganization, departure of high-profile regulators at the FDA, and reduction in force (RIF) initiative, or layoffs,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It is unclear how our industry and our clinical programs will be impacted by policies and regulations implemented under the current administration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including changes resulting from executive orders; freeze on hiring, federal funding for research, and external communications; layoffs; return-to-office policies, and changes in funding for certain programs at the FDA, correspondence and regulatory review processes with the FDA may be materially delayed.</w:t>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Material modifications to our products may require new 510(k) clearances or pre-market approvals or may require us to recall or cease marketing our products until clearances or approvals are obtained.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Modifications that could significantly affect the safety and effectiveness of our approved or cleared products, such as changes to the intended use or technological characteristics of our products, will require new PMA, PMA Supplements or 510(k) clearances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clinical trials conducted in locations outside of their jurisdiction.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must be approved for reimbursement before it can be approved for sale in that jurisdiction. In some cases, the price that we intend to charge for our products is also subject to approval.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RxSight system is approved for certain uses, including improving uncorrected visual acuity by adjusting the LAL power to correct residual postoperative refractive error.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U.S., the FDA will generally not approve the application on the basis of foreign data alone unless (1) the data are applicable to the U.S. population and U.S. medical practice; (2) the clinical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clinical trials are subject to the applicable local laws of the foreign jurisdictions where the clinical trials are conducted. There can be no assurance that the FDA or any applicable foreign regulatory authority will accept data from clinical trials conducted outside of its applicable jurisdiction. If the FDA or any applicable foreign regulatory authority does not accept such data, it would result in the need for additional clinical trials, which would be costly and time-consuming and delay aspects of our business plan, and which may result in our products not receiving approval or clearance for commercialization in the applicable jurisdiction.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products may be subject to recalls after receiving FDA or foreign approval or clearance, which could divert managerial and financial resources, harm our reputation and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or our suppliers, fail to comply with the FDA’s QMSR or other applicable foreign regulations, our manufacturing or distribution operations could be delayed or shut down and our revenue could suffer.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manufacturing and design processes and those of our third-party component suppliers are required to comply with the FDA’s QMSR, which covers procedures and documentation of the design, testing, production, control, quality assurance, labeling, packaging, storage and shipping of our products in the U.S.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under the FDA final rule, issued in February 2024, the QMSR went into effect on February 2, 2026, replacing the former Quality System Regulation, and incorporates by reference the quality management system requirements of ISO 13485:2016. If we or any of our suppliers or contractors fail to meet the regulatory requirements or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do not remain in material compliance with the QMSR or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adversely affect our business, financial condition, results of operations and cash flows in our key markets.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example, in the U.S., in March 2010, the Patient Protection and Affordable Care Act, as amended by the Health Care and Education Reconciliation Act of 2010, together, the Affordable Care Act (“ACA”), was enacted. The ACA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new Trump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There is no assurance the ACA, as currently enacted or as amended in the future, will not harm our business and financial results, and we cannot predict how future federal or state legislative or administrative changes relating to healthcare reform will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generate revenue and achieve or maintain profitability;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recently there has been heightened governmental scrutiny over the manner in which manufacturers set prices for their marketed products, which has resulted in several U.S. Congressional inquiries and proposed and enacted federal legislation designed to bring transparency to product pricing and reduce the cost of products and services under government healthcare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U.S. federal and state fraud and abuse and other healthcare laws and regulations, we could face substantial penalties and our business operations and financial condition could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the U.S.,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growth of our business and sales organization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the CMS fee schedules may harm our revenue and operating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Government payers, such as CMS as well as insurers, have increased their efforts to control the cost, utilization and delivery of healthcare services. From time to time, the U.S.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of our planned or future products and to manufacture, market and distribute our products after clearance or approval is obtained.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June 2024, the U.S. Supreme Court overruled the Chevron doctrine, which gave deference to regulatory agencies’ statutory interpretations in litigation against federal government agencies where the law is ambiguous. This landmark Supreme Court decision may invite more stakeholders to bring lawsuits against the FDA and other federal agencies to challenge longstanding decisions and policies, which could lead to uncertainties in the industry. Further, changes in the leadership of the FDA and other federal agencies under the new Trump administration may lead to new policies and changes in the regulations that can increase our compliance costs. 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reclassification of some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greater emphasis on clinical data;</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data transparency, including publication of clinical trial data and safety summaries;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defined content and structure for technical files to support registration;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unique device identification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greater burden on post-market surveillance and clinical follow-up;</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reduction of adverse event reporting time from 30 to 15 days after the event;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delayed review times;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more power to notified bodies.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clinical trials may fail to demonstrate competent and reliable evidence of the safety and effectiveness of our products, which would prevent or delay commercialization of our products in development.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clinical trials could be required before we submit our products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products. Even if regulatory approval is secured for any of our products, the terms of such approval may limit the scope and use of our products, which may also limit their commercial potential.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Defects or failures associated with our products could lead to recalls, safety alerts or litigation, as well as significant costs and negative publicity.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provide warranties on our products.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Although we carry product liability insurance in the U.S. and in other countries in which we conduct business, including for clinical trials and product marketing, there is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eventual outcome, could be costly, could divert management’s attention from our business and might result in adverse publicity, which could result in reduced acceptance of our products in the market, product recalls or market withdrawals.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Environmental health and safety laws may result in liabilities, expenses and restrictions on our operations. Failure to comply with environmental laws and regulations could subject us to significant liability.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There is no assurance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Federal, state, local and foreign laws regarding environmental protection, hazardous substances and human health and safety may adversely affect our business. Our research and development and manufacturing operations involve the use of hazardous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There is no assurance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face risks related to our collection and use of data, which could result in investigations, inquiries, litigation, fines, legislative and regulatory action and negative press about our privacy and data and security protection practices.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business processes personal data, including some data related to health. When conducting clinical trials, we face risks associated with collecting clinical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have been and could again be subject to attacks on our systems by outside parties, or by fraudulent or inappropriate behavior by our service providers or employees. Third parties may also gain access to users’ accounts using stolen or inferred credentials, computer malware, viruses, spamming, sim-swap attacks, phishing attacks or other means, and may use such access to obtain users’ personal data or prevent use of their accounts. Data breaches or other incidents could result in a violation of applicable U.S. and international privacy, data protection, security and other laws, and subject us to individual or consumer class action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U.S., California adopted the CCPA in January 2020, which requires certain companies that process information of California residents to, among other things, provide certain disclosures to California residents and afford them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Similar legislation has been proposed, and in certain cases enacted, in other states.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 The effects of the CCPA, CPRA and other laws relating to privacy, data protection and cybersecurity are potentially significant, and may require us to modify our practices and policies and to incur substantial costs and expenses in an effort to comply.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addition, we are subject to international laws, regulations and standards in many jurisdictions, which apply broadly to the collection, use, retention, security, disclosure, transfer and other processing of personal information. For example, the GDPR,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the GDPR can be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Kingdom has adopted the UK General Data Protection Regulation and UK Data Protection Act, which retain the GDPR in the United Kingdom’s national law and provide for a penalty structure similar to the GDPR. The UK enacted the UK Data (Use and Access) Act 2025 on June 19, 2025, which made targeted amendments to the UK GDPR and the UK Data Protection Act. These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data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such as the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and the United Kingdom has adopted its own new standard contractual clauses. In June 2021, the European Commission issued an adequacy decision in respect of the United Kingdom’s data protection framework, enabling data transfers from EU member states to the United Kingdom to continue without requiring contractual or other additional measures. The European Commission’s adequacy decision must be renewed in 2025 and is subject to revocation at any point. The modifications to the UK GDPR and UK Data Protection Act in the UK Data (Use and Access) Act 2025 may impact the European Commission’s renewal of its adequacy decision regarding the UK’s data protection framework. Any nonrenewal or revocation of, or modifications to, this adequacy decision could lead to additional costs and increase our overall risk exposure. The U.S. Department of Justice also has issued rules regarding certain bulk sensitive personal data transfers. These developments and other regulatory guidance or developments may impose additional obligations with respect to cross-border data transfers, all of which could restrict our activities in certain jurisdictions, limit our ability to provide our products and services in certain jurisdictions, require us to modify our policies and practices, and to engage in additional contractual negotiations, or increase our costs and obligations and impose limitations upon our ability to efficiently transfer personal data across borders. Any of these events, if occurring, could adversely affect the manner in which we provide our services and thus materially affect our operations and financial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or is alleged to be, inconsistent with our practices and policies. Any noncompliance, or perceived noncompliance, with laws, regulations, standards and other obligations 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Disruptions at the FDA and other agencies, including delays, travel restrictions, and staffing shortages, may also slow the time necessary for new medical devices to be reviewed and/or approved by necessary government agencies, which would adversely affect our business. The FDA may not be able to continue its current inspection pace or may be unable to complete required inspections during the review period, which can delay clinical development and result in a complete response letter. . Disruptions at the FDA could significantly impact the ability of the FDA to timely review and process our regulatory submissions, which could have a material adverse effect on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commercialized the RxSight system outside of the U.S.,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operations outside of the U.S.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From time to time, we engage outside parties to perform services related to certain of our clinical studies and clinical trials. If these third parties do not successfully carry out their contractual duties or meet expected deadlines, we may not be able to obtain regulatory approval for or commercialize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From time to time, we engage consultants to help design, monitor and analyze the results of certain of our clinical studies and trials. The consultants we engage interact with clinical investigators to enroll patients in our clinical trials. We depend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and our component suppliers may not meet regulatory quality standards applicable to our manufacturing processes, which could have an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is no assurance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There is no assurance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British Standards Institution (“BSI”), to obtain and maintain these certifications. If we fail these inspections or fail to meet these regulatory standards,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and could in the future result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tariffs and other causes.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failure of third parties to meet their contractual, regulatory, and other obligations could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rely on a small number of suppliers, vendors, outsourcing partners, consultants, and other third parties to research, develop, manufacture and commercialize our products. Using third parties poses a number of risks, such as: (i) they may not perform to our standards or legal requirements; (ii) they may decide to suddenly raise prices or cease working with us; (iii) they may not produce reliable results; (iv) they may not perform in a timely manner; (v) they may not maintain confidentiality of our proprietary information; (vi) disputes may arise with respect to ownership of rights to technology developed with our partners; and (vii)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price of our stock has been and may continue to be volatile, and you could lose all or part of your investment.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trading price of our common stock has been and may continue to be highly volatile and could be subject to wide fluctuations in response to various factors, some of which we cannot control. From the date of our initial public offering through February 18, 2026, our common stock has traded at a low of $6.32 and a high of $66.54 on the Nasdaq Global Market. The stock market in general can experience extreme price and volume fluctuations that have often been unrelated or disproportionate to the operating performance of these certain companies. Broad market and industry factors may negatively affect the market price of our common stock, regardless of our actual operating performance. In addition to the factors discussed in “Part I, Item 1A, “Risk Factors,” and elsewhere in this report, these factors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announcement of our results of operations and updates regarding our business, including financial and operational guidance;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research published by securities or industry analysts about our business and prospects;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actual or anticipated changes in our growth rate, including relative to our competitors;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and results of preclinical studies and clinical trials of our current and future products or those of our competitors;</w:t>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market conditions in the medical device sector;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sales of our common stock by us, our insiders or our other stockholders;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general economic, industry and market conditions, including global and national events, such as the conflicts in Eastern Europe and the Middle East, and general economic downturns.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Part I, Item1A, “Risk Factors,” could have a dramatic and adverse impact on the market price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companies that have experienced volatility in the market price of their stock have been subject to securities class action litigation. We are the target of this type of litigation. For more information regarding such litigation, please see “Legal Proceedings” in Part I, Item 3 of this Annual Report. Securities litigation against us could result in substantial costs and divert our management’s attention from other business concerns, which could seriously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research about our business, our stock price and trading volume could decline.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common stock is currently traded on the Nasdaq Global Market, but there is no assurance that we will be able to maintain an active trading market on the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2025, we had 41,242,005 shares of common stock issued and outstanding. All of these shares are available for sale in the public market, subject to limitations under Rule 144 with respect to affiliates of our company.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filed registration statements on Form S-8 under the Securities Act registering the offer and sale of up to an aggregate of 12,277,925 shares of common stock pursuant to our Equity Plans (as defined in Note 2, “Summary of Accounting Policies – Stock-Based Compensation” in our notes to consolidated financial statements in this Annual Report on Form 10-K) and an aggregate of 757,694 shares of common stock pursuant to our 2021 ESPP. Our 2021 Plan and 2021 ESPP each contain an evergreen provision that may increase the number of shares available for issuance pursuant to such plans on the first day of each fiscal year. See Note 8 – Stock-Based Compensation Expense in the notes to the consolidated financial statements included in this report.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immediately following the filing of this Form 10-K, we will file a registration statement on Form S-8 under the Securities Act to register the issuance of 1,649,680 shares of common stock subject to options or other equity awards reserved for future issuance under the 2021 Plan. The number of shares to be registered represents the annual evergreen increase calculated as 4% of the outstanding shares of our common stock on the last day of fiscal year 2025 under our 2021 Plan.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May 8, 2024, we filed an automatic shelf registration statement on Form S-3ASR with the SEC that enables us to offer for sale, from time to time and as the capital markets permit, an unspecified amount of common stock, preferred stock, debt securities, warrants and units. The shelf registration statement became automatically effective upon filing and is valid for three years. On February 13, 2026, we filed a post-effective amendment to the registration statement because we expected to cease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 a well-known seasoned issuer (as such term is defined in Rule 405 under the Securities Act) upon the filing of this report. The post-effective amendment to the registration statement permits us to offer for sale, from time to time, up to $200 million of common stock, preferred stock, debt securities, warrants and units. Upon the filing of this report, we ceased to be a well-known seasoned issuer, and we expect to file another post-effective amendment to the registration statement for the purpose of amending the registration statement to convert it from a Form S-3ASR (automatic shelf registration statement) to a Form S-3 (non-automatic shelf registration statement). Each time we offer to sell securities under the registration statement, we will provide a prospectus supplement that will contain specific information about the terms of that offering and the securities being offered.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Sarbanes-Oxley Act of 2002 requires, among other things, that we assess the effectiveness of our internal control over financial reporting annually and the effectiveness of our disclosure controls and procedures quarterly. In addition, as an accelerated filer, our independent registered public accounting firm is required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Provisions in our certificate of incorporation, bylaws and Delaware law might discourage, delay or prevent a change in control of our company or changes in our management and, therefore, depress the market price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are elected at one time;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prohibit cumulative voting;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authorize our Board of Directors to amend the bylaws;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require a super-majority vote of stockholders to amend some provisions described above.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action asserting a claim of breach of fiduciary duty;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bylaws;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federal district courts of the U.S.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Delaware forum provision does not apply to actions arising under the Securities Exchange Act of 1934 because the federal courts have exclusive jurisdiction over such claims.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Board of Directors are authorized to issue and designate shares of our preferred stock in additional series without stockholder approval under our charter documents and Delaware law.</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Tax Act enacted many significant changes to the U.S. tax laws.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charges in the current or future taxable years and could increase our future U.S. tax expense. As an example, for taxable years beginning during or after 2022, the Tax Act eliminated the option to immediately deduct research and development expenditures currently and required taxpayers to capitalize and amortize them over five or fifteen years pursuant to Section 174 of the Code, which may impact our effective tax rate and our cash tax liability. Enacted in July 2025, the legislation commonly known as the “One Big Beautiful Bill” eliminates capitalization of domestic research and experimental expenditures for taxable years beginning January 1, 2025, but retains the requirement to amortize foreign research and experimental expenditure over 15 years. There is uncertainty regarding the effect of such changes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Development’s Pillar Two Framework. Finally, the Inflation Reduction Act of 2022 (the “IRA”) was effective beginning in fiscal year 2023, which imposes a 1% excise tax on stock buybacks and a 15% alternative minimum tax on adjusted financial statement income.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personnel, the rate and success at which we can discover, develop and commercialize our current and future products will be limited and the potential for successfully growing our business will be harmed.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 or security breaches or incidents.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clinical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sim swaps,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geopolitical tensions and conflicts, and other developments may increase the risk of such a breach, incident, or compromise. There is no assurance that any security procedures or controls that we, our contractors, or our third-party service providers or other third parties with whom we do business have implemented will be sufficient to prevent data-security related incidents from occurring.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claims made against us and could have high deductibles in any event, and defending a suit, regardless of its merit, could be costly and divert management attention.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Economic conditions may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example, key regional economies are currently operating under economic uncertainty and the U.S.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Factors such as geopolitical events (including the conflicts in Eastern Europe and the Middle East), inflationary pressures, public health crises, and U.S. election cycles have caused extreme volatility and disruptions in the capital and credit markets in recent years. Uncertainty or unfavorable global economic conditions could result in a variety of impacts to our business, including weakening demand for our products, and adversely impacting our ability to raise additional capital when needed on acceptable terms, if at all. A weak or declining economy has strained in the past and may in the future strain our manufacturers or suppliers, possibly resulting in supply disruption, or cause our customers to delay making payments for our products. Further, the Trump administration has proposed or enacted tariffs and substantial changes to trade policies, which could adversely affect our business. For example, the Trump administration has imposed tariffs on certain foreign products, that in the past have resulted in and may result in future retaliatory tariffs on U.S. goods and products. We cannot predict whether these policies will continue, or if new policies will be enacted, or the impact, if any, that any policy changes could have on our business. Any of the foregoing could harm our business and we cannot anticipate all of the ways in which the economic climate and financial market conditions could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Litigation and other legal proceedings may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and may become involved in legal proceedings, including those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Following periods of volatility in the market price of a company’s securities, securities class action litigation has often been instituted against that company. Following a stock price drop in our securities, on July 22, 2025, a putative securities class action complaint was filed in the U.S. District Court for the Central District of California against us and certain of our officers, captioned Makaveev v. RxSight, Inc., et al., No. 8:25-cv-01596. A second complaint, captioned Gemesi v. RxSight, Inc., et al., No. 8:25-cv-02093 was filed on September 16, 2025, and has since been consolidated with Makaveev. These lawsuits assert claims under Sections 10(b) and 20(a) of the Securities Exchange Act of 1934 and SEC Rule 10b-5, alleging that the defendants made materially false and misleading statements and omitted material adverse facts regarding demand for our products and financial guidance. The plaintiffs seek unspecified compensatory and punitive damages, and reasonable costs and expenses, including attorneys’ fees.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it is too early to predict the outcome of the litigation or a reasonable range of potential losses and whether an adverse result would have a material adverse impact on our results of operations or financial position, we believe we have meritorious defenses, vehemently deny the allegations and intend to defend the case vigorously. Failure to obtain a favorable resolution of this lawsuit could have a material adverse effect on the Company’s business, results of operations and financial condition.</w:t>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results of operations could be materially harmed if we are unable to accurately forecast customer demand for our products and manage our inventory.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seek to maintain sufficient levels of inventory but the lack of availability of raw materials, including semiconductors, computers, monitors electronic parts, metals, packaging, adhesives, chemicals, resins and subcontract painted components, has and could in the future limit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bidi w:val="0"/>
        <w:spacing w:before="200" w:after="283"/>
        <w:jc w:val="left"/>
        <w:rPr>
          <w:rFonts w:ascii="Times New Roman" w:hAnsi="Times New Roman"/>
          <w:b/>
          <w:color w:val="000000"/>
          <w:sz w:val="20"/>
        </w:rPr>
      </w:pPr>
      <w:bookmarkStart w:id="4" w:name="item1b_unresolved_staff_comments"/>
      <w:bookmarkEnd w:id="4"/>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including risks from cybersecurity threats. Our board of directors administers its cybersecurity risk oversight function directly as a whole, as well as through the Audit Committee pursuant to its charter. Our Audit Committee is primarily responsible for monitoring and assessing strategic risk exposure and receives periodic updates from management at Audit Committee meetings regarding cybersecurity threat risks and management’s strategies to manage the same, and our management is responsible for the day-to-day management of the material risks we face. Our Audit Committee reports to the board of directors regarding its activities, including with respect to cybersecurity risk oversight as appropriate, on a quarterly basis.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established policies and processes for assessing, identifying, and managing material risks from cybersecurity threats and have processes for monitoring and assessing strategic risk exposures and reporting to the Audit Committee and board of directors. We regularly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within our IT infrastructure.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 periodic risk assessments to identify cybersecurity threats that may affect information systems that may be vulnerable to cybersecurity threats. These risk assessments include identification of reasonably foreseeable internal and external risks and the sufficiency of existing policies, procedures, systems, and safeguards in place to manage such risks.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Following these risk assessments, if necessary, we implement and maintain reasonable safeguards to minimize identified risks and regularly monitor the effectiveness of our safeguards. We devote significant resources, including engaging experienced consultants and designate senior-level information technology management (“IT management”) to manage the risk assessment and mitigation process. Personnel tasked with managing cybersecurity risks periodically report to senior management and the Audit Committee. We use automated tools and trained personnel to maintain real-time threat monitoring and 24x7 alerting of all of our IT infrastructure and endpoints. We leverage various software tools, internal personnel and consultants to identify, triage, escalate and remediate threats. In the event of a security incident, we follow communication protocols to alert senior-level management as to the nature and severity of the threat while leveraging consultants and forensic tools to contain, document and mitigate the threat.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part of our overall risk management system, IT management monitors and tests our safeguards and trains our employees on these safeguards. Personnel at all levels and departments are made aware of our cybersecurity policies and risks through communication and training.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engaged, and expect to continue to engage, consultants, or other third parties in connection with our risk assessment processes. These providers assist us in designing and implementing our cybersecurity policies and procedures, as well as monitoring and testing the design of our processes. To oversee and identify risks from cybersecurity threats associated with our use of third-party service providers we expect them to implement and maintain reasonable security measures in connection with their work with us, and to promptly report any suspected breach of its security measures that may affect us. </w:t>
      </w:r>
    </w:p>
    <w:p>
      <w:pPr>
        <w:pStyle w:val="TextBody"/>
        <w:bidi w:val="0"/>
        <w:spacing w:before="0" w:after="160"/>
        <w:jc w:val="left"/>
        <w:rPr>
          <w:rFonts w:ascii="Times New Roman" w:hAnsi="Times New Roman"/>
          <w:sz w:val="20"/>
        </w:rPr>
      </w:pPr>
      <w:r>
        <w:rPr>
          <w:rFonts w:ascii="Times New Roman" w:hAnsi="Times New Roman"/>
          <w:color w:val="000000"/>
          <w:sz w:val="20"/>
        </w:rPr>
        <w:t>For additional information regarding whether any risks from cybersecurity threats have materially affected or are reasonably likely to materially affect our company, including our business strategy, results of operations, or financial condition, please refer to Item 1A, “Risk Factors,” in this report, including the risk factor entitled</w:t>
      </w:r>
      <w:r>
        <w:rPr>
          <w:rFonts w:ascii="Times New Roman" w:hAnsi="Times New Roman"/>
          <w:color w:val="211D1E"/>
          <w:sz w:val="20"/>
        </w:rPr>
        <w:t xml:space="preserve"> </w:t>
      </w:r>
      <w:r>
        <w:rPr>
          <w:rFonts w:ascii="Times New Roman" w:hAnsi="Times New Roman"/>
          <w:color w:val="000000"/>
          <w:sz w:val="20"/>
        </w:rPr>
        <w:t>“</w:t>
      </w:r>
      <w:r>
        <w:rPr>
          <w:rFonts w:ascii="Times New Roman" w:hAnsi="Times New Roman"/>
          <w:i/>
          <w:color w:val="000000"/>
          <w:sz w:val="20"/>
        </w:rPr>
        <w:t>Unauthorized third parties may seek to access our devices or other products and services, or related devices, products, and services, and modify or use them in a way inconsistent with our FDA clearances and approvals, which may create risks to users.”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211D1E"/>
          <w:sz w:val="20"/>
        </w:rPr>
      </w:pPr>
      <w:r>
        <w:rPr>
          <w:rFonts w:ascii="Times New Roman" w:hAnsi="Times New Roman"/>
          <w:color w:val="211D1E"/>
          <w:sz w:val="20"/>
        </w:rPr>
        <w:t>As of the date of this report, we do not believe that we have experienced a material cybersecurity incident</w:t>
      </w:r>
    </w:p>
    <w:p>
      <w:pPr>
        <w:pStyle w:val="TextBody"/>
        <w:bidi w:val="0"/>
        <w:spacing w:before="20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lease five facilities which includes our headquarters, manufacturing, research and development and administrative offices in Aliso Viejo, California. The facility leases are for approximately 150,000 square feet in the aggregate. The current leases on our five facilities expire on January 31, 2031, with two options to extend for five years each. We believe that our facilities are adequate to meet our current needs.</w:t>
      </w:r>
    </w:p>
    <w:p>
      <w:pPr>
        <w:pStyle w:val="TextBody"/>
        <w:bidi w:val="0"/>
        <w:spacing w:before="36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Class Actions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22, 2025, a putative securities class action complaint was filed in the U.S. District Court for the Central District of California against the Company and certain of its officers, captioned Makaveev v. RxSight, Inc., et al., No. 8:25-cv-01596. The lawsuit asserts claims under Sections 10(b) and 20(a) of the Securities Exchange Act of 1934 and SEC Rule 10b-5, alleging that the defendants made materially false and misleading statements and omitted material adverse facts regarding demand for our products and financial guidance. On September 16, 2025, a related putative securities class action complaint was filed in the U.S. District Court for the Central District of California against us and certain of our officers, captioned Gémesi v. RxSight, Inc., et al., No. 25-cv-02093. On October 6, 2025, the court entered an order consolidating the Makaveev and Gémesi actions, appointing a lead plaintiff and approving selection of lead counsel, and re-captioning the case as In re RxSight Securities Litigation, No. 8:25-cv-01596-FWS-KES. . A consolidated, amended complaint was filed on December 12, 2025. Defendants’ motion to dismiss was filed on February 13, 2026. The plaintiffs seek unspecified compensatory and punitive damages, and reasonable costs and expenses, including attorneys’ fees.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Shareholder Derivative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18, 2025, a shareholder derivative action was filed in the U.S. District Court for the Central District of California against certain of our officers and directors, captioned Swift v. Kurtz, et al., Case No. 8:25-cv-01820-FWS-KES. The plaintiff purports to bring the action derivatively on behalf of us, and we are named as a nominal defendant. The complaint generally alleges that the defendants made false and misleading statements and omitted material adverse facts regarding declining sales, demand for our products, and financial guidance, and we lacked internal controls. The complaint asserts claims for alleged violations of Section 14(a) of the Exchange Act, as well as claims for alleged breaches of fiduciary duties, aiding and abetting, unjust enrichment, and waste of corporate assets. The complaint seeks unspecified damages on behalf of the Company, declaratory relief, a constructive trust, punitive damages, and an award of costs and expenses, including attorneys’ fees. On October 2, 2025, the court entered an order staying proceedings in the Swift action until a final resolution of the Securities Class Actions, including the exhaustion of any appeals.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10, 2025, a related shareholder derivative action was filed in the U.S. District Court for the Central District of California against certain of our officers and directors, captioned Yost v. Kurtz, et al., Case No. 8:25-cv-2295. The complaint asserts claims for alleged breaches of fiduciary duties, gross mismanagement, waste of corporate assets, unjust enrichment, aiding and abetting, insider trading, and alleged violations of Section 14(a) of the Exchange Act and seeks unspecified damages on behalf of us, declaratory relief, disgorgement, corporate governance reforms, and an award of costs and expenses, including attorneys’ fees.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13, 2025, the Court entered an order consolidating the </w:t>
      </w:r>
      <w:r>
        <w:rPr>
          <w:rFonts w:ascii="Times New Roman" w:hAnsi="Times New Roman"/>
          <w:i/>
          <w:color w:val="000000"/>
          <w:sz w:val="20"/>
        </w:rPr>
        <w:t xml:space="preserve">Swift </w:t>
      </w:r>
      <w:r>
        <w:rPr>
          <w:rFonts w:ascii="Times New Roman" w:hAnsi="Times New Roman"/>
          <w:color w:val="000000"/>
          <w:sz w:val="20"/>
        </w:rPr>
        <w:t xml:space="preserve">and </w:t>
      </w:r>
      <w:r>
        <w:rPr>
          <w:rFonts w:ascii="Times New Roman" w:hAnsi="Times New Roman"/>
          <w:i/>
          <w:color w:val="000000"/>
          <w:sz w:val="20"/>
        </w:rPr>
        <w:t>Yost</w:t>
      </w:r>
      <w:r>
        <w:rPr>
          <w:rFonts w:ascii="Times New Roman" w:hAnsi="Times New Roman"/>
          <w:color w:val="000000"/>
          <w:sz w:val="20"/>
        </w:rPr>
        <w:t xml:space="preserve"> actions and staying the consolidated derivative action until the final resolution of the Securities Class Actions, including the exhaustion of any appeals.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it is too early to predict the outcome of the litigation or a reasonable range of potential losses and whether an adverse result would have a material adverse impact on our results of operations or financial position, we believe we have meritorious defenses, vehemently deny the allegations and intend to defend the case vigorously. Failure to obtain a favorable resolution of this lawsuit could have a material adverse effect on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36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information and holders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common stock has been publicly traded on the Nasdaq Global Market under the symbol “RXST” since July 30, 2021. Prior to that time, there was no public market for our common stock.</w:t>
      </w:r>
    </w:p>
    <w:p>
      <w:pPr>
        <w:pStyle w:val="TextBody"/>
        <w:bidi w:val="0"/>
        <w:jc w:val="left"/>
        <w:rPr>
          <w:rFonts w:ascii="Times New Roman" w:hAnsi="Times New Roman"/>
          <w:b/>
          <w:color w:val="000000"/>
          <w:sz w:val="20"/>
        </w:rPr>
      </w:pPr>
      <w:r>
        <w:rPr>
          <w:rFonts w:ascii="Times New Roman" w:hAnsi="Times New Roman"/>
          <w:b/>
          <w:color w:val="000000"/>
          <w:sz w:val="20"/>
        </w:rPr>
        <w:t>Stockholders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February 18, 2026, there were approximately 102 registered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of then-existing debt instruments, if any, and other factors our Board of Directors deems relevant.</w:t>
      </w:r>
    </w:p>
    <w:p>
      <w:pPr>
        <w:pStyle w:val="TextBody"/>
        <w:bidi w:val="0"/>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graph compares the performance of our common stock for the periods indicated with the performance of the S&amp;P Healthcare and Supplies Index, the Russell 2000 Index, and the NASDAQ Composite Index from July 30, 2021 to December 31, 2025. This graph assumes an investment of $100 on July 30, 2021 in each of our common stock, the NASDAQ Composite Index, and the S &amp; P Healthcare Equipment and Supplies Index, and assumes reinvestment of dividends, if any. The stock price performance shown on the graph below is not necessarily indicative of future stock price performance.</w:t>
      </w:r>
    </w:p>
    <w:p>
      <w:pPr>
        <w:pStyle w:val="TextBody"/>
        <w:bidi w:val="0"/>
        <w:spacing w:before="0" w:after="240"/>
        <w:jc w:val="left"/>
        <w:rPr/>
      </w:pPr>
      <w:r>
        <w:rPr/>
        <w:drawing>
          <wp:inline distT="0" distB="0" distL="0" distR="0">
            <wp:extent cx="6515100" cy="2552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15100" cy="2552700"/>
                    </a:xfrm>
                    <a:prstGeom prst="rect">
                      <a:avLst/>
                    </a:prstGeom>
                  </pic:spPr>
                </pic:pic>
              </a:graphicData>
            </a:graphic>
          </wp:inline>
        </w:drawing>
      </w:r>
    </w:p>
    <w:p>
      <w:pPr>
        <w:pStyle w:val="TextBody"/>
        <w:bidi w:val="0"/>
        <w:spacing w:before="0" w:after="160"/>
        <w:jc w:val="left"/>
        <w:rPr/>
      </w:pPr>
      <w:r>
        <w:rPr/>
        <w:drawing>
          <wp:inline distT="0" distB="0" distL="0" distR="0">
            <wp:extent cx="6381750" cy="685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381750" cy="685800"/>
                    </a:xfrm>
                    <a:prstGeom prst="rect">
                      <a:avLst/>
                    </a:prstGeom>
                  </pic:spPr>
                </pic:pic>
              </a:graphicData>
            </a:graphic>
          </wp:inline>
        </w:drawing>
      </w:r>
    </w:p>
    <w:p>
      <w:pPr>
        <w:pStyle w:val="TextBody"/>
        <w:bidi w:val="0"/>
        <w:spacing w:before="200" w:after="283"/>
        <w:jc w:val="left"/>
        <w:rPr>
          <w:rFonts w:ascii="Times New Roman" w:hAnsi="Times New Roman"/>
          <w:b/>
          <w:color w:val="000000"/>
          <w:sz w:val="20"/>
        </w:rPr>
      </w:pPr>
      <w:bookmarkStart w:id="10" w:name="item_6_selected_financial_data"/>
      <w:bookmarkEnd w:id="10"/>
      <w:r>
        <w:rPr>
          <w:rFonts w:ascii="Times New Roman" w:hAnsi="Times New Roman"/>
          <w:b/>
          <w:color w:val="000000"/>
          <w:sz w:val="20"/>
        </w:rPr>
        <w:t>Item 6. [Reserved]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in Part I, Item 1A and elsewhere in this report. See “Special Note Regarding Forward-Looking Statements.”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283"/>
        <w:jc w:val="left"/>
        <w:rPr>
          <w:rFonts w:ascii="Times New Roman" w:hAnsi="Times New Roman"/>
          <w:sz w:val="20"/>
        </w:rPr>
      </w:pPr>
      <w:r>
        <w:rPr>
          <w:rFonts w:ascii="Times New Roman" w:hAnsi="Times New Roman"/>
          <w:color w:val="000000"/>
          <w:sz w:val="20"/>
        </w:rPr>
        <w:t>RxSight, Inc. is a commercial-stage medical technology company dedicated to providing high-quality customized vision to patients following cataract surgery. Our proprietary RxSight</w:t>
      </w:r>
      <w:r>
        <w:rPr>
          <w:rFonts w:ascii="Times New Roman" w:hAnsi="Times New Roman"/>
          <w:color w:val="000000"/>
          <w:sz w:val="13"/>
        </w:rPr>
        <w:t xml:space="preserve">® </w:t>
      </w:r>
      <w:r>
        <w:rPr>
          <w:rFonts w:ascii="Times New Roman" w:hAnsi="Times New Roman"/>
          <w:color w:val="000000"/>
          <w:sz w:val="20"/>
        </w:rPr>
        <w:t>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hAnsi="Times New Roman"/>
          <w:color w:val="000000"/>
          <w:sz w:val="13"/>
        </w:rPr>
        <w:t xml:space="preserve">® </w:t>
      </w:r>
      <w:r>
        <w:rPr>
          <w:rFonts w:ascii="Times New Roman" w:hAnsi="Times New Roman"/>
          <w:color w:val="000000"/>
          <w:sz w:val="20"/>
        </w:rPr>
        <w:t>(LAL</w:t>
      </w:r>
      <w:r>
        <w:rPr>
          <w:rFonts w:ascii="Times New Roman" w:hAnsi="Times New Roman"/>
          <w:color w:val="000000"/>
          <w:sz w:val="13"/>
        </w:rPr>
        <w:t>®</w:t>
      </w:r>
      <w:r>
        <w:rPr>
          <w:rFonts w:ascii="Times New Roman" w:hAnsi="Times New Roman"/>
          <w:color w:val="000000"/>
          <w:sz w:val="20"/>
        </w:rPr>
        <w:t>/LAL+</w:t>
      </w:r>
      <w:r>
        <w:rPr>
          <w:rFonts w:ascii="Times New Roman" w:hAnsi="Times New Roman"/>
          <w:color w:val="000000"/>
          <w:sz w:val="13"/>
        </w:rPr>
        <w:t>®</w:t>
      </w:r>
      <w:r>
        <w:rPr>
          <w:rFonts w:ascii="Times New Roman" w:hAnsi="Times New Roman"/>
          <w:color w:val="000000"/>
          <w:sz w:val="20"/>
        </w:rPr>
        <w:t>,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w:t>
      </w:r>
    </w:p>
    <w:p>
      <w:pPr>
        <w:pStyle w:val="TextBody"/>
        <w:bidi w:val="0"/>
        <w:jc w:val="left"/>
        <w:rPr>
          <w:rFonts w:ascii="Times New Roman" w:hAnsi="Times New Roman"/>
          <w:color w:val="000000"/>
          <w:sz w:val="20"/>
        </w:rPr>
      </w:pPr>
      <w:r>
        <w:rPr>
          <w:rFonts w:ascii="Times New Roman" w:hAnsi="Times New Roman"/>
          <w:color w:val="000000"/>
          <w:sz w:val="20"/>
        </w:rPr>
        <w:t>We designed our RxSight system to address limitations of conventional premium IOL technologies by providing doctors with a more precise and adaptable method for achieving desired visual outcomes for their patients. Conventional premium IOLs require patients to select their visual priorities before surgery and accept the optical trade-offs inherent in those choices. Surgeons must rely on a series of preoperative measurements and predictive formulae to determine the appropriate lens power. If the selected power is not optimal, the patient may experience less-than-ideal results that could require a subsequent corneal refractive procedure or other corrective measures to achieve intended vision targets.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contrast, with the RxSight system, the surgeon implants the LAL as they would in any other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conventional premium IOLs and allowing patients to iterate their final vision characteristics with customized post-surgical adjustments.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primarily compete in the IOL market in the U.S. The LAL is a premium IOL which is partially reimbursable under Medicare, and in some cases by private payors. Premium IOLs are sold at a higher price point than conventional IOLs as they provide refractive vision correction, whereas conventional IOLs simply replace the natural lens with a clear lens (which is the standard for Medicare reimbursement). Our RxSight system is approved in the U.S. and several foreign countries for improving uncorrected visual acuity by adjusting the LAL power to correct residual postoperative refractive error. Outside of the U.S., we presently have approval in Europe, Canada, Mexico, Singapore, Australia and South Korea, and we intend to seek additional approvals in the future to broaden our international presence. In non-U.S. markets, reimbursement and healthcare payment systems vary significantly by country. Some have instituted price ceilings on specific products and therapies. In many countries, analogous determinations to the dual aspect CMS ruling have been made, allowing for partial coverage of the cataract procedure by national health systems, with patients paying out of pocket for refractive services associated with the premium IOL. In other countries, similar dual billing is not allowed. While we are growing our presence outside the U.S., we do not anticipate meaningful near-term sales from these non-U.S. regions.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Delaware corporation headquartered in Aliso Viejo, California with two wholly owned subsidiaries located in Hong Kong (“RxSight, Hong Kong”) and in Amsterdam, Netherlands (“RxSight, Netherlands”). RxSight, Netherlands has a registered branch in the United Kingdom and a wholly owned subsidiary located in Germany (“RxSight Germany”).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efforts began in 2019, and have been primarily focused in the U.S., where we are building a “razor and razor blade” business model to drive new customer adoption and ongoing LAL volume growth. Our sales efforts are concentrated on the approximately 3,500 to 4,000 U.S. cataract surgeons that perform approximately 60% of all premium IOL procedures. As of December 31, 2025, we have established an installed base of 1,134 LDDs in ophthalmology practices and, since our inception through December 31, 2025, surgeons have implanted approximately 300,000 LALs.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this business model provides an attractive and concentrated market opportunity addressable with a focused sales force. Our commercial organization includes LDD sales personnel, LAL account managers, clinical specialists, field service engineers, and marketing personnel. We recently completed a full realignment of our U.S. commercial organization by integrating our clinical and sales teams into a single unified Customer Success Organization. We believe this new structure will not only help us better support our existing customers, but it will also position us for the next phase of adoption. Each integrated team within the Customer Success Organization is responsible for a defined group of doctors and practices, managing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experience from onboarding through long-term LAL utilization growth. The majority of employees in our approximately 200-person commercial organization are in the Customer Success Organization. We plan on growing our business by increasing LAL adoption, expanding our LDD installed base, and driving heightened awareness of what we believe to be superior clinical outcomes that our RxSight system provides patients. We have found that ensuring clinicians understand our technology, are well-trained in its use, and understand the number of patients our technology can benefit, increases utilization. Our Customer Success Organization is focused on providing this support to 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near-term research and development activities are focused on enhancements to the RxSight system to improve clinical outcomes, enhance customer experience, expand our indications for use, reduce manufacturing costs and support lifecycle management. We believe our adjustable lens solution can be used to address a broad range of cataract surgery patients, including those that would otherwise elect for a conventional cataract procedure today. We will undertake additional clinical studies to expand the existing body of evidence related to the safety and effectiveness of our current and future generations of products. Finally, we may in the future seek to acquire or invest in additional businesses, products or technologies that we believe could complement or expand our portfolio, enhance our technical capabilities or otherwise offer growth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continue to make investments in our sales and marketing organization, including personnel in clinical applications, practice development, sales and technical service personnel, we also intend to expand our marketing efforts through additional print and digital, social media, education and other customer tools to drive further adoption of the RxSight system.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Additionally, we have incurred and expect to continue to incur costs related to operating as a public company, such as director and officer insurance premiums, audit fees, costs for compliance with Section 404(b) of the Sarbanes-Oxley Act, legal fees, investor relations fees, fees to members of our Board of Directors, and expenses for compliance with public-company reporting requirements. Because of our ongoing investment in our business and products and these and other factors, we expect to continue to incur net losses and negative cash flows from operations for the near future.</w:t>
      </w:r>
    </w:p>
    <w:p>
      <w:pPr>
        <w:pStyle w:val="TextBody"/>
        <w:bidi w:val="0"/>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regularly review several operating and financial metrics to evaluate our business, measure our performance, identify trends affecting our business, formulate our business plan and make strategic decisions.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results are influenced by several key factors, including: (i) growth in our LDD installed base, which enables LALs to be implanted; (ii) the utilization of that installed base for LAL procedures, measured by the number of LALs implanted per installed LDD; (iii) product mix between LALs and LDDs, which affects our overall gross margins; (iv) manufacturing cost trends; and (v) seasonal and external factors that may affect cataract surgery volumes. We believe the number of LDDs installed and LALs implanted are the strongest indicators of the adoption of our technology and our ability to generate revenue. We monitor average monthly utilization, which we define as the number of LALs implanted during a quarter divided by the LDD installed base at the end of the prior quarter. This fluctuates due to seasonality, practice ramp, and external disruptions (including severe weather events). </w:t>
      </w:r>
    </w:p>
    <w:p>
      <w:pPr>
        <w:pStyle w:val="TextBody"/>
        <w:bidi w:val="0"/>
        <w:spacing w:before="1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96"/>
        <w:gridCol w:w="146"/>
        <w:gridCol w:w="146"/>
        <w:gridCol w:w="146"/>
        <w:gridCol w:w="571"/>
        <w:gridCol w:w="146"/>
        <w:gridCol w:w="146"/>
        <w:gridCol w:w="146"/>
        <w:gridCol w:w="571"/>
        <w:gridCol w:w="146"/>
        <w:gridCol w:w="146"/>
        <w:gridCol w:w="146"/>
        <w:gridCol w:w="571"/>
        <w:gridCol w:w="146"/>
        <w:gridCol w:w="146"/>
        <w:gridCol w:w="146"/>
        <w:gridCol w:w="571"/>
        <w:gridCol w:w="146"/>
        <w:gridCol w:w="146"/>
        <w:gridCol w:w="146"/>
        <w:gridCol w:w="421"/>
        <w:gridCol w:w="146"/>
        <w:gridCol w:w="146"/>
        <w:gridCol w:w="146"/>
        <w:gridCol w:w="421"/>
        <w:gridCol w:w="146"/>
        <w:gridCol w:w="146"/>
        <w:gridCol w:w="146"/>
        <w:gridCol w:w="421"/>
        <w:gridCol w:w="146"/>
        <w:gridCol w:w="146"/>
        <w:gridCol w:w="146"/>
        <w:gridCol w:w="421"/>
        <w:gridCol w:w="146"/>
        <w:gridCol w:w="191"/>
      </w:tblGrid>
      <w:tr>
        <w:trPr/>
        <w:tc>
          <w:tcPr>
            <w:tcW w:w="2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Installed Base at End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120"/>
        <w:jc w:val="left"/>
        <w:rPr/>
      </w:pPr>
      <w:r>
        <w:rPr/>
        <w:t> </w:t>
      </w:r>
    </w:p>
    <w:tbl>
      <w:tblPr>
        <w:tblW w:w="10205" w:type="dxa"/>
        <w:jc w:val="left"/>
        <w:tblInd w:w="0" w:type="dxa"/>
        <w:tblLayout w:type="fixed"/>
        <w:tblCellMar>
          <w:top w:w="28" w:type="dxa"/>
          <w:left w:w="28" w:type="dxa"/>
          <w:bottom w:w="28" w:type="dxa"/>
          <w:right w:w="28" w:type="dxa"/>
        </w:tblCellMar>
      </w:tblPr>
      <w:tblGrid>
        <w:gridCol w:w="956"/>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46"/>
        <w:gridCol w:w="191"/>
      </w:tblGrid>
      <w:tr>
        <w:trPr/>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During 2025, we sold 163 LDDs, which was a decrease of 142 LDDs when compared to the prior year due to slower adoption of our RxSight technology by practices and doctors. LAL sales increased by 11,560 units when compared to the prior year, primarily due to the larger LDD installed base. </w:t>
      </w:r>
    </w:p>
    <w:p>
      <w:pPr>
        <w:pStyle w:val="TextBody"/>
        <w:bidi w:val="0"/>
        <w:spacing w:before="1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sales consist of LALs used in cataract surgeries, the LDDs for delivering light to the LALs to adjust the lens post-surgery, as needed, and service and accessories. Revenue is derived from sales of products mainly in the U.S. and select international markets. Customers are primarily comprised of ophthalmic practices (LDD sales) and ambulatory surgery centers (LAL sales). We recently completed a full realignment of our U.S. commercial organization by integrating our clinical and sales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teams into a single unified Customer Success Organization. Each integrated team within the Customer Success Organization is responsible for a defined group of doctors and practices, managing customer experience from onboarding through long-term LAL utilization growth. Following several years of rapid growth, sales moderated in 2025, and we expect our commercial realignment initiatives to position the company for renewed revenue growth. We plan to drive continued expansion by supporting existing practices and strategically expanding our LDD installed base and helping new adopters in achieving early success and sustained long-term growth.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the U.S. LALs are held at customer sites on consignment. Revenue is recognized for LALs upon customer notification that the LALs have been implanted in a patient. Outside the U.S., generally, LALs are held at distributor sites and distributor customer locations, with revenue recognized for LALs upon the distributor notification that the LALs have been implanted in a patient or upon shipment to the distributor.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LDD contracts contain multiple performance obligations bundled into one transaction price, with all obligations generally satisfied within one year. Revenue for the LDD capital asset is recognized at a point in time either at installation and acceptance or upon shipment to our international distributors. Revenue for training is also recorded at a point in time, generally 60 days after installation. Revenue for the device service is recognized ratably over time after installation, generally 12 months. After the first year, service contracts can be purchased separately on a standalone basis. Revenue for such service agreements will be recognized ratably over the term of each contract.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For the years ended December 31, 2025 and 2024, revenue from contracts with customers consisted of the following (in thousands): </w:t>
      </w:r>
    </w:p>
    <w:tbl>
      <w:tblPr>
        <w:tblW w:w="6893" w:type="dxa"/>
        <w:jc w:val="left"/>
        <w:tblInd w:w="0" w:type="dxa"/>
        <w:tblLayout w:type="fixed"/>
        <w:tblCellMar>
          <w:top w:w="28" w:type="dxa"/>
          <w:left w:w="28" w:type="dxa"/>
          <w:bottom w:w="28" w:type="dxa"/>
          <w:right w:w="28" w:type="dxa"/>
        </w:tblCellMar>
      </w:tblPr>
      <w:tblGrid>
        <w:gridCol w:w="4246"/>
        <w:gridCol w:w="146"/>
        <w:gridCol w:w="214"/>
        <w:gridCol w:w="793"/>
        <w:gridCol w:w="148"/>
        <w:gridCol w:w="148"/>
        <w:gridCol w:w="214"/>
        <w:gridCol w:w="793"/>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 (including training)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warranty, service contracts, and accessories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134,479</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and 2024 we did not have any one customer who individually accounted for more than 10% of revenue.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consist of materials, labor and manufacturing overhead internally to produce our products as well as the cost of shipping and handling. Overhead costs include the cost of quality assurance, material procurement, inventory control, facilities, equipment and operations management and stock-based compensation. Cost of sales also includes depreciation expense for production equipment and certain direct costs such as shipping costs. Shipping costs billed to customers are included in sales. As we return to growth, we expect cost of sales to increase in absolute dollars as our revenue grows and higher volume of products are sold.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gross margin as gross profit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increase or decrease units of production for both the LDD and LAL and as we adopt new manufacturing processes and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LDD, as is typical of many medical device capital equipment products, has a lower gross margin, as the material cost of the LDD is a significant portion of the total cost to manufacture. In addition, we do not mark up our LDD substantially because LDDs, once sold, can generate LAL procedures. Our LAL gross margin is higher, with low material cost but high fixed overhead costs. </w:t>
      </w:r>
    </w:p>
    <w:p>
      <w:pPr>
        <w:pStyle w:val="TextBody"/>
        <w:bidi w:val="0"/>
        <w:spacing w:before="16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 primarily of interest incurred on leases.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consist primarily of interest income earned on our short-term investments and cash equivalents.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years ended December 31, 2025 and 2024, together with the dollar increase or decrease and percentage change in those items: </w:t>
      </w:r>
    </w:p>
    <w:tbl>
      <w:tblPr>
        <w:tblW w:w="9694" w:type="dxa"/>
        <w:jc w:val="left"/>
        <w:tblInd w:w="0" w:type="dxa"/>
        <w:tblLayout w:type="fixed"/>
        <w:tblCellMar>
          <w:top w:w="28" w:type="dxa"/>
          <w:left w:w="28" w:type="dxa"/>
          <w:bottom w:w="28" w:type="dxa"/>
          <w:right w:w="28" w:type="dxa"/>
        </w:tblCellMar>
      </w:tblPr>
      <w:tblGrid>
        <w:gridCol w:w="3756"/>
        <w:gridCol w:w="292"/>
        <w:gridCol w:w="1082"/>
        <w:gridCol w:w="229"/>
        <w:gridCol w:w="202"/>
        <w:gridCol w:w="292"/>
        <w:gridCol w:w="1082"/>
        <w:gridCol w:w="166"/>
        <w:gridCol w:w="146"/>
        <w:gridCol w:w="211"/>
        <w:gridCol w:w="736"/>
        <w:gridCol w:w="166"/>
        <w:gridCol w:w="146"/>
        <w:gridCol w:w="146"/>
        <w:gridCol w:w="631"/>
        <w:gridCol w:w="411"/>
      </w:tblGrid>
      <w:tr>
        <w:trPr/>
        <w:tc>
          <w:tcPr>
            <w:tcW w:w="37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Twelve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103,009</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112,651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38,549</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151,200</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short-term investments</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(loss) gain</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(39,057</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decreased by $5.5 million, or (3.9)%, to $134.5 million in 2025 from $139.9 million in 2024. The decrease in total sales was primarily due to a decline of 142 units, or (47%), in the total number of LDDs sold during the year ended 2025 as compared to the same period in 2024. The lower LDD sales were partially offset by increased LAL sales of 11,560 units, or 12%, when compared to the same period in 2024, which was primarily due to the net increase in our LDD installed base. The reduction in LDD sales was due to slower adoption of RxSight technology among practices and doctors in 2025 as compared to 2024.</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decreased by $9.5 million, or (23.2)%, to $31.5 million for the year ended December 31, 2025 from $41.0 million for the year ended December 31, 2024, primarily due to the decreased number of LDDs sold during the period. Gross margin increased to 76.6% in 2025 from 70.7% in 2024, primarily due to favorable product mix from a greater percentage of revenue from LAL sales, with LAL revenue comprising 80% of revenue in 2025, compared to 69% of revenue in 2024.</w:t>
      </w:r>
    </w:p>
    <w:p>
      <w:pPr>
        <w:pStyle w:val="TextBody"/>
        <w:bidi w:val="0"/>
        <w:spacing w:before="16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increased by $11.2 million, or 11.1%, to $112.7 million in 2025, from $101.4 million in 2024. This increase was primarily attributable to an increase in selling and marketing costs of $10.0 million, personnel costs of $1.9 million, $2.4 million of increased stock-based compensation expense, $3.9 million in additional marketing study costs, and $1.7 million in new customer acquisition costs, in each case when compared to 2024. General and administrative expenses increased by $1.2 million due to increased stock-based compensation of $1.7 million, which was partially offset by decreases in personnel costs of $0.5 million, primarily due to lower bonus accruals and headcount. We expect selling, general and administrative expenses to continue to expand as we increase our research and development activities, build out our marketing, sales and clinical teams in the U.S. and outside the U.S., and otherwise grow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$4.1 million to $38.5 million in from $34.4 million in 2024, an increase of 12.2%. This increase was primarily attributable to $2.6 million in research and development activities, including the allocation of manufacturing resources and headcount, $2.7 million in increased personnel costs which includes stock-based compensation, offset by a $1.3 million decrease in clinical study and other costs. We expect to maintain our focus on research and development spending as we seek to improve clinical outcomes, improve customer experience, expand our indications for use, reduce manufacturing costs and support lifecycle management.</w:t>
      </w:r>
    </w:p>
    <w:p>
      <w:pPr>
        <w:pStyle w:val="TextBody"/>
        <w:bidi w:val="0"/>
        <w:spacing w:before="1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decreased by $0.2 million to income of $9.3 million in 2025 from income of $9.5 million in 2024. This change was primarily due to lower interest rates on investment balances in 2025 as compared to 2024.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years ended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discussion of changes in our results of operations during the year ended December 31, 2024 compared to the year ended December 31, 2023, has been omitted from this Annual Report on Form 10-K, but may be found in “MD&amp;A – Results of Operations – Comparison of the years ended December 31, 2024 and 2023” in Part II, Item 7 of the 2024 Form 10-K, which discussion is incorporated herein by reference and which is available free of charge on the SEC’s website at www.sec.gov. </w:t>
      </w:r>
    </w:p>
    <w:p>
      <w:pPr>
        <w:pStyle w:val="TextBody"/>
        <w:bidi w:val="0"/>
        <w:spacing w:before="1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and negative cash flows from operations since our inception, and we anticipate that we will continue to incur losses in the near future.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December 31, 2025, we had cash and cash equivalents of $19.9 million, short-term investments of $208.2 million, and accumulated deficit of $661.0 million. For the years ended December 31, 2025 and 2024, our net losses from operations were $48.2 and $36.9 million, respectively. We generated sales of $134.5 million and had a net loss of $38.9 million in 2025, compared to sales of $139.9 million and net loss of $27.5 million in 2024.</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a discussion of our contractual obligations and commitments, refer to Part II, Item 8, Note 12, “Commitments and Contingencies” in our notes to the consolidated financial statements in this Annual Report on Form 10-K.</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liquidity and capital funding requirements will depend on numerous factors, including: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sales growth, including potential international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marketing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working capital investments, primarily in inventories and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funds or borrow to finance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any clinical trial results for our current or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and effect of competing or complementary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collaborative, licensing or other arrangements that we have or may establish;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finance lease payments for our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December 31, 2025, we had cash and cash equivalents of $19.9 million and short-term investments of $208.2 million. 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 raise capital under advantageous circumstances from time to time to support the expansion of our sales and operations in the U.S. and internationally and to pursue other business opportunities. If we determine that we need to raise additional funds, such capital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 If we raise additional funds by issuing equity securities, our stockholders may experience dilution.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See Part I, Item 1A (Risk Factors) of this report for additional risks associated with our substantial capital requirements.</w:t>
      </w:r>
    </w:p>
    <w:p>
      <w:pPr>
        <w:pStyle w:val="TextBody"/>
        <w:bidi w:val="0"/>
        <w:spacing w:before="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each of the periods presented below (in thousands):</w:t>
      </w:r>
    </w:p>
    <w:tbl>
      <w:tblPr>
        <w:tblW w:w="8436" w:type="dxa"/>
        <w:jc w:val="left"/>
        <w:tblInd w:w="0" w:type="dxa"/>
        <w:tblLayout w:type="fixed"/>
        <w:tblCellMar>
          <w:top w:w="28" w:type="dxa"/>
          <w:left w:w="28" w:type="dxa"/>
          <w:bottom w:w="28" w:type="dxa"/>
          <w:right w:w="28" w:type="dxa"/>
        </w:tblCellMar>
      </w:tblPr>
      <w:tblGrid>
        <w:gridCol w:w="4911"/>
        <w:gridCol w:w="146"/>
        <w:gridCol w:w="278"/>
        <w:gridCol w:w="971"/>
        <w:gridCol w:w="219"/>
        <w:gridCol w:w="192"/>
        <w:gridCol w:w="278"/>
        <w:gridCol w:w="1030"/>
        <w:gridCol w:w="41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 on cash, cash equivalents</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left"/>
        <w:rPr>
          <w:rFonts w:ascii="Times New Roman" w:hAnsi="Times New Roman"/>
          <w:sz w:val="20"/>
        </w:rPr>
      </w:pPr>
      <w:r>
        <w:rPr>
          <w:rFonts w:ascii="Times New Roman" w:hAnsi="Times New Roman"/>
          <w:b/>
          <w:color w:val="000000"/>
          <w:sz w:val="20"/>
        </w:rPr>
        <w:t>Cash used in operating activities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operating activities in 2025 was $15.5 million consisting primarily of a net loss of $38.9 million, a change in operating assets and liabilities of $4.9 million, partially offset by non-cash stock-based compensation of $31.6 million, and depreciation and amortization of $3.3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in 2024 was $17.0 million consisting primarily of a net loss of $27.5 million, a change in operating assets and liabilities of $9.2 million, partially offset by non-cash stock-based compensation of $24.6 million, and depreciation and amortization of $3.6 million.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Cash used in investing activities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Net cash provided by investing activities in 2025 was $16.9 million, consisting of net maturities of short-term investments of $20.7 million offset by purchases of property and equipment of $3.8 million.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Net cash used in investing activities in 2024 was $99.3 million, consisting of net purchases of short-term investments of $93.9 million and purchases of property and equipment of $5.4 million. </w:t>
      </w:r>
    </w:p>
    <w:p>
      <w:pPr>
        <w:pStyle w:val="TextBody"/>
        <w:bidi w:val="0"/>
        <w:spacing w:before="160" w:after="120"/>
        <w:jc w:val="left"/>
        <w:rPr>
          <w:rFonts w:ascii="Times New Roman" w:hAnsi="Times New Roman"/>
          <w:sz w:val="20"/>
        </w:rPr>
      </w:pPr>
      <w:r>
        <w:rPr>
          <w:rFonts w:ascii="Times New Roman" w:hAnsi="Times New Roman"/>
          <w:b/>
          <w:color w:val="000000"/>
          <w:sz w:val="20"/>
        </w:rPr>
        <w:t>Cash provided by financing activities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Net cash provided by financing activities in 2025 was $1.9 million, consisting primarily of proceeds from issuances of common stock pursuant to equity compensation programs of $3.9 million, partially offset by tax payments for employee stock compensation of $2.0 million.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Net cash provided by financing activities in 2024 was $123.3 million, consisting primarily of proceeds from issuances of common stock from our public offering of $108.1. million, and proceeds from issuance of common stock pursuant to equity compensation programs of $20.8 million, partially offset by tax payments for employee stock compensation of $4.8 million. </w:t>
      </w:r>
    </w:p>
    <w:p>
      <w:pPr>
        <w:pStyle w:val="TextBody"/>
        <w:bidi w:val="0"/>
        <w:spacing w:before="160" w:after="120"/>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consolidated financial statements, which have been prepared in accordance with accounting principles generally accepted in the U.S.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accounting policies we use are critical to the process of making significant judgments and estimates in the preparation of our financial statements and understanding and evaluating our reported financial results. Our significant accounting policies are described in more detail in the “Summary of Accounting Polices” in Note 2 in the Notes to Consolidated Financial Statements included in Part II – Item 8 in this report.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we have identified as critical involve a greater degree of judgment and complexity than our other accounting policies. Accordingly, the policies below are what we believe are the most critical to aid in fully understanding and evaluating our consolidated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is generated from the sale of LALs used in cataract surgery along with a specifically designed machine for delivering light to the eye, the LDD, to adjust the lens post-surgery. Revenue is recognized from sales of products in the U.S. Canada, Europe and Asia to ambulatory surgery centers, hospitals, physician private practices and distributors.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LDD revenue primarily at the point in time at installation and customer acceptance of the LDD is satisfied. LALs are generally held at customer sites on consignment. Revenue is recognized for LALs upon customer notification that the LALs have been implanted in a patient or upon shipment to an international distributor. The timing of revenue recognition for LDD transactions and LAL transactions requires management judgment. Revenue recognition is reasonably likely to have a material impact on our financial condition and results of operations.</w:t>
      </w:r>
    </w:p>
    <w:p>
      <w:pPr>
        <w:pStyle w:val="TextBody"/>
        <w:bidi w:val="0"/>
        <w:spacing w:before="16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1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See the section titled “</w:t>
      </w:r>
      <w:r>
        <w:rPr>
          <w:rFonts w:ascii="Times New Roman" w:hAnsi="Times New Roman"/>
          <w:i/>
          <w:color w:val="000000"/>
          <w:sz w:val="20"/>
        </w:rPr>
        <w:t>Summary of Accounting Policies—Recent Accounting Pronouncements</w:t>
      </w:r>
      <w:r>
        <w:rPr>
          <w:rFonts w:ascii="Times New Roman" w:hAnsi="Times New Roman"/>
          <w:color w:val="000000"/>
          <w:sz w:val="20"/>
        </w:rPr>
        <w:t xml:space="preserve">” in Note 2 to our Consolidated Financial Statements included in Part II - Item 8 in this Annual Report on Form 10-K for additional information.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Supply chain constraints and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 macroeconomic conditions including recent inflationary pressures and the rise in interest rates have created significant uncertainty in the U.S. economy and capital markets, which is expected to continue through 2026 and beyond and could negatively impact our financial results and liquidity. </w:t>
      </w:r>
    </w:p>
    <w:p>
      <w:pPr>
        <w:pStyle w:val="TextBody"/>
        <w:bidi w:val="0"/>
        <w:spacing w:before="160" w:after="283"/>
        <w:jc w:val="left"/>
        <w:rPr>
          <w:rFonts w:ascii="Times New Roman" w:hAnsi="Times New Roman"/>
          <w:b/>
          <w:color w:val="000000"/>
          <w:sz w:val="20"/>
        </w:rPr>
      </w:pPr>
      <w:bookmarkStart w:id="12" w:name="item_7a_quantitative_qualitative_market"/>
      <w:bookmarkEnd w:id="12"/>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is the potential loss arising from the adverse changes in market rates and prices.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Interest Fluctuation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cash and cash equivalents and short-term investments of $228.1 million as of December 31, 2025, which consisted of $208.2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increase in interest rates would not have materially impacted the fair value of our marketable securities as of December 31, 2025 and December 31, 2024. If overall interest rates had increased or decreased by 1.00% (100 basis points), our interest income would not have been materially affected during the years ended December 31, 2025 or December 31, 2024.</w:t>
      </w:r>
    </w:p>
    <w:p>
      <w:pPr>
        <w:pStyle w:val="TextBody"/>
        <w:bidi w:val="0"/>
        <w:spacing w:before="16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have de minimis amounts of revenue and expenses that are denominated in currencies other than U.S. dollars.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item_8_financial_statements"/>
      <w:bookmarkEnd w:id="13"/>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6632" w:type="dxa"/>
        <w:jc w:val="left"/>
        <w:tblInd w:w="0" w:type="dxa"/>
        <w:tblLayout w:type="fixed"/>
        <w:tblCellMar>
          <w:top w:w="28" w:type="dxa"/>
          <w:left w:w="28" w:type="dxa"/>
          <w:bottom w:w="28" w:type="dxa"/>
          <w:right w:w="28" w:type="dxa"/>
        </w:tblCellMar>
      </w:tblPr>
      <w:tblGrid>
        <w:gridCol w:w="6271"/>
        <w:gridCol w:w="361"/>
      </w:tblGrid>
      <w:tr>
        <w:trPr/>
        <w:tc>
          <w:tcPr>
            <w:tcW w:w="62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af">
              <w:r>
                <w:rPr>
                  <w:rStyle w:val="InternetLink"/>
                  <w:rFonts w:ascii="Times New Roman" w:hAnsi="Times New Roman"/>
                  <w:color w:val="0000FF"/>
                  <w:sz w:val="20"/>
                  <w:u w:val="single"/>
                </w:rPr>
                <w:t>Report of Independent Registered Public Accounting Firm (PCAOB ID: 42)</w:t>
              </w:r>
            </w:hyperlink>
            <w:hyperlink w:anchor="report_of_independent_registered_af">
              <w:r>
                <w:rPr>
                  <w:rStyle w:val="InternetLink"/>
                  <w:rFonts w:ascii="Times New Roman" w:hAnsi="Times New Roman"/>
                  <w:color w:val="0000FF"/>
                  <w:sz w:val="20"/>
                </w:rPr>
                <w:t xml:space="preserve"> </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sheet">
              <w:r>
                <w:rPr>
                  <w:rStyle w:val="InternetLink"/>
                  <w:rFonts w:ascii="Times New Roman" w:hAnsi="Times New Roman"/>
                  <w:color w:val="0000FF"/>
                  <w:sz w:val="20"/>
                  <w:u w:val="single"/>
                </w:rPr>
                <w:t>Consolidated Balance Sheets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ment_of_operations">
              <w:r>
                <w:rPr>
                  <w:rStyle w:val="InternetLink"/>
                  <w:rFonts w:ascii="Times New Roman" w:hAnsi="Times New Roman"/>
                  <w:color w:val="0000FF"/>
                  <w:sz w:val="20"/>
                  <w:u w:val="single"/>
                </w:rPr>
                <w:t>Consolidated Statements of Operations and Comprehensive Loss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consolidated">
              <w:r>
                <w:rPr>
                  <w:rStyle w:val="InternetLink"/>
                  <w:rFonts w:ascii="Times New Roman" w:hAnsi="Times New Roman"/>
                  <w:color w:val="0000FF"/>
                  <w:sz w:val="20"/>
                  <w:u w:val="single"/>
                </w:rPr>
                <w:t>Consolidated Statements of Stockholders' Equity</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consolidated">
              <w:r>
                <w:rPr>
                  <w:rStyle w:val="InternetLink"/>
                  <w:rFonts w:ascii="Times New Roman" w:hAnsi="Times New Roman"/>
                  <w:color w:val="0000FF"/>
                  <w:sz w:val="20"/>
                  <w:u w:val="single"/>
                </w:rPr>
                <w:t>Consolidated Statements of Cash Flows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14" w:name="report_of_independent_registered_af"/>
      <w:bookmarkEnd w:id="14"/>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RxSight, Inc.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RxSight, Inc. (the Company) as of December 31, 2025 and 2024, the related consolidated statements of operations and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tbl>
      <w:tblPr>
        <w:tblW w:w="10205" w:type="dxa"/>
        <w:jc w:val="left"/>
        <w:tblInd w:w="0" w:type="dxa"/>
        <w:tblLayout w:type="fixed"/>
        <w:tblCellMar>
          <w:top w:w="28" w:type="dxa"/>
          <w:left w:w="28" w:type="dxa"/>
          <w:bottom w:w="28" w:type="dxa"/>
          <w:right w:w="28" w:type="dxa"/>
        </w:tblCellMar>
      </w:tblPr>
      <w:tblGrid>
        <w:gridCol w:w="1441"/>
        <w:gridCol w:w="8764"/>
      </w:tblGrid>
      <w:tr>
        <w:trPr/>
        <w:tc>
          <w:tcPr>
            <w:tcW w:w="1441" w:type="dxa"/>
            <w:tcBorders/>
            <w:vAlign w:val="center"/>
          </w:tcPr>
          <w:p>
            <w:pPr>
              <w:pStyle w:val="TableContents"/>
              <w:bidi w:val="0"/>
              <w:spacing w:before="0" w:after="283"/>
              <w:jc w:val="left"/>
              <w:rPr>
                <w:sz w:val="4"/>
                <w:szCs w:val="4"/>
              </w:rPr>
            </w:pPr>
            <w:r>
              <w:rPr>
                <w:sz w:val="4"/>
                <w:szCs w:val="4"/>
              </w:rPr>
            </w:r>
          </w:p>
        </w:tc>
        <w:tc>
          <w:tcPr>
            <w:tcW w:w="8764" w:type="dxa"/>
            <w:tcBorders/>
            <w:vAlign w:val="center"/>
          </w:tcPr>
          <w:p>
            <w:pPr>
              <w:pStyle w:val="TableContents"/>
              <w:bidi w:val="0"/>
              <w:spacing w:before="0" w:after="283"/>
              <w:jc w:val="left"/>
              <w:rPr>
                <w:sz w:val="4"/>
                <w:szCs w:val="4"/>
              </w:rPr>
            </w:pPr>
            <w:r>
              <w:rPr>
                <w:sz w:val="4"/>
                <w:szCs w:val="4"/>
              </w:rPr>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8764" w:type="dxa"/>
            <w:tcBorders/>
            <w:tcMar>
              <w:top w:w="0" w:type="dxa"/>
              <w:left w:w="0" w:type="dxa"/>
              <w:bottom w:w="0" w:type="dxa"/>
              <w:right w:w="0" w:type="dxa"/>
            </w:tcMar>
            <w:vAlign w:val="center"/>
          </w:tcPr>
          <w:p>
            <w:pPr>
              <w:pStyle w:val="TableContents"/>
              <w:bidi w:val="0"/>
              <w:spacing w:before="120" w:after="60"/>
              <w:jc w:val="left"/>
              <w:rPr>
                <w:rFonts w:ascii="Times New Roman" w:hAnsi="Times New Roman"/>
                <w:b/>
                <w:color w:val="000000"/>
                <w:sz w:val="20"/>
              </w:rPr>
            </w:pPr>
            <w:r>
              <w:rPr>
                <w:rFonts w:ascii="Times New Roman" w:hAnsi="Times New Roman"/>
                <w:b/>
                <w:color w:val="000000"/>
                <w:sz w:val="20"/>
              </w:rPr>
              <w:t>Revenue Recognition for LDD Capital Asset Sales</w:t>
            </w:r>
          </w:p>
        </w:tc>
      </w:tr>
      <w:tr>
        <w:trPr/>
        <w:tc>
          <w:tcPr>
            <w:tcW w:w="14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Description of the Matter</w:t>
            </w:r>
          </w:p>
          <w:p>
            <w:pPr>
              <w:pStyle w:val="TableContents"/>
              <w:bidi w:val="0"/>
              <w:spacing w:before="0" w:after="283"/>
              <w:jc w:val="left"/>
              <w:rPr/>
            </w:pPr>
            <w:r>
              <w:rPr/>
              <w:t> </w:t>
            </w:r>
          </w:p>
        </w:tc>
        <w:tc>
          <w:tcPr>
            <w:tcW w:w="8764"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As discussed in Note 2 of the consolidated financial statements, the Company derives revenue from the sale of Light Delivery Devices (LDD) and Light Adjustable Lenses. Customers are primarily comprised of ambulatory surgery centers, hospitals and physician private practices. The Company recognizes LDD revenue as performance obligations are satisfied primarily at the point in time when the installation and customer acceptance of the LDD occurs. Additional audit effort was required to evaluate the timing of revenue recognition for LDD transactions and whether the performance obligation related to the installation and customer acceptance of the LDD was satisfied.</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How We Addressed the Matter in Our Audit</w:t>
            </w:r>
            <w:r>
              <w:rPr>
                <w:rFonts w:ascii="Times New Roman" w:hAnsi="Times New Roman"/>
                <w:color w:val="000000"/>
                <w:sz w:val="20"/>
              </w:rPr>
              <w:t xml:space="preserve"> </w:t>
            </w:r>
          </w:p>
        </w:tc>
        <w:tc>
          <w:tcPr>
            <w:tcW w:w="876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We obtained an understanding, evaluated the design and tested the operating effectiveness of controls over the Company’s revenue recognition process. For example, we tested controls over management’s review of the contract and evidence of installation and customer acceptance. </w:t>
            </w:r>
          </w:p>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To test the timing of revenue recognized from the sale of LDD assets during the year, our audit procedures, among others, included inspecting contracts, as well as documentation for a sample of transactions to evidence LDD installation and customer acceptance.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2015.</w:t>
      </w:r>
    </w:p>
    <w:p>
      <w:pPr>
        <w:pStyle w:val="TextBody"/>
        <w:bidi w:val="0"/>
        <w:jc w:val="left"/>
        <w:rPr>
          <w:rFonts w:ascii="Times New Roman" w:hAnsi="Times New Roman"/>
          <w:color w:val="000000"/>
          <w:sz w:val="20"/>
        </w:rPr>
      </w:pPr>
      <w:r>
        <w:rPr>
          <w:rFonts w:ascii="Times New Roman" w:hAnsi="Times New Roman"/>
          <w:color w:val="000000"/>
          <w:sz w:val="20"/>
        </w:rPr>
        <w:t>Irvine, California</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consolidated_balancesheet"/>
      <w:bookmarkEnd w:id="15"/>
      <w:r>
        <w:rPr>
          <w:rFonts w:ascii="Times New Roman" w:hAnsi="Times New Roman"/>
          <w:b/>
          <w:color w:val="000000"/>
          <w:sz w:val="20"/>
        </w:rPr>
        <w:t>RxSight, Inc.</w:t>
        <w:b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200" w:after="283"/>
        <w:jc w:val="center"/>
        <w:rPr/>
      </w:pPr>
      <w:r>
        <w:rPr/>
        <w:t> </w:t>
      </w:r>
    </w:p>
    <w:tbl>
      <w:tblPr>
        <w:tblW w:w="9340" w:type="dxa"/>
        <w:jc w:val="left"/>
        <w:tblInd w:w="0" w:type="dxa"/>
        <w:tblLayout w:type="fixed"/>
        <w:tblCellMar>
          <w:top w:w="28" w:type="dxa"/>
          <w:left w:w="28" w:type="dxa"/>
          <w:bottom w:w="28" w:type="dxa"/>
          <w:right w:w="28" w:type="dxa"/>
        </w:tblCellMar>
      </w:tblPr>
      <w:tblGrid>
        <w:gridCol w:w="6081"/>
        <w:gridCol w:w="146"/>
        <w:gridCol w:w="226"/>
        <w:gridCol w:w="869"/>
        <w:gridCol w:w="166"/>
        <w:gridCol w:w="146"/>
        <w:gridCol w:w="226"/>
        <w:gridCol w:w="869"/>
        <w:gridCol w:w="611"/>
      </w:tblGrid>
      <w:tr>
        <w:trPr/>
        <w:tc>
          <w:tcPr>
            <w:tcW w:w="6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293,823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leases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900,000,000</w:t>
            </w:r>
            <w:r>
              <w:rPr>
                <w:rFonts w:ascii="Times New Roman" w:hAnsi="Times New Roman"/>
                <w:color w:val="000000"/>
                <w:sz w:val="20"/>
              </w:rPr>
              <w:t> </w:t>
            </w:r>
            <w:r>
              <w:rPr>
                <w:rFonts w:ascii="Times New Roman" w:hAnsi="Times New Roman"/>
                <w:color w:val="000000"/>
                <w:sz w:val="16"/>
              </w:rPr>
              <w:t>shares authorized,</w:t>
              <w:br/>
              <w:t>  41,242,005</w:t>
            </w:r>
            <w:r>
              <w:rPr>
                <w:rFonts w:ascii="Times New Roman" w:hAnsi="Times New Roman"/>
                <w:color w:val="000000"/>
                <w:sz w:val="20"/>
              </w:rPr>
              <w:t> </w:t>
            </w:r>
            <w:r>
              <w:rPr>
                <w:rFonts w:ascii="Times New Roman" w:hAnsi="Times New Roman"/>
                <w:color w:val="000000"/>
                <w:sz w:val="16"/>
              </w:rPr>
              <w:t>shares issued and outstanding as of December 31, 2025 and</w:t>
              <w:br/>
              <w:t>  40,428,220</w:t>
            </w:r>
            <w:r>
              <w:rPr>
                <w:rFonts w:ascii="Times New Roman" w:hAnsi="Times New Roman"/>
                <w:color w:val="000000"/>
                <w:sz w:val="20"/>
              </w:rPr>
              <w:t> </w:t>
            </w:r>
            <w:r>
              <w:rPr>
                <w:rFonts w:ascii="Times New Roman" w:hAnsi="Times New Roman"/>
                <w:color w:val="000000"/>
                <w:sz w:val="16"/>
              </w:rPr>
              <w:t>shares issued and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shares issued</w:t>
              <w:br/>
              <w:t>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903,127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281,238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consolidated_statment_of_operations"/>
      <w:bookmarkEnd w:id="16"/>
      <w:r>
        <w:rPr>
          <w:rFonts w:ascii="Times New Roman" w:hAnsi="Times New Roman"/>
          <w:b/>
          <w:color w:val="000000"/>
          <w:sz w:val="20"/>
        </w:rPr>
        <w:t xml:space="preserve">RxSight, Inc. </w:t>
        <w:br/>
        <w:t>CONSOLIDATED STATEMENTS OF OPERATIONS AND COMPREHENSIVE LOSS</w:t>
      </w:r>
    </w:p>
    <w:p>
      <w:pPr>
        <w:pStyle w:val="TextBody"/>
        <w:pBdr>
          <w:bottom w:val="single" w:sz="12" w:space="1" w:color="000000"/>
        </w:pBdr>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p>
      <w:pPr>
        <w:pStyle w:val="TextBody"/>
        <w:bidi w:val="0"/>
        <w:jc w:val="center"/>
        <w:rPr/>
      </w:pPr>
      <w:r>
        <w:rPr/>
        <w:t> </w:t>
      </w:r>
    </w:p>
    <w:tbl>
      <w:tblPr>
        <w:tblW w:w="9407" w:type="dxa"/>
        <w:jc w:val="left"/>
        <w:tblInd w:w="0" w:type="dxa"/>
        <w:tblLayout w:type="fixed"/>
        <w:tblCellMar>
          <w:top w:w="28" w:type="dxa"/>
          <w:left w:w="28" w:type="dxa"/>
          <w:bottom w:w="28" w:type="dxa"/>
          <w:right w:w="28" w:type="dxa"/>
        </w:tblCellMar>
      </w:tblPr>
      <w:tblGrid>
        <w:gridCol w:w="4656"/>
        <w:gridCol w:w="196"/>
        <w:gridCol w:w="916"/>
        <w:gridCol w:w="166"/>
        <w:gridCol w:w="146"/>
        <w:gridCol w:w="196"/>
        <w:gridCol w:w="916"/>
        <w:gridCol w:w="166"/>
        <w:gridCol w:w="146"/>
        <w:gridCol w:w="196"/>
        <w:gridCol w:w="916"/>
        <w:gridCol w:w="791"/>
      </w:tblGrid>
      <w:tr>
        <w:trPr/>
        <w:tc>
          <w:tcPr>
            <w:tcW w:w="4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89,077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sales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35,312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Gross profit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53,765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Selling, general and administrative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74,799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Research and development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29,051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and other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extinguishment of term loan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income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Unrealized (loss) gain on short-term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Foreign currency translation gain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comprehensive (loss) income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(48,518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per share: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Basic and 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Weighted-average shares used in computing net loss per share: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Attributable to common stock, basic and 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40,850,739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38,867,726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34,455,111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RxSight, Inc.</w:t>
      </w:r>
    </w:p>
    <w:p>
      <w:pPr>
        <w:pStyle w:val="TextBody"/>
        <w:bidi w:val="0"/>
        <w:jc w:val="center"/>
        <w:rPr>
          <w:rFonts w:ascii="Times New Roman" w:hAnsi="Times New Roman"/>
          <w:b/>
          <w:color w:val="000000"/>
          <w:sz w:val="19"/>
        </w:rPr>
      </w:pPr>
      <w:bookmarkStart w:id="17" w:name="stockholders_equity_consolidated"/>
      <w:bookmarkEnd w:id="17"/>
      <w:r>
        <w:rPr>
          <w:rFonts w:ascii="Times New Roman" w:hAnsi="Times New Roman"/>
          <w:b/>
          <w:color w:val="000000"/>
          <w:sz w:val="19"/>
        </w:rPr>
        <w:t>CONSOLIDATED STATEMENTS OF STOCKHOLDERS’ EQUITY</w:t>
      </w:r>
    </w:p>
    <w:p>
      <w:pPr>
        <w:pStyle w:val="TextBody"/>
        <w:bidi w:val="0"/>
        <w:spacing w:before="0" w:after="120"/>
        <w:jc w:val="center"/>
        <w:rPr>
          <w:rFonts w:ascii="Times New Roman" w:hAnsi="Times New Roman"/>
          <w:b/>
          <w:color w:val="000000"/>
          <w:sz w:val="19"/>
        </w:rPr>
      </w:pPr>
      <w:r>
        <w:rPr>
          <w:rFonts w:ascii="Times New Roman" w:hAnsi="Times New Roman"/>
          <w:b/>
          <w:color w:val="000000"/>
          <w:sz w:val="19"/>
        </w:rPr>
        <w:t>(In thousands, except number of shares)</w:t>
      </w:r>
    </w:p>
    <w:p>
      <w:pPr>
        <w:pStyle w:val="TextBody"/>
        <w:pBdr>
          <w:bottom w:val="single" w:sz="12" w:space="1" w:color="000000"/>
        </w:pBdr>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1690"/>
        <w:gridCol w:w="146"/>
        <w:gridCol w:w="146"/>
        <w:gridCol w:w="916"/>
        <w:gridCol w:w="166"/>
        <w:gridCol w:w="146"/>
        <w:gridCol w:w="271"/>
        <w:gridCol w:w="480"/>
        <w:gridCol w:w="146"/>
        <w:gridCol w:w="146"/>
        <w:gridCol w:w="225"/>
        <w:gridCol w:w="797"/>
        <w:gridCol w:w="166"/>
        <w:gridCol w:w="146"/>
        <w:gridCol w:w="448"/>
        <w:gridCol w:w="999"/>
        <w:gridCol w:w="166"/>
        <w:gridCol w:w="146"/>
        <w:gridCol w:w="233"/>
        <w:gridCol w:w="895"/>
        <w:gridCol w:w="166"/>
        <w:gridCol w:w="146"/>
        <w:gridCol w:w="265"/>
        <w:gridCol w:w="938"/>
        <w:gridCol w:w="216"/>
      </w:tblGrid>
      <w:tr>
        <w:trPr/>
        <w:tc>
          <w:tcPr>
            <w:tcW w:w="1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Accumulated </w:t>
              <w:b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 equity</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28,268,389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89,902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public offering, net of underwriting discounts, commissions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for at-the-market offerings, </w:t>
              <w:br/>
              <w:t>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41,582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36,139,513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public offering, net of underwriting discounts, commissions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107,477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(27,455</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40,428,220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281,238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41,242,005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(661,039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275,683</w:t>
            </w:r>
          </w:p>
        </w:tc>
        <w:tc>
          <w:tcPr>
            <w:tcW w:w="2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p>
      <w:pPr>
        <w:pStyle w:val="TextBody"/>
        <w:pBdr>
          <w:bottom w:val="single" w:sz="12" w:space="1" w:color="000000"/>
        </w:pBdr>
        <w:bidi w:val="0"/>
        <w:jc w:val="center"/>
        <w:rPr/>
      </w:pP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sz w:val="20"/>
        </w:rPr>
      </w:pPr>
      <w:bookmarkStart w:id="18" w:name="cash_flows_consolidated"/>
      <w:bookmarkEnd w:id="18"/>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pBdr>
          <w:bottom w:val="single" w:sz="12"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(In thousands)</w:t>
      </w:r>
    </w:p>
    <w:tbl>
      <w:tblPr>
        <w:tblW w:w="9798" w:type="dxa"/>
        <w:jc w:val="left"/>
        <w:tblInd w:w="0" w:type="dxa"/>
        <w:tblLayout w:type="fixed"/>
        <w:tblCellMar>
          <w:top w:w="28" w:type="dxa"/>
          <w:left w:w="28" w:type="dxa"/>
          <w:bottom w:w="28" w:type="dxa"/>
          <w:right w:w="28" w:type="dxa"/>
        </w:tblCellMar>
      </w:tblPr>
      <w:tblGrid>
        <w:gridCol w:w="5781"/>
        <w:gridCol w:w="146"/>
        <w:gridCol w:w="181"/>
        <w:gridCol w:w="646"/>
        <w:gridCol w:w="151"/>
        <w:gridCol w:w="146"/>
        <w:gridCol w:w="181"/>
        <w:gridCol w:w="646"/>
        <w:gridCol w:w="151"/>
        <w:gridCol w:w="146"/>
        <w:gridCol w:w="181"/>
        <w:gridCol w:w="646"/>
        <w:gridCol w:w="796"/>
      </w:tblGrid>
      <w:tr>
        <w:trPr/>
        <w:tc>
          <w:tcPr>
            <w:tcW w:w="5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(48,608</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4,078</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debt issuance costs and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1,769</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(6,122</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15,746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(9,325</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(2,749</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Prepaid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2,314</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(41,593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Maturity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255,000</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(239,281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(336,871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(272,315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(99,311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(22,129</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from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54,050</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from at-the-market offerings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42,434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9,473</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for employee taxes related to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Principal payments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(2,235</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123,319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61,524</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Effect of foreign exchange rate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cash equivalents and restricted cash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12,595</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10,403</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for interest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Right-of-use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Lease obligations recorded for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 xml:space="preserve">Acquisition of property and equipment included in accounts payable and accrued expenses </w:t>
              <w:br/>
              <w:t>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offering and financing costs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Reclassification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spacing w:before="0" w:after="200"/>
        <w:jc w:val="center"/>
        <w:rPr>
          <w:rFonts w:ascii="Times New Roman" w:hAnsi="Times New Roman"/>
          <w:b/>
          <w:color w:val="000000"/>
          <w:sz w:val="20"/>
        </w:rPr>
      </w:pPr>
      <w:bookmarkStart w:id="19" w:name="notes_to_consolidated_financial_statemen"/>
      <w:bookmarkEnd w:id="19"/>
      <w:r>
        <w:rPr>
          <w:rFonts w:ascii="Times New Roman" w:hAnsi="Times New Roman"/>
          <w:b/>
          <w:color w:val="000000"/>
          <w:sz w:val="20"/>
        </w:rPr>
        <w:t>NOTES TO CONSOLIDATED FINANCIAL STATEMENTS</w:t>
      </w:r>
    </w:p>
    <w:p>
      <w:pPr>
        <w:pStyle w:val="TextBody"/>
        <w:bidi w:val="0"/>
        <w:spacing w:before="40" w:after="200"/>
        <w:jc w:val="left"/>
        <w:rPr>
          <w:rFonts w:ascii="Times New Roman" w:hAnsi="Times New Roman"/>
          <w:b/>
          <w:color w:val="000000"/>
          <w:sz w:val="20"/>
        </w:rPr>
      </w:pPr>
      <w:r>
        <w:rPr>
          <w:rFonts w:ascii="Times New Roman" w:hAnsi="Times New Roman"/>
          <w:b/>
          <w:color w:val="000000"/>
          <w:sz w:val="20"/>
        </w:rPr>
        <w:t>Note 1 – Organization and Basis of Presentation</w:t>
      </w:r>
    </w:p>
    <w:p>
      <w:pPr>
        <w:pStyle w:val="TextBody"/>
        <w:bidi w:val="0"/>
        <w:jc w:val="left"/>
        <w:rPr>
          <w:rFonts w:ascii="Times New Roman" w:hAnsi="Times New Roman"/>
          <w:i/>
          <w:color w:val="000000"/>
          <w:sz w:val="20"/>
        </w:rPr>
      </w:pPr>
      <w:r>
        <w:rPr>
          <w:rFonts w:ascii="Times New Roman" w:hAnsi="Times New Roman"/>
          <w:i/>
          <w:color w:val="000000"/>
          <w:sz w:val="20"/>
        </w:rPr>
        <w:t>Description of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RxSight</w:t>
      </w:r>
      <w:r>
        <w:rPr>
          <w:rFonts w:ascii="Times New Roman" w:hAnsi="Times New Roman"/>
          <w:color w:val="000000"/>
          <w:sz w:val="13"/>
        </w:rPr>
        <w:t>®</w:t>
      </w:r>
      <w:r>
        <w:rPr>
          <w:rFonts w:ascii="Times New Roman" w:hAnsi="Times New Roman"/>
          <w:color w:val="000000"/>
          <w:sz w:val="20"/>
        </w:rPr>
        <w:t>, Inc. (the “Company”) is a commercial stage technology company dedicated to providing high-quality customized vision to patients following cataract surgery. The Company’s proprietary RxSight</w:t>
      </w:r>
      <w:r>
        <w:rPr>
          <w:rFonts w:ascii="Times New Roman" w:hAnsi="Times New Roman"/>
          <w:color w:val="000000"/>
          <w:sz w:val="13"/>
        </w:rPr>
        <w:t>®</w:t>
      </w:r>
      <w:r>
        <w:rPr>
          <w:rFonts w:ascii="Times New Roman" w:hAnsi="Times New Roman"/>
          <w:color w:val="000000"/>
          <w:sz w:val="20"/>
        </w:rPr>
        <w:t xml:space="preserve"> Light Adjustable Lens system (“RxSight system”) is the first and only commercially available premium cataract technology that enables doctors to customize and optimize visual acuity for patients after surgery. The RxSight system is comprised of the Company's RxSight Light Adjustable Lens</w:t>
      </w:r>
      <w:r>
        <w:rPr>
          <w:rFonts w:ascii="Times New Roman" w:hAnsi="Times New Roman"/>
          <w:color w:val="000000"/>
          <w:sz w:val="13"/>
        </w:rPr>
        <w:t>®</w:t>
      </w:r>
      <w:r>
        <w:rPr>
          <w:rFonts w:ascii="Times New Roman" w:hAnsi="Times New Roman"/>
          <w:color w:val="000000"/>
          <w:sz w:val="20"/>
        </w:rPr>
        <w:t xml:space="preserve"> (LAL</w:t>
      </w:r>
      <w:r>
        <w:rPr>
          <w:rFonts w:ascii="Times New Roman" w:hAnsi="Times New Roman"/>
          <w:color w:val="000000"/>
          <w:sz w:val="13"/>
        </w:rPr>
        <w:t>®</w:t>
      </w:r>
      <w:r>
        <w:rPr>
          <w:rFonts w:ascii="Times New Roman" w:hAnsi="Times New Roman"/>
          <w:color w:val="000000"/>
          <w:sz w:val="20"/>
        </w:rPr>
        <w:t>/LAL+</w:t>
      </w:r>
      <w:r>
        <w:rPr>
          <w:rFonts w:ascii="Times New Roman" w:hAnsi="Times New Roman"/>
          <w:color w:val="000000"/>
          <w:sz w:val="13"/>
        </w:rPr>
        <w:t>®</w:t>
      </w:r>
      <w:r>
        <w:rPr>
          <w:rFonts w:ascii="Times New Roman" w:hAnsi="Times New Roman"/>
          <w:color w:val="000000"/>
          <w:sz w:val="20"/>
        </w:rPr>
        <w:t xml:space="preserve">,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 The Company's products are approved by the United States (“U.S.”) Food and Drug Administration (“FDA”) primarily for sale in the U.S. and have regulatory approval in several foreign countries. The Company began marketing its products in 2019.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is a Delaware corporation headquartered in Aliso Viejo, California with two wholly owned subsidiaries located in Amsterdam, Netherlands (“RxSight, B.V.”) and Hong Kong (“RxSight, Limited”). RxSight, B.V.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 </w:t>
      </w:r>
    </w:p>
    <w:p>
      <w:pPr>
        <w:pStyle w:val="TextBody"/>
        <w:bidi w:val="0"/>
        <w:spacing w:before="0" w:after="160"/>
        <w:jc w:val="left"/>
        <w:rPr>
          <w:rFonts w:ascii="Times New Roman" w:hAnsi="Times New Roman"/>
          <w:sz w:val="20"/>
        </w:rPr>
      </w:pPr>
      <w:r>
        <w:rPr>
          <w:rFonts w:ascii="Times New Roman" w:hAnsi="Times New Roman"/>
          <w:i/>
          <w:color w:val="000000"/>
          <w:sz w:val="20"/>
        </w:rPr>
        <w:t>Basis of Presentation and Principles of Consolidation</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of America (“GAAP”) and include the accounts of RxSight, Inc. and its wholly-owned subsidiaries, RxSight, B.V., RxSight Limited, and RxSight GmbH. The Company translates the financial statements of its foreign subsidiaries using end-of-period exchange rates for assets and liabilities and average exchange rates during each reporting period for results of operations. All significant inter-company balances and transactions have been eliminated in consolidation.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i/>
          <w:color w:val="000000"/>
          <w:sz w:val="20"/>
        </w:rPr>
        <w:t>Operating Segments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determined that it operates and manages its business (including its non-U.S. subsidiaries) in one reportable segment: the research and development, manufacture and sale of light adjustable lenses and related capital equipment. 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Asset information provided to the CODM is consistent with those reported on the Consolidated Balance Sheets and are primarily attributable to the U.S. The key measure of segment profit and loss that the CODM uses to allocate resources and assess performance is the Company’s consolidated net loss. The table below shows a reconciliation of the Company’s net loss, including the significant expense categories regularly provided to and reviewed by the CODM, as computed under U.S. GAAP to the Company’s total consolidated net loss in the Consolidated Statements of Operations:</w:t>
      </w:r>
    </w:p>
    <w:tbl>
      <w:tblPr>
        <w:tblW w:w="7147" w:type="dxa"/>
        <w:jc w:val="left"/>
        <w:tblInd w:w="0" w:type="dxa"/>
        <w:tblLayout w:type="fixed"/>
        <w:tblCellMar>
          <w:top w:w="28" w:type="dxa"/>
          <w:left w:w="28" w:type="dxa"/>
          <w:bottom w:w="28" w:type="dxa"/>
          <w:right w:w="28" w:type="dxa"/>
        </w:tblCellMar>
      </w:tblPr>
      <w:tblGrid>
        <w:gridCol w:w="3071"/>
        <w:gridCol w:w="196"/>
        <w:gridCol w:w="691"/>
        <w:gridCol w:w="166"/>
        <w:gridCol w:w="146"/>
        <w:gridCol w:w="196"/>
        <w:gridCol w:w="691"/>
        <w:gridCol w:w="166"/>
        <w:gridCol w:w="146"/>
        <w:gridCol w:w="196"/>
        <w:gridCol w:w="691"/>
        <w:gridCol w:w="791"/>
      </w:tblGrid>
      <w:tr>
        <w:trPr/>
        <w:tc>
          <w:tcPr>
            <w:tcW w:w="3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89,077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sales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35,312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Gross profit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53,765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Commercial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21,371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Research and development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Clinical and regulatory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and other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extinguishment of term loan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(48,588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Public Offerings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May 8, 2024, the Company entered into an underwriting agreement with BofA Securities, Inc., in which the Company agreed to issue and sell 1,785,714 shares of the Company's common stock in a public offering, pursuant to the 2024 Shelf Registration Statement (as defined below). The shares of common stock were sold at a price to the public of $56.00 per share. Under the terms of the underwriting agreement, the Company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The Company received net proceeds of $107.5 million from the public offering, after deducting underwriters' discounts and commissions of $6.9 million and other offering expenses of $0.6 million.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February 7, 2023, the Company entered into an underwriting agreement with BofA Securities, Inc., in which the Company agreed to issue and sell 4,000,000 shares of the Company's common stock in a public offering, pursuant to the 2022 Shelf Registration Statement (as defined below). The shares of common stock were sold at a price to the public of $12.50 per share. Under the terms of the underwriting agreement, the Company also granted the underwriters an option exercisable for 30 days from the date of the underwriting agreement to purchase up to an additional 600,000 shares of common stock on the same terms and conditions. The underwriters' option was exercised in full on February 10, 2023, and closed on February 14, 2023. The Company received net proceeds of approximately $53.6 million from the public offering, after deducting underwriters' discounts and commissions of $3.5 million and offering expenses of $0.5 million.</w:t>
      </w:r>
    </w:p>
    <w:p>
      <w:pPr>
        <w:pStyle w:val="TextBody"/>
        <w:bidi w:val="0"/>
        <w:spacing w:before="0" w:after="120"/>
        <w:jc w:val="left"/>
        <w:rPr>
          <w:rFonts w:ascii="Times New Roman" w:hAnsi="Times New Roman"/>
          <w:sz w:val="20"/>
        </w:rPr>
      </w:pPr>
      <w:r>
        <w:rPr>
          <w:rFonts w:ascii="Times New Roman" w:hAnsi="Times New Roman"/>
          <w:i/>
          <w:color w:val="000000"/>
          <w:sz w:val="20"/>
        </w:rPr>
        <w:t>2024 Shelf Registration Statement</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May 8, 2024, the Company filed with the U.S. Securities and Exchange Commission (“SEC”) an automatic shelf registration statement on Form S-3 (the “2024 Shelf Registration Statement”), which became effective upon filing. The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Shelf Registration Statement is effective for three years and permits the Company to sell, from time to time, an unspecified number of common stock, preferred stock, debt securities, warrants, and/or units. In February 2026, the Company filed an amendment to its shelf registration statement to disclose the loss of its well-known seasoned issuer status.</w:t>
      </w:r>
    </w:p>
    <w:p>
      <w:pPr>
        <w:pStyle w:val="TextBody"/>
        <w:bidi w:val="0"/>
        <w:spacing w:before="0" w:after="120"/>
        <w:jc w:val="left"/>
        <w:rPr>
          <w:rFonts w:ascii="Times New Roman" w:hAnsi="Times New Roman"/>
          <w:sz w:val="20"/>
        </w:rPr>
      </w:pPr>
      <w:r>
        <w:rPr>
          <w:rFonts w:ascii="Times New Roman" w:hAnsi="Times New Roman"/>
          <w:i/>
          <w:color w:val="000000"/>
          <w:sz w:val="20"/>
        </w:rPr>
        <w:t>2022 Shelf Registration Statement</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August 8, 2022, the Company filed with the SEC a $200.0 million shelf registration statement on Form S-3 (the “2022 Shelf Registration Statement”), which became effective on August 12, 2022. The 2022 Shelf Registration Statement is effective for three years and permits the Company to sell, from time to time, up to $200.0 million in aggregate value of common stock, preferred stock, debt securities, warrants, and/or units. At the time of filing the 2022 Shelf Registration Statement, the Company also filed a prospectus supplement to sell up to an aggregate value of $50.0 million dollars of common stock through an “at-the-market” (“ATM”) offering.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Through the ATM offering, a total of 2,617,964 shares of the Company's common stock, for total net proceeds of $47.5 million, were issued and sold, which completed the entire $50.0 million authorized under the ATM offering.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December 31, 2025 and 2024 the Company has cash, cash equivalents and short-term investments of $228.1 million and $237.2 million, respectively.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began generating revenue from its principal operations in 2019. The Company has a limited operating history, and the revenue and income potential of the Company’s business and market continue to develop. The Company has experienced recurring net losses and negative cash flows from operating activities since its inception. For the years ended December 31, 2025, 2024 and 2023, the Company incurred losses from operations of $48.2 million, $36.9 million and $50.1 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near future. Successful transition to attaining profitable operations is dependent upon gaining market acceptance of the Company’s products and achieving a level of revenues adequate to support the Company’s cost structure.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accompanying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consolidated financial statements. The Company plans to continue to fund its losses from operations using its cash, cash equivalents and short-term investments as of December 31, 2025 and meet its future capital funding needs, as needed, through equity or debt financings, other third-party funding, collaborations, strategic alliances and licensing arrangements or a combination of these.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pStyle w:val="TextBody"/>
        <w:bidi w:val="0"/>
        <w:spacing w:before="80" w:after="283"/>
        <w:jc w:val="left"/>
        <w:rPr>
          <w:rFonts w:ascii="Times New Roman" w:hAnsi="Times New Roman"/>
          <w:sz w:val="20"/>
        </w:rPr>
      </w:pPr>
      <w:r>
        <w:rPr>
          <w:rFonts w:ascii="Times New Roman" w:hAnsi="Times New Roman"/>
          <w:b/>
          <w:color w:val="000000"/>
          <w:sz w:val="20"/>
        </w:rPr>
        <w:t>Note 2 –</w:t>
      </w:r>
      <w:r>
        <w:rPr>
          <w:rFonts w:ascii="Times New Roman" w:hAnsi="Times New Roman"/>
          <w:color w:val="000000"/>
          <w:sz w:val="20"/>
        </w:rPr>
        <w:t xml:space="preserve"> </w:t>
      </w:r>
      <w:r>
        <w:rPr>
          <w:rFonts w:ascii="Times New Roman" w:hAnsi="Times New Roman"/>
          <w:b/>
          <w:color w:val="000000"/>
          <w:sz w:val="20"/>
        </w:rPr>
        <w:t>Summary of Accounting Policies</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informed estimates, judgments and assumptions that affect the reported amounts in the consolidated financial statements and disclosures in the accompanying notes as of the date of the accompanying consolidated financial statements. On an on-going basis, management evaluates the most critical estimates and assumptions for continued reasonableness. These estimates and assumptions involve judgments with respect to numerous factors that are difficult to predict. Actual results may differ materially from the estimates used in the preparation of the accompanying consolidated financial statements under different assumptions or conditions.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consolidated financial statements as of December 31, 2025 and 2024, and for the years ended December 31, 2025, 2024 and 2023, reflect the Company’s estimates of the impact of the macroeconomic environment, including the impact of inflation, varying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date of this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Equivalents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Cash equivalents consist of investments in money market accounts. The Company considers all highly liquid investments with original maturities of three months or less at the date of purchase that can be liquidated without prior notice or penalty to be cash equivalents. Cash equivalents are recorded at face value or cost, which approximates fair market value.</w:t>
      </w:r>
    </w:p>
    <w:p>
      <w:pPr>
        <w:pStyle w:val="TextBody"/>
        <w:bidi w:val="0"/>
        <w:spacing w:before="0" w:after="120"/>
        <w:jc w:val="left"/>
        <w:rPr>
          <w:rFonts w:ascii="Times New Roman" w:hAnsi="Times New Roman"/>
          <w:sz w:val="20"/>
        </w:rPr>
      </w:pPr>
      <w:r>
        <w:rPr>
          <w:rFonts w:ascii="Times New Roman" w:hAnsi="Times New Roman"/>
          <w:i/>
          <w:color w:val="000000"/>
          <w:sz w:val="20"/>
        </w:rPr>
        <w:t>Short-term Investments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1 financial instruments in the fair value hierarchy. Unrealized gains and losses are recorded as a component of Other Comprehensive Loss within Stockholders’ Equity on the consolidated balance sheets. Realized gains and losses are included as other income (expense) in the accompanying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 </w:t>
      </w:r>
    </w:p>
    <w:p>
      <w:pPr>
        <w:pStyle w:val="TextBody"/>
        <w:bidi w:val="0"/>
        <w:spacing w:before="160" w:after="120"/>
        <w:jc w:val="left"/>
        <w:rPr>
          <w:color w:val="000000"/>
        </w:rPr>
      </w:pPr>
      <w:r>
        <w:rPr>
          <w:color w:val="000000"/>
        </w:rPr>
        <w: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whether the investment has been in a continuous loss position for over 12 months; </w:t>
      </w:r>
    </w:p>
    <w:p>
      <w:pPr>
        <w:pStyle w:val="TextBody"/>
        <w:bidi w:val="0"/>
        <w:spacing w:before="40" w:after="120"/>
        <w:jc w:val="left"/>
        <w:rPr>
          <w:color w:val="000000"/>
        </w:rPr>
      </w:pPr>
      <w:r>
        <w:rPr>
          <w:color w:val="000000"/>
        </w:rPr>
        <w: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the duration to maturity of investments; </w:t>
      </w:r>
    </w:p>
    <w:p>
      <w:pPr>
        <w:pStyle w:val="TextBody"/>
        <w:bidi w:val="0"/>
        <w:spacing w:before="40" w:after="120"/>
        <w:jc w:val="left"/>
        <w:rPr>
          <w:color w:val="000000"/>
        </w:rPr>
      </w:pPr>
      <w:r>
        <w:rPr>
          <w:color w:val="000000"/>
        </w:rPr>
        <w: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intention and ability to hold the investment to maturity and if it is not more likely than not that the Company will be required to sell the investment before recovery of the amortized cost basis; </w:t>
      </w:r>
    </w:p>
    <w:p>
      <w:pPr>
        <w:pStyle w:val="TextBody"/>
        <w:bidi w:val="0"/>
        <w:spacing w:before="40" w:after="120"/>
        <w:jc w:val="left"/>
        <w:rPr>
          <w:color w:val="000000"/>
        </w:rPr>
      </w:pPr>
      <w:r>
        <w:rPr>
          <w:color w:val="000000"/>
        </w:rPr>
        <w: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the credit rating, financial condition and near-term prospects of the issuer and </w:t>
      </w:r>
    </w:p>
    <w:p>
      <w:pPr>
        <w:pStyle w:val="TextBody"/>
        <w:bidi w:val="0"/>
        <w:spacing w:before="40" w:after="120"/>
        <w:jc w:val="left"/>
        <w:rPr>
          <w:color w:val="000000"/>
        </w:rPr>
      </w:pPr>
      <w:r>
        <w:rPr>
          <w:color w:val="000000"/>
        </w:rPr>
        <w: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the type of investments made.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had unrealized gains of approximately $53,000 and $190,000, respectively, related to short-term investments as of December 31, 2025 and 2024,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At each reporting date, the Company performs an evaluation of impairment to determine if any unrealized losses are the result of credit losses. The Company did not record an allowance for credit losses for these investments as of December 31, 2025, 2024 and 2023, respectively. For additional information see Note 3 – Short-Term Investments. </w:t>
      </w:r>
    </w:p>
    <w:p>
      <w:pPr>
        <w:pStyle w:val="TextBody"/>
        <w:bidi w:val="0"/>
        <w:spacing w:before="160" w:after="283"/>
        <w:jc w:val="left"/>
        <w:rPr>
          <w:rFonts w:ascii="Times New Roman" w:hAnsi="Times New Roman"/>
          <w:sz w:val="20"/>
        </w:rPr>
      </w:pPr>
      <w:r>
        <w:rPr>
          <w:rFonts w:ascii="Times New Roman" w:hAnsi="Times New Roman"/>
          <w:i/>
          <w:color w:val="000000"/>
          <w:sz w:val="20"/>
        </w:rPr>
        <w:t>Restricted Cash</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Restricted cash consists of cash held as security for corporate credit cards at the Company’s bank. Total restricted cash was $750,000 as of December 31, 2025 and 2024,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consolidated balance sheets to the amount reported in the Consolidated Statement of Cash Flows for the years ended December 31, 2025, and 2024 (in thousands):</w:t>
      </w:r>
    </w:p>
    <w:p>
      <w:pPr>
        <w:pStyle w:val="TextBody"/>
        <w:bidi w:val="0"/>
        <w:jc w:val="left"/>
        <w:rPr/>
      </w:pPr>
      <w:r>
        <w:rPr/>
        <w:t> </w:t>
      </w:r>
    </w:p>
    <w:tbl>
      <w:tblPr>
        <w:tblW w:w="9758" w:type="dxa"/>
        <w:jc w:val="left"/>
        <w:tblInd w:w="0" w:type="dxa"/>
        <w:tblLayout w:type="fixed"/>
        <w:tblCellMar>
          <w:top w:w="28" w:type="dxa"/>
          <w:left w:w="28" w:type="dxa"/>
          <w:bottom w:w="28" w:type="dxa"/>
          <w:right w:w="28" w:type="dxa"/>
        </w:tblCellMar>
      </w:tblPr>
      <w:tblGrid>
        <w:gridCol w:w="7111"/>
        <w:gridCol w:w="146"/>
        <w:gridCol w:w="236"/>
        <w:gridCol w:w="756"/>
        <w:gridCol w:w="163"/>
        <w:gridCol w:w="163"/>
        <w:gridCol w:w="236"/>
        <w:gridCol w:w="756"/>
        <w:gridCol w:w="191"/>
      </w:tblGrid>
      <w:tr>
        <w:trPr/>
        <w:tc>
          <w:tcPr>
            <w:tcW w:w="7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in the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 </w:t>
      </w:r>
    </w:p>
    <w:p>
      <w:pPr>
        <w:pStyle w:val="TextBody"/>
        <w:bidi w:val="0"/>
        <w:spacing w:before="120" w:after="120"/>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Accounts receivable pertain to contracts with customers who are granted credit by the Company in the ordinary course of business and are presented net of allowances for credit losses. The Company has a diverse customer base and as of December 31, 2025 and 2024, the Company did not have any customers who individually accounted for greater than 10% of accounts receivable. The Company maintains an allowance for credit losses resulting from the inability of its customers, including ambulatory surgery centers, to make required payments. The allowance for credit losses is calculated quarterly and is developed using an aging of receivables where receivables are segregated into various categories based upon due date, and a historical loss percentage is applied to each category that is adjusted for current receivable composition, counterparty and specific risk and prevailing economic condition and supportable forecasted economic conditions. If a receivable is deemed uncollectible after collection efforts have been exhausted, it is written off against the allowance for credit losses. The Company closely monitors the credit quality of its customers and has historically had minimal write-offs of receivables or uncollected receivables. After evaluation of the collectability of accounts receivable, the Company did not record any significant allowance for credit losses as of December 31, 2025, 2024 and 2023, respectively. The Company does not generally require collateral or other security on receivables. </w:t>
      </w:r>
    </w:p>
    <w:p>
      <w:pPr>
        <w:pStyle w:val="TextBody"/>
        <w:bidi w:val="0"/>
        <w:spacing w:before="120" w:after="120"/>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Level 1—Observable inputs such as unadjusted quoted prices in active markets that are accessible at the measurement date for identical unrestricted assets or liabilities.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Long-Lived Assets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Property and equipment and leasehold improvements are recorded at cost, net of accumulated depreciation and amortization. Property and equipment are depreciated over the estimated useful lives of the related assets, generally three to five years, using a straight-line method. Leasehold improvements are amortized on the straight-line method over the shorter of the lease term or their estimated economic lives. Repairs and maintenance costs are charged directly to operations as incurred, while renewals and betterments are capitalized.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long-lived assets are reviewed for impairment whenever circumstances such as events or changes in the business indicate that an asset or asset group’s carrying value may not be recoverable based on undiscounted future operating cash flows to be derived from their use. Factors that are considered important that could trigger an impairment review include a current period operating or cash flow loss or a history of operating or cash flow losses and a projection or forecast that demonstrates continuing losses or insufficient income associated with the use of a long-lived asset or asset group. Other factors include a significant change in the manner of the use of the asset or a significant negative industry or economic trend. This evaluation is performed based on estimated undiscounted future cash flows from operating activities compared with the carrying value of the related assets. If the undiscounted future cash flows are less than the carrying value, an impairment loss is recognized, measured by the difference between the carrying value and the estimated fair value of the assets. Fair value is determined primarily using the discounted cash flows expected to be generated from the use of assets. Significant management judgment is required in the forecast of future operating results that are used in the preparation of expected cash flows.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based on the present value of lease payments over the lease term. The Company estimates the incremental borrowing rate based upon the cost of its own debt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lease commencement date. The difference between rent expense and rent paid is accounted for as a component of operating lease right-of-use assets on the accompanying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consolidated balance sheets. </w:t>
      </w:r>
    </w:p>
    <w:p>
      <w:pPr>
        <w:pStyle w:val="TextBody"/>
        <w:bidi w:val="0"/>
        <w:spacing w:before="120" w:after="120"/>
        <w:jc w:val="left"/>
        <w:rPr>
          <w:rFonts w:ascii="Times New Roman" w:hAnsi="Times New Roman"/>
          <w:sz w:val="20"/>
        </w:rPr>
      </w:pPr>
      <w:r>
        <w:rPr>
          <w:rFonts w:ascii="Times New Roman" w:hAnsi="Times New Roman"/>
          <w:i/>
          <w:color w:val="000000"/>
          <w:sz w:val="20"/>
        </w:rPr>
        <w:t>Net Loss per Share</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calculation of diluted net loss per share attributable to common stockholders because their impact under the treasury stock method was anti-dilutive for the periods presented:</w:t>
      </w:r>
    </w:p>
    <w:tbl>
      <w:tblPr>
        <w:tblW w:w="10205" w:type="dxa"/>
        <w:jc w:val="left"/>
        <w:tblInd w:w="0" w:type="dxa"/>
        <w:tblLayout w:type="fixed"/>
        <w:tblCellMar>
          <w:top w:w="28" w:type="dxa"/>
          <w:left w:w="28" w:type="dxa"/>
          <w:bottom w:w="28" w:type="dxa"/>
          <w:right w:w="28" w:type="dxa"/>
        </w:tblCellMar>
      </w:tblPr>
      <w:tblGrid>
        <w:gridCol w:w="5853"/>
        <w:gridCol w:w="146"/>
        <w:gridCol w:w="146"/>
        <w:gridCol w:w="931"/>
        <w:gridCol w:w="146"/>
        <w:gridCol w:w="146"/>
        <w:gridCol w:w="146"/>
        <w:gridCol w:w="931"/>
        <w:gridCol w:w="146"/>
        <w:gridCol w:w="146"/>
        <w:gridCol w:w="146"/>
        <w:gridCol w:w="931"/>
        <w:gridCol w:w="391"/>
      </w:tblGrid>
      <w:tr>
        <w:trPr/>
        <w:tc>
          <w:tcPr>
            <w:tcW w:w="5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issued and outstanding under the 2015 Equity Incentive Plan and the 2021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6,860,328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issued under the 2021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issuable in offering period under the 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revenue is generated from the sale of LALs used in cataract surgery along with a specifically designed machine for delivering light to the eye, the LDD, to adjust the lens post-surgery, as needed. Revenue is recognized from sales of products in the U.S., Canada, Europe and Asia. Customers are primarily comprised of ambulatory surgery centers, hospitals, and physician private practices and distributors internationally.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LDD contracts contain multiple performance obligations bundled for one transaction price, with all obligations generally satisfied within one year. For these bundled arrangements, the Company accounts for individual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Revenue for the LDD capital asset is recognized at a point in time either at installation and acceptance or upon shipment to our international distributors. Revenue for training is also recorded at a point in time, generally 60 days after installation. Revenue for the device service is recognized ratably over time after installation, generally 12-24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LALs are generally held at customer sites on consignment. The single performance obligation is satisfied, and revenue from sales is recognized for LALs upon customer notification that the LALs have been implanted in a patient or when title transfers to the distributor. For the years ended December 31, 2025, 2024 and 2023, credits related to returns and rebates on list prices were not significant.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Revenue from contracts with customers consisted of the following (in thousands):</w:t>
      </w:r>
    </w:p>
    <w:tbl>
      <w:tblPr>
        <w:tblW w:w="8038" w:type="dxa"/>
        <w:jc w:val="left"/>
        <w:tblInd w:w="0" w:type="dxa"/>
        <w:tblLayout w:type="fixed"/>
        <w:tblCellMar>
          <w:top w:w="28" w:type="dxa"/>
          <w:left w:w="28" w:type="dxa"/>
          <w:bottom w:w="28" w:type="dxa"/>
          <w:right w:w="28" w:type="dxa"/>
        </w:tblCellMar>
      </w:tblPr>
      <w:tblGrid>
        <w:gridCol w:w="4246"/>
        <w:gridCol w:w="146"/>
        <w:gridCol w:w="211"/>
        <w:gridCol w:w="781"/>
        <w:gridCol w:w="146"/>
        <w:gridCol w:w="146"/>
        <w:gridCol w:w="211"/>
        <w:gridCol w:w="781"/>
        <w:gridCol w:w="146"/>
        <w:gridCol w:w="146"/>
        <w:gridCol w:w="211"/>
        <w:gridCol w:w="67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 (including training)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warranty, service contracts, and accessories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the years ended December 31, 2025, 2024 and 2023, the Company did not have any customers who individually accounted for greater than 10% of revenue.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the years ended December 31, 2025, 2024 and 2023, contract liabilities from sales activity recorded as liabilities on the Company's consolidated balance sheets consisted of the following (in thousands): </w:t>
      </w:r>
    </w:p>
    <w:p>
      <w:pPr>
        <w:pStyle w:val="TextBody"/>
        <w:bidi w:val="0"/>
        <w:spacing w:before="160" w:after="283"/>
        <w:jc w:val="left"/>
        <w:rPr/>
      </w:pPr>
      <w:r>
        <w:rPr/>
        <w:t> </w:t>
      </w:r>
    </w:p>
    <w:tbl>
      <w:tblPr>
        <w:tblW w:w="7468" w:type="dxa"/>
        <w:jc w:val="left"/>
        <w:tblInd w:w="0" w:type="dxa"/>
        <w:tblLayout w:type="fixed"/>
        <w:tblCellMar>
          <w:top w:w="28" w:type="dxa"/>
          <w:left w:w="28" w:type="dxa"/>
          <w:bottom w:w="28" w:type="dxa"/>
          <w:right w:w="28" w:type="dxa"/>
        </w:tblCellMar>
      </w:tblPr>
      <w:tblGrid>
        <w:gridCol w:w="3241"/>
        <w:gridCol w:w="146"/>
        <w:gridCol w:w="211"/>
        <w:gridCol w:w="631"/>
        <w:gridCol w:w="166"/>
        <w:gridCol w:w="146"/>
        <w:gridCol w:w="211"/>
        <w:gridCol w:w="631"/>
        <w:gridCol w:w="166"/>
        <w:gridCol w:w="146"/>
        <w:gridCol w:w="211"/>
        <w:gridCol w:w="631"/>
        <w:gridCol w:w="93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ind w:left="0" w:right="0" w:firstLine="800"/>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 xml:space="preserve">Cost of Sales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Cost of sales consists of materials, labor and manufacturing overhead incurred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w:t>
      </w:r>
    </w:p>
    <w:p>
      <w:pPr>
        <w:pStyle w:val="TextBody"/>
        <w:bidi w:val="0"/>
        <w:spacing w:before="160" w:after="120"/>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 </w:t>
      </w:r>
    </w:p>
    <w:p>
      <w:pPr>
        <w:pStyle w:val="TextBody"/>
        <w:bidi w:val="0"/>
        <w:spacing w:before="16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expenses are expensed as incurred. Research and development expenses consist of upfront fees and milestones paid to collaborators and expenses incurred in performing research and development activities for new products and technology. The expenses include personnel-related costs, including compensation and benefits and stock-based compensation, consultants hired to perform research projects, costs incurred at clinical trial sites, regulatory and manufacturing engineering costs related to FDA premarket approval submission preparation, various laboratory and research supplies, write-off of pre-approved inventory utilized for clinical trial and research purposes, costs incurred in the development of manufacturing processes in excess of capitalizable value, fees paid to contract research organizations and direct FDA related costs. The Company also accrued the costs of ongoing clinical trials associated with programs that have been terminated or discontinued for which there is no future economic benefit at the time the decision is made to terminate or discontinue the program. </w:t>
      </w:r>
    </w:p>
    <w:p>
      <w:pPr>
        <w:pStyle w:val="TextBody"/>
        <w:bidi w:val="0"/>
        <w:spacing w:before="160" w:after="120"/>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has two equity incentive compensation plans: the Calhoun Vision, Inc. 2015 Equity Incentive Plan (“2015 Plan”); and the 2021 Equity Incentive Plan (“2021 Plan”), which are collectively referred to as the “Equity Plans.” The Company also has an employee stock purchase plan, the 2021 Employee Stock Purchase Plan (“2021 ESPP”).</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recognizes compensation expense for equity-based awards on the date of grant to employees, board of directors and consultants based on the estimated grant date fair value of the award's equity-based payments including stock options, restricted stock units and employee stock plan purchases. The fair value of the option awards are estimated using the Black-Scholes option-pricing model and recognized as an expense in the consolidated statements of operations and comprehensive loss over the requisite service period, which is generally four years. The Company amortizes the stock-based compensation for equity awards with service conditions on a straight-line basis over the vesting period of the awards. Forfeitures of unvested stock option awards are recognized as reductions of expense as they occur.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Black-Scholes option-pricing model requires the use of assumptions about a number of variables, such as the fair market value of the Company’s common stock, expected volatility, expected term, risk-free interest rate, and dividend yield as discussed below:</w:t>
      </w:r>
    </w:p>
    <w:p>
      <w:pPr>
        <w:pStyle w:val="TextBody"/>
        <w:bidi w:val="0"/>
        <w:spacing w:before="120" w:after="120"/>
        <w:jc w:val="left"/>
        <w:rPr>
          <w:rFonts w:ascii="Times New Roman" w:hAnsi="Times New Roman"/>
          <w:sz w:val="20"/>
        </w:rPr>
      </w:pPr>
      <w:r>
        <w:rPr>
          <w:rFonts w:ascii="Times New Roman" w:hAnsi="Times New Roman"/>
          <w:i/>
          <w:color w:val="000000"/>
          <w:sz w:val="20"/>
        </w:rPr>
        <w:t>Fair market value</w:t>
      </w:r>
      <w:r>
        <w:rPr>
          <w:rFonts w:ascii="Times New Roman" w:hAnsi="Times New Roman"/>
          <w:color w:val="000000"/>
          <w:sz w:val="20"/>
        </w:rPr>
        <w:t>—The fair value of common stock is determined by using the closing price per share of common stock as reported on the Nasdaq Global Market.</w:t>
      </w:r>
    </w:p>
    <w:p>
      <w:pPr>
        <w:pStyle w:val="TextBody"/>
        <w:bidi w:val="0"/>
        <w:spacing w:before="0" w:after="120"/>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—The expected volatility is based on the historic volatility of the Company's own common stock. </w:t>
      </w:r>
    </w:p>
    <w:p>
      <w:pPr>
        <w:pStyle w:val="TextBody"/>
        <w:bidi w:val="0"/>
        <w:spacing w:before="0" w:after="120"/>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Company’s expected term represents the period that the Company’s stock-based awards are expected to be outstanding. The Company used the simplified method (based on the mid-point between the vesting date and the end of the contractual term) to determine the expected term.</w:t>
      </w:r>
    </w:p>
    <w:p>
      <w:pPr>
        <w:pStyle w:val="TextBody"/>
        <w:bidi w:val="0"/>
        <w:spacing w:before="0" w:after="120"/>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—The risk-free interest rate used is based on the published U.S. Department of Treasury interest rates in effect at the time of stock option grant for zero coupon U.S. Treasury notes with maturities approximating each grant’s expected term.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Dividend yield—The Company has never paid dividends on its common stock and has no plans to pay dividends on its common stock. Therefore, the Company used an expected dividend yield of zero.</w:t>
      </w:r>
    </w:p>
    <w:p>
      <w:pPr>
        <w:pStyle w:val="TextBody"/>
        <w:bidi w:val="0"/>
        <w:spacing w:before="40" w:after="120"/>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likelihood of realizing the tax benefits related to a potential deferred tax asset is evaluated, and a valuation allowance is recognized to reduce that deferred tax asset if it is more likely than not that all or some portion of the deferred tax asset will not be realized. Deferred tax assets and liabilities are calculated at the beginning and end of the year; the change in the sum of the deferred tax asset, valuation allowance and deferred tax liability during the year generally is recognized as a deferred tax expense or benefit. The effect on deferred tax assets and liabilities of a change in tax rates is recognized in the Consolidated Statements of Operations and Comprehensive Loss in the period that includes the enactment date.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recognized a valuation allowance on deferred tax assets as of December 31, 2025 and 2024 after evaluating that it is more likely than not that deferred tax assets will not be realized as of those 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evaluates the accounting for uncertainty in income tax recognized in the consolidated financial statements and determines whether it is more likely than not that a tax position will be sustained upon examination by the appropriate taxing authorities before any part of the benefit is recorded in its consolidated financial statements. For those tax positions where it is “not more likely than not” that a tax benefit will be sustained, no tax benefit is recognized. Where applicable, associated interest and penalties are also recorded. The Company has not accrued any liabilities for any such uncertain tax positions as of December 31, 2025, 2024 and 2023, respectively. The Company is subject to U.S. federal and state tax authority examinations for all the years since inception due to net operating loss and tax credit carryforwards. The net operating losses and tax credits are subject to adjustment until the statute closes on the year the attributes are ultimately utilized.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is required to file federal and state income tax returns in the U.S., United Kingdom, Germany and Netherlands. The preparation of these income tax returns requires the Company to interpret the applicable tax laws and regulations in effect on such jurisdictions, which could impact the amount of tax paid. An amount is accrued for the estimate of additional tax liabilities, including interest and penalties, for any uncertain tax positions taken or expected to be taken in an income tax return. The accrual for uncertain tax positions is updated when more definitive information becomes available. </w:t>
      </w:r>
    </w:p>
    <w:p>
      <w:pPr>
        <w:pStyle w:val="TextBody"/>
        <w:bidi w:val="0"/>
        <w:spacing w:before="160" w:after="120"/>
        <w:jc w:val="left"/>
        <w:rPr>
          <w:rFonts w:ascii="Times New Roman" w:hAnsi="Times New Roman"/>
          <w:sz w:val="20"/>
        </w:rPr>
      </w:pPr>
      <w:r>
        <w:rPr>
          <w:rFonts w:ascii="Times New Roman" w:hAnsi="Times New Roman"/>
          <w:i/>
          <w:color w:val="000000"/>
          <w:sz w:val="20"/>
        </w:rPr>
        <w:t>Comprehensive Loss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All components of comprehensive loss, including net loss, are reported in the consolidated financial statements in the period in which they are recognized. Comprehensive loss is defined as the change in equity during a period from transactions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and other events and circumstances from non-owner sources, including unrealized gains and losses on marketable securities and foreign currency translation adjustments.</w:t>
      </w:r>
    </w:p>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40" w:after="120"/>
        <w:jc w:val="left"/>
        <w:rPr>
          <w:rFonts w:ascii="Times New Roman" w:hAnsi="Times New Roman"/>
          <w:i/>
          <w:color w:val="000000"/>
          <w:sz w:val="20"/>
        </w:rPr>
      </w:pPr>
      <w:r>
        <w:rPr>
          <w:rFonts w:ascii="Times New Roman" w:hAnsi="Times New Roman"/>
          <w:i/>
          <w:color w:val="000000"/>
          <w:sz w:val="20"/>
        </w:rPr>
        <w:t>Accounting Pronouncement Recently Adopted</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2023, the Financial Accounting Standards Board (“FASB”) issued Accounting Standards Update (“ASU”) 2023-09, Income Taxes (Topic 740): Improvements to Income Tax Disclosures. The guidance enhances income tax disclosure requirements, primarily related to the rate reconciliation and disaggregation of income taxes paid, with the objective of improving transparency and decision usefulness of income tax information. The Company adopted ASU 2023-09 effective January 1, 2025, on a prospective basis, as permitted by the standard. The adoption did not have a material impact on the Company’s consolidated financial statements, as the amendments relate solely to expanded disclosures and do not affect the recognition, measurement, or presentation of income taxes. The Company has updated its income tax disclosures in accordance with the new requirements beginning in the period of adoption. See footnote 10 for more information. </w:t>
      </w:r>
    </w:p>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w:t>
      </w:r>
      <w:r>
        <w:rPr>
          <w:rFonts w:ascii="Times New Roman" w:hAnsi="Times New Roman"/>
          <w:color w:val="000000"/>
          <w:sz w:val="20"/>
        </w:rPr>
        <w:t>(“ASU 2024-03”) The ASU is intended to improve financial reporting by requiring disaggregated disclosure of certain costs and expenses. The ASU is effective for fiscal years beginning after December 15, 2026 and for interim periods within fiscal years beginning after December 15, 2027, with early adoption permitted. The ASU may be applied on either a prospective or retrospective basis. The Company is currently evaluating the disclosure impact of ASU-2024-03.</w:t>
      </w:r>
    </w:p>
    <w:p>
      <w:pPr>
        <w:pStyle w:val="TextBody"/>
        <w:bidi w:val="0"/>
        <w:spacing w:before="1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Note 3 – Short-Term Investments</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Short-term investments, principally U.S. Treasury bills, are available-for-sale and consisted of the following (in thousands):</w:t>
      </w:r>
    </w:p>
    <w:tbl>
      <w:tblPr>
        <w:tblW w:w="815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749"/>
        <w:gridCol w:w="1126"/>
        <w:gridCol w:w="14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tbl>
      <w:tblPr>
        <w:tblW w:w="815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624"/>
        <w:gridCol w:w="1251"/>
        <w:gridCol w:w="14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available-for-sale securities held as of December 31, 2025 and 2024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credit-related portion of unrealized losses, and any subsequent improvements, are recorded in interest expense in the consolidated statements of operations through an allowance for credit losses. Unrealized gains and losses that are not credit-related are included in accumulated other comprehensive loss. Unrealized losses on available-for-sale debt securities as of December 31, 2025 and December 31, 2024 were not significant and were primarily due to changes in interest rates, including market credit spreads, and not due to increased credit risks associated with specific securities. Further, the Company does not intend to sell these investments and it is not more likely than not that the Company will be required to sell these investments before recovery of their amortized cost basis. Accordingly, the Company did not record an allowance for credit losses with these investments as of December 31, 2025, 2024 and 2023, respectively.</w:t>
      </w:r>
    </w:p>
    <w:p>
      <w:pPr>
        <w:pStyle w:val="TextBody"/>
        <w:bidi w:val="0"/>
        <w:spacing w:before="160" w:after="120"/>
        <w:jc w:val="left"/>
        <w:rPr>
          <w:rFonts w:ascii="Times New Roman" w:hAnsi="Times New Roman"/>
          <w:sz w:val="20"/>
        </w:rPr>
      </w:pPr>
      <w:r>
        <w:rPr>
          <w:rFonts w:ascii="Times New Roman" w:hAnsi="Times New Roman"/>
          <w:b/>
          <w:color w:val="000000"/>
          <w:sz w:val="20"/>
        </w:rPr>
        <w:t xml:space="preserve">Note 4 </w:t>
      </w:r>
      <w:r>
        <w:rPr>
          <w:rFonts w:ascii="Times New Roman" w:hAnsi="Times New Roman"/>
          <w:color w:val="000000"/>
          <w:sz w:val="20"/>
        </w:rPr>
        <w:t xml:space="preserve">– </w:t>
      </w:r>
      <w:r>
        <w:rPr>
          <w:rFonts w:ascii="Times New Roman" w:hAnsi="Times New Roman"/>
          <w:b/>
          <w:color w:val="000000"/>
          <w:sz w:val="20"/>
        </w:rPr>
        <w:t>Inventories</w:t>
      </w:r>
      <w:r>
        <w:rPr>
          <w:rFonts w:ascii="Times New Roman" w:hAnsi="Times New Roman"/>
          <w:color w:val="000000"/>
          <w:sz w:val="20"/>
        </w:rPr>
        <w:t xml:space="preserve">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Inventories consisted of the following (in thousands):</w:t>
      </w:r>
    </w:p>
    <w:tbl>
      <w:tblPr>
        <w:tblW w:w="7105" w:type="dxa"/>
        <w:jc w:val="left"/>
        <w:tblInd w:w="0" w:type="dxa"/>
        <w:tblLayout w:type="fixed"/>
        <w:tblCellMar>
          <w:top w:w="28" w:type="dxa"/>
          <w:left w:w="28" w:type="dxa"/>
          <w:bottom w:w="28" w:type="dxa"/>
          <w:right w:w="28" w:type="dxa"/>
        </w:tblCellMar>
      </w:tblPr>
      <w:tblGrid>
        <w:gridCol w:w="3916"/>
        <w:gridCol w:w="146"/>
        <w:gridCol w:w="299"/>
        <w:gridCol w:w="961"/>
        <w:gridCol w:w="166"/>
        <w:gridCol w:w="146"/>
        <w:gridCol w:w="299"/>
        <w:gridCol w:w="961"/>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reserve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At December 31, 2025 and 2024, finished goods included $6.9 million and $5.7 million of inventory held on consignment at customer sites,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Note 5 – Property and Equipment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Property and equipment consisted of the following (in thousands):</w:t>
      </w:r>
    </w:p>
    <w:tbl>
      <w:tblPr>
        <w:tblW w:w="6719" w:type="dxa"/>
        <w:jc w:val="left"/>
        <w:tblInd w:w="0" w:type="dxa"/>
        <w:tblLayout w:type="fixed"/>
        <w:tblCellMar>
          <w:top w:w="28" w:type="dxa"/>
          <w:left w:w="28" w:type="dxa"/>
          <w:bottom w:w="28" w:type="dxa"/>
          <w:right w:w="28" w:type="dxa"/>
        </w:tblCellMar>
      </w:tblPr>
      <w:tblGrid>
        <w:gridCol w:w="4156"/>
        <w:gridCol w:w="146"/>
        <w:gridCol w:w="211"/>
        <w:gridCol w:w="736"/>
        <w:gridCol w:w="166"/>
        <w:gridCol w:w="146"/>
        <w:gridCol w:w="211"/>
        <w:gridCol w:w="736"/>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molds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recorded $3.3 million, $3.6 million and $4.1 million in depreciation and amortization expense for the years ended December 31, 2025, 2024 and 2023, respectively.</w:t>
      </w:r>
    </w:p>
    <w:p>
      <w:pPr>
        <w:pStyle w:val="TextBody"/>
        <w:bidi w:val="0"/>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Note 6 – Fair Value Measurements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table below (in thousands) present information about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Money market funds and U.S. Treasury securities are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 </w:t>
      </w:r>
    </w:p>
    <w:p>
      <w:pPr>
        <w:pStyle w:val="TextBody"/>
        <w:bidi w:val="0"/>
        <w:jc w:val="left"/>
        <w:rPr/>
      </w:pPr>
      <w:r>
        <w:rPr/>
        <w:t> </w:t>
      </w:r>
    </w:p>
    <w:tbl>
      <w:tblPr>
        <w:tblW w:w="5084" w:type="dxa"/>
        <w:jc w:val="left"/>
        <w:tblInd w:w="0" w:type="dxa"/>
        <w:tblLayout w:type="fixed"/>
        <w:tblCellMar>
          <w:top w:w="28" w:type="dxa"/>
          <w:left w:w="28" w:type="dxa"/>
          <w:bottom w:w="28" w:type="dxa"/>
          <w:right w:w="28" w:type="dxa"/>
        </w:tblCellMar>
      </w:tblPr>
      <w:tblGrid>
        <w:gridCol w:w="2271"/>
        <w:gridCol w:w="146"/>
        <w:gridCol w:w="211"/>
        <w:gridCol w:w="781"/>
        <w:gridCol w:w="146"/>
        <w:gridCol w:w="146"/>
        <w:gridCol w:w="211"/>
        <w:gridCol w:w="781"/>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left"/>
        <w:rPr>
          <w:rFonts w:ascii="Times New Roman" w:hAnsi="Times New Roman"/>
          <w:sz w:val="20"/>
        </w:rPr>
      </w:pPr>
      <w:r>
        <w:rPr>
          <w:rFonts w:ascii="Times New Roman" w:hAnsi="Times New Roman"/>
          <w:b/>
          <w:color w:val="000000"/>
          <w:sz w:val="20"/>
        </w:rPr>
        <w:t>Note 7 – Accrued Expenses and Other Current Liabilities</w:t>
      </w:r>
      <w:r>
        <w:rPr>
          <w:rFonts w:ascii="Times New Roman" w:hAnsi="Times New Roman"/>
          <w:color w:val="000000"/>
          <w:sz w:val="20"/>
        </w:rPr>
        <w:t xml:space="preserve">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6315" w:type="dxa"/>
        <w:jc w:val="left"/>
        <w:tblInd w:w="0" w:type="dxa"/>
        <w:tblLayout w:type="fixed"/>
        <w:tblCellMar>
          <w:top w:w="28" w:type="dxa"/>
          <w:left w:w="28" w:type="dxa"/>
          <w:bottom w:w="28" w:type="dxa"/>
          <w:right w:w="28" w:type="dxa"/>
        </w:tblCellMar>
      </w:tblPr>
      <w:tblGrid>
        <w:gridCol w:w="3166"/>
        <w:gridCol w:w="146"/>
        <w:gridCol w:w="299"/>
        <w:gridCol w:w="961"/>
        <w:gridCol w:w="146"/>
        <w:gridCol w:w="146"/>
        <w:gridCol w:w="299"/>
        <w:gridCol w:w="96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Accrued other primarily consists of $3.2 million and $1.7 million in estimated costs related to clinical studies as of December 31, 2025 and 2024, respectively.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Note 8 – Stock-Based Compensation Expense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has two equity incentive compensation plans: the 2015 Plan and the 2021 Plan.</w:t>
      </w:r>
    </w:p>
    <w:p>
      <w:pPr>
        <w:pStyle w:val="TextBody"/>
        <w:bidi w:val="0"/>
        <w:jc w:val="left"/>
        <w:rPr>
          <w:rFonts w:ascii="Times New Roman" w:hAnsi="Times New Roman"/>
          <w:b/>
          <w:i/>
          <w:color w:val="000000"/>
          <w:sz w:val="20"/>
        </w:rPr>
      </w:pPr>
      <w:r>
        <w:rPr>
          <w:rFonts w:ascii="Times New Roman" w:hAnsi="Times New Roman"/>
          <w:b/>
          <w:i/>
          <w:color w:val="000000"/>
          <w:sz w:val="20"/>
        </w:rPr>
        <w:t>2015 Plan</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2015 Plan was originally adopted by the Board and approved by the Company’s stockholders in 2015.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2021 Plan</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On July 28, 2021, the 2021 Plan was adopted and approved by the Board and stockholders.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6,989,665 shares of common stock.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our common stock; (ii) 4% of the outstanding shares of our common stock on the last day of the immediately preceding fiscal year; or (iii) such lesser number of shares of our common stock as the administrator may determine. The 2021 Plan is administered by the Board. On January 1, 2025 and 2024, the number of shares available under the 2021 Plan increased by 1,617,128 and 1,445,580 shares of common stock respectively pursuant to this feature. As of December 31, 2025, the number of shares of the Company’s common stock available for future issuance and not subject to outstanding awards under the 2021 Plan was equal to 613,210 shares of common stock.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2021 ESPP</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On July 28, 2021, the Board and stockholders adopted and approved the 2021 ESPP, which became effective in connection with the Company’s IPO. As of December 31, 2025, the number of shares of the Company’s common stock available for issuance under the 2021 ESPP was equal to 394,868 shares of common stock. The initial purchase period began on November 1, 2021.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number of common shares reserved for issuance under the 2021 ESPP plan will be increased automatically on the first day of each fiscal year beginning with our 2022 fiscal year, by a number equal to the least of: (i) 1,452,081 shares; (ii) 1% of the outstanding shares of our common stock on the last day of our immediately preceding fiscal year; or (iii) such other amount as the administrator may determine. The 2021 ESPP is administered by the Board. The Board determined that no additional shares would be reserved for issuance on January 1, 2025 and 2024, respectively, pursuant to this feature.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A summary of the stock option activities related to the Plans, as of and for the year ended December 31, 2025 and 2024 is presented below:</w:t>
      </w:r>
    </w:p>
    <w:tbl>
      <w:tblPr>
        <w:tblW w:w="9471" w:type="dxa"/>
        <w:jc w:val="left"/>
        <w:tblInd w:w="0" w:type="dxa"/>
        <w:tblLayout w:type="fixed"/>
        <w:tblCellMar>
          <w:top w:w="28" w:type="dxa"/>
          <w:left w:w="28" w:type="dxa"/>
          <w:bottom w:w="28" w:type="dxa"/>
          <w:right w:w="28" w:type="dxa"/>
        </w:tblCellMar>
      </w:tblPr>
      <w:tblGrid>
        <w:gridCol w:w="3491"/>
        <w:gridCol w:w="246"/>
        <w:gridCol w:w="146"/>
        <w:gridCol w:w="225"/>
        <w:gridCol w:w="1275"/>
        <w:gridCol w:w="166"/>
        <w:gridCol w:w="146"/>
        <w:gridCol w:w="220"/>
        <w:gridCol w:w="576"/>
        <w:gridCol w:w="146"/>
        <w:gridCol w:w="146"/>
        <w:gridCol w:w="244"/>
        <w:gridCol w:w="641"/>
        <w:gridCol w:w="146"/>
        <w:gridCol w:w="146"/>
        <w:gridCol w:w="339"/>
        <w:gridCol w:w="981"/>
        <w:gridCol w:w="191"/>
      </w:tblGrid>
      <w:tr>
        <w:trPr/>
        <w:tc>
          <w:tcPr>
            <w:tcW w:w="34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Avg</w:t>
              <w:br/>
              <w:t>Remaining</w:t>
              <w:br/>
              <w:t>Contractual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Options outstanding as of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5,906,298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Expired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 as of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6,556,728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as of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4,248,916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color w:val="000000"/>
          <w:sz w:val="20"/>
        </w:rPr>
      </w:pPr>
      <w:r>
        <w:rPr>
          <w:rFonts w:ascii="Times New Roman" w:hAnsi="Times New Roman"/>
          <w:color w:val="000000"/>
          <w:sz w:val="20"/>
        </w:rPr>
        <w:t>During the years ended December 31, 2025, 2024 and 2023, the intrinsic value of options vested was $0.8 million, $69.3 million and $121.3 million, respectively, and of all options outstanding was $1.2 million, $94.4 million and $185.0 million, respectively. During the years ended December 31, 2025, 2024 and 2023, the total cash received from the exercise of stock options was $2.7 million, $19.2 million and $8.4 million, respectively. As of the years ended December 31, 2025, 2024 and 2023, the total fair value less strike price of these options was $4.7 million, $80.1 million and $13.7 million,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summary of restricted stock unit activities for the year ended December 31, 2025 and 2024 is presented below:</w:t>
      </w:r>
    </w:p>
    <w:tbl>
      <w:tblPr>
        <w:tblW w:w="5238" w:type="dxa"/>
        <w:jc w:val="left"/>
        <w:tblInd w:w="0" w:type="dxa"/>
        <w:tblLayout w:type="fixed"/>
        <w:tblCellMar>
          <w:top w:w="28" w:type="dxa"/>
          <w:left w:w="28" w:type="dxa"/>
          <w:bottom w:w="28" w:type="dxa"/>
          <w:right w:w="28" w:type="dxa"/>
        </w:tblCellMar>
      </w:tblPr>
      <w:tblGrid>
        <w:gridCol w:w="2501"/>
        <w:gridCol w:w="246"/>
        <w:gridCol w:w="146"/>
        <w:gridCol w:w="146"/>
        <w:gridCol w:w="751"/>
        <w:gridCol w:w="166"/>
        <w:gridCol w:w="146"/>
        <w:gridCol w:w="261"/>
        <w:gridCol w:w="684"/>
        <w:gridCol w:w="191"/>
      </w:tblGrid>
      <w:tr>
        <w:trPr/>
        <w:tc>
          <w:tcPr>
            <w:tcW w:w="25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Unvested at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color w:val="000000"/>
          <w:sz w:val="20"/>
        </w:rPr>
      </w:pPr>
      <w:r>
        <w:rPr>
          <w:rFonts w:ascii="Times New Roman" w:hAnsi="Times New Roman"/>
          <w:color w:val="000000"/>
          <w:sz w:val="20"/>
        </w:rPr>
        <w:t>Stock-based compensation expense was classified in the accompanying consolidated statements of operations and comprehensive income (loss) as follows (in thousands):</w:t>
      </w:r>
    </w:p>
    <w:tbl>
      <w:tblPr>
        <w:tblW w:w="6538"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Times New Roman" w:hAnsi="Times New Roman"/>
          <w:color w:val="000000"/>
          <w:sz w:val="20"/>
        </w:rPr>
      </w:pPr>
      <w:r>
        <w:rPr>
          <w:rFonts w:ascii="Times New Roman" w:hAnsi="Times New Roman"/>
          <w:color w:val="000000"/>
          <w:sz w:val="20"/>
        </w:rPr>
        <w:t>As of December 31, 2025 and 2024, there were 2,307,812 and 2,343,015 unvested options, respectively. Total unrecognized expense related to unvested stock options was approximately $43.5 million, $45.8 million and $22.7 million as of December 31, 2025, 2024, and 2023, respectively. As of December 31, 2025, unrecognized future compensation costs of approximately $43.5 million are expected to be recognized over a weighted average period of approximately 2.5 years.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December 31, 2025, 2024 and 2023, total unrecognized expense related to unvested restricted stock units was approximately $17.8 million, $15.0 million and $8.3 million, respectively. As of December 31, 2025 unrecognized future compensation costs of approximately $17.8 million are expected to be recognized over a weighted average period of approximately 2.1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 presents the range and weighted-average assumptions, used in the Black-Scholes option pricing model to determine the fair value of stock options:</w:t>
      </w:r>
    </w:p>
    <w:tbl>
      <w:tblPr>
        <w:tblW w:w="10205" w:type="dxa"/>
        <w:jc w:val="left"/>
        <w:tblInd w:w="0" w:type="dxa"/>
        <w:tblLayout w:type="fixed"/>
        <w:tblCellMar>
          <w:top w:w="28" w:type="dxa"/>
          <w:left w:w="28" w:type="dxa"/>
          <w:bottom w:w="28" w:type="dxa"/>
          <w:right w:w="28" w:type="dxa"/>
        </w:tblCellMar>
      </w:tblPr>
      <w:tblGrid>
        <w:gridCol w:w="1758"/>
        <w:gridCol w:w="1235"/>
        <w:gridCol w:w="146"/>
        <w:gridCol w:w="1267"/>
        <w:gridCol w:w="146"/>
        <w:gridCol w:w="1316"/>
        <w:gridCol w:w="146"/>
        <w:gridCol w:w="1267"/>
        <w:gridCol w:w="146"/>
        <w:gridCol w:w="1316"/>
        <w:gridCol w:w="146"/>
        <w:gridCol w:w="1316"/>
      </w:tblGrid>
      <w:tr>
        <w:trPr/>
        <w:tc>
          <w:tcPr>
            <w:tcW w:w="175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r>
      <w:tr>
        <w:trPr/>
        <w:tc>
          <w:tcPr>
            <w:tcW w:w="1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52.0% to 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66.0% to 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 to 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w:t>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to 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to 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to 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1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to 6.1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to 6.1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to 6.1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years</w:t>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1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$7.19 to $33.87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$36.89 to $60.65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$12.91 to $39.71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$17.60</w:t>
            </w:r>
          </w:p>
        </w:tc>
      </w:tr>
    </w:tbl>
    <w:p>
      <w:pPr>
        <w:pStyle w:val="TextBody"/>
        <w:bidi w:val="0"/>
        <w:spacing w:before="120" w:after="160"/>
        <w:jc w:val="left"/>
        <w:rPr/>
      </w:pPr>
      <w:r>
        <w:rPr/>
        <w:t> </w:t>
      </w:r>
    </w:p>
    <w:p>
      <w:pPr>
        <w:pStyle w:val="TextBody"/>
        <w:bidi w:val="0"/>
        <w:spacing w:before="80" w:after="120"/>
        <w:jc w:val="left"/>
        <w:rPr>
          <w:rFonts w:ascii="Times New Roman" w:hAnsi="Times New Roman"/>
          <w:sz w:val="20"/>
        </w:rPr>
      </w:pPr>
      <w:r>
        <w:rPr>
          <w:rFonts w:ascii="Times New Roman" w:hAnsi="Times New Roman"/>
          <w:b/>
          <w:color w:val="000000"/>
          <w:sz w:val="20"/>
        </w:rPr>
        <w:t>Note 9 – Stockholders’ Equity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May 8, 2024, the Company entered into an underwriting agreement with BofA Securities, Inc., in which the Company agreed to issue and sell 1,785,714 shares of the Company's common stock in a public offering, pursuant to the 2024 Shelf Registration Statement. The shares of common stock were sold at a price to the public of $56.00 per share. Under the terms of the underwriting agreement, the Company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The Company received net proceeds of $107.5 million from the public offering, after deducting underwriters' discounts and commissions of $6.9 million and other offering expenses of $0.6 million.</w:t>
      </w:r>
    </w:p>
    <w:p>
      <w:pPr>
        <w:pStyle w:val="TextBody"/>
        <w:bidi w:val="0"/>
        <w:spacing w:before="160" w:after="283"/>
        <w:jc w:val="left"/>
        <w:rPr>
          <w:rFonts w:ascii="Times New Roman" w:hAnsi="Times New Roman"/>
          <w:sz w:val="20"/>
        </w:rPr>
      </w:pPr>
      <w:r>
        <w:rPr>
          <w:rFonts w:ascii="Times New Roman" w:hAnsi="Times New Roman"/>
          <w:i/>
          <w:color w:val="000000"/>
          <w:sz w:val="20"/>
        </w:rPr>
        <w:t>2024 Shelf Registration Statement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May 8, 2024, the Company filed the 2024 Shelf Registration Statement. The 2024 Shelf Registration Statement is effective for three years and permits the Company to sell, from time to time an unspecified number of shares of common stock, preferred stock, debt securities, warrants, and/or units. The shelf registration statement is intended to provide the Company with flexibility to access additional capital. At the time of filing the shelf registration statement, the Company also filed a prospectus supplement to sell up to an aggregate value of $115.0 million dollars of common stock through a public offering.</w:t>
      </w:r>
    </w:p>
    <w:p>
      <w:pPr>
        <w:pStyle w:val="TextBody"/>
        <w:bidi w:val="0"/>
        <w:spacing w:before="160" w:after="160"/>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Each share of common stock is entitled to one vote. Common stock reserved for future issuance consisted of the following: </w:t>
      </w:r>
    </w:p>
    <w:tbl>
      <w:tblPr>
        <w:tblW w:w="9135" w:type="dxa"/>
        <w:jc w:val="left"/>
        <w:tblInd w:w="0" w:type="dxa"/>
        <w:tblLayout w:type="fixed"/>
        <w:tblCellMar>
          <w:top w:w="28" w:type="dxa"/>
          <w:left w:w="28" w:type="dxa"/>
          <w:bottom w:w="28" w:type="dxa"/>
          <w:right w:w="28" w:type="dxa"/>
        </w:tblCellMar>
      </w:tblPr>
      <w:tblGrid>
        <w:gridCol w:w="5056"/>
        <w:gridCol w:w="146"/>
        <w:gridCol w:w="233"/>
        <w:gridCol w:w="1492"/>
        <w:gridCol w:w="146"/>
        <w:gridCol w:w="146"/>
        <w:gridCol w:w="233"/>
        <w:gridCol w:w="149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 under the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2021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under the 2021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2021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common stock 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8,378,005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7,574,662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 xml:space="preserve">Note 10 </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components of loss before income taxes are as follows (in thousands): </w:t>
      </w:r>
    </w:p>
    <w:tbl>
      <w:tblPr>
        <w:tblW w:w="7177" w:type="dxa"/>
        <w:jc w:val="left"/>
        <w:tblInd w:w="0" w:type="dxa"/>
        <w:tblLayout w:type="fixed"/>
        <w:tblCellMar>
          <w:top w:w="28" w:type="dxa"/>
          <w:left w:w="28" w:type="dxa"/>
          <w:bottom w:w="28" w:type="dxa"/>
          <w:right w:w="28" w:type="dxa"/>
        </w:tblCellMar>
      </w:tblPr>
      <w:tblGrid>
        <w:gridCol w:w="2416"/>
        <w:gridCol w:w="146"/>
        <w:gridCol w:w="280"/>
        <w:gridCol w:w="980"/>
        <w:gridCol w:w="166"/>
        <w:gridCol w:w="146"/>
        <w:gridCol w:w="280"/>
        <w:gridCol w:w="980"/>
        <w:gridCol w:w="166"/>
        <w:gridCol w:w="146"/>
        <w:gridCol w:w="280"/>
        <w:gridCol w:w="980"/>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Income tax expense for the years ended December 31, 2025, 2024 and 2023, consists of the following (in thousands): </w:t>
      </w:r>
    </w:p>
    <w:tbl>
      <w:tblPr>
        <w:tblW w:w="6773" w:type="dxa"/>
        <w:jc w:val="left"/>
        <w:tblInd w:w="0" w:type="dxa"/>
        <w:tblLayout w:type="fixed"/>
        <w:tblCellMar>
          <w:top w:w="28" w:type="dxa"/>
          <w:left w:w="28" w:type="dxa"/>
          <w:bottom w:w="28" w:type="dxa"/>
          <w:right w:w="28" w:type="dxa"/>
        </w:tblCellMar>
      </w:tblPr>
      <w:tblGrid>
        <w:gridCol w:w="2856"/>
        <w:gridCol w:w="146"/>
        <w:gridCol w:w="211"/>
        <w:gridCol w:w="631"/>
        <w:gridCol w:w="166"/>
        <w:gridCol w:w="146"/>
        <w:gridCol w:w="211"/>
        <w:gridCol w:w="736"/>
        <w:gridCol w:w="166"/>
        <w:gridCol w:w="146"/>
        <w:gridCol w:w="211"/>
        <w:gridCol w:w="736"/>
        <w:gridCol w:w="4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significant components that comprised the Company’s net deferred taxes are as follows (in thousands): </w:t>
      </w:r>
    </w:p>
    <w:tbl>
      <w:tblPr>
        <w:tblW w:w="7238" w:type="dxa"/>
        <w:jc w:val="left"/>
        <w:tblInd w:w="0" w:type="dxa"/>
        <w:tblLayout w:type="fixed"/>
        <w:tblCellMar>
          <w:top w:w="28" w:type="dxa"/>
          <w:left w:w="28" w:type="dxa"/>
          <w:bottom w:w="28" w:type="dxa"/>
          <w:right w:w="28" w:type="dxa"/>
        </w:tblCellMar>
      </w:tblPr>
      <w:tblGrid>
        <w:gridCol w:w="2921"/>
        <w:gridCol w:w="146"/>
        <w:gridCol w:w="211"/>
        <w:gridCol w:w="841"/>
        <w:gridCol w:w="166"/>
        <w:gridCol w:w="146"/>
        <w:gridCol w:w="211"/>
        <w:gridCol w:w="841"/>
        <w:gridCol w:w="166"/>
        <w:gridCol w:w="146"/>
        <w:gridCol w:w="211"/>
        <w:gridCol w:w="841"/>
        <w:gridCol w:w="39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R&amp;D expenditures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The reconciliation of the 2025 provision for income taxes with the expected income tax computed by applying the federal statutory income tax rate to loss before provision for income taxes reflects the impact ASU 2023-09 as of December 31, 2025, and was calculated as follows (amounts in thousands):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99" w:type="dxa"/>
        <w:jc w:val="left"/>
        <w:tblInd w:w="0" w:type="dxa"/>
        <w:tblLayout w:type="fixed"/>
        <w:tblCellMar>
          <w:top w:w="28" w:type="dxa"/>
          <w:left w:w="28" w:type="dxa"/>
          <w:bottom w:w="28" w:type="dxa"/>
          <w:right w:w="28" w:type="dxa"/>
        </w:tblCellMar>
      </w:tblPr>
      <w:tblGrid>
        <w:gridCol w:w="4351"/>
        <w:gridCol w:w="146"/>
        <w:gridCol w:w="146"/>
        <w:gridCol w:w="526"/>
        <w:gridCol w:w="331"/>
        <w:gridCol w:w="146"/>
        <w:gridCol w:w="211"/>
        <w:gridCol w:w="631"/>
        <w:gridCol w:w="3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at the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taxes, net of federal benefit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Limitation on officer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non-deductible permanent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Expired tax attributes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Times New Roman" w:hAnsi="Times New Roman"/>
          <w:color w:val="000000"/>
          <w:sz w:val="16"/>
        </w:rPr>
      </w:pPr>
      <w:r>
        <w:rPr>
          <w:rFonts w:ascii="Times New Roman" w:hAnsi="Times New Roman"/>
          <w:color w:val="000000"/>
          <w:sz w:val="16"/>
        </w:rPr>
        <w:t>(1) State taxes in California made up the majority (greater than 50 percent) of the tax effect in this category.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 reconciliation of the provision for income taxes prior to the adoption of ASU Topic 2023-09, with the expected income tax computed by applying the federal statutory income tax rate to loss before provision for income taxes was calculated as follows (amounts in thousands): </w:t>
      </w:r>
    </w:p>
    <w:tbl>
      <w:tblPr>
        <w:tblW w:w="9212" w:type="dxa"/>
        <w:jc w:val="left"/>
        <w:tblInd w:w="0" w:type="dxa"/>
        <w:tblLayout w:type="fixed"/>
        <w:tblCellMar>
          <w:top w:w="28" w:type="dxa"/>
          <w:left w:w="28" w:type="dxa"/>
          <w:bottom w:w="28" w:type="dxa"/>
          <w:right w:w="28" w:type="dxa"/>
        </w:tblCellMar>
      </w:tblPr>
      <w:tblGrid>
        <w:gridCol w:w="4351"/>
        <w:gridCol w:w="146"/>
        <w:gridCol w:w="146"/>
        <w:gridCol w:w="526"/>
        <w:gridCol w:w="331"/>
        <w:gridCol w:w="146"/>
        <w:gridCol w:w="211"/>
        <w:gridCol w:w="736"/>
        <w:gridCol w:w="166"/>
        <w:gridCol w:w="146"/>
        <w:gridCol w:w="146"/>
        <w:gridCol w:w="526"/>
        <w:gridCol w:w="331"/>
        <w:gridCol w:w="146"/>
        <w:gridCol w:w="211"/>
        <w:gridCol w:w="736"/>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at the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Limitation on officer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non-deductible permanent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tax attributes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Company’s valuation allowance increased by $6.5 million and $19.1 million in 2025 and 2024,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Activity related to the Company's valuation allowance consisted of the following (in thousands):</w:t>
      </w:r>
    </w:p>
    <w:tbl>
      <w:tblPr>
        <w:tblW w:w="8378" w:type="dxa"/>
        <w:jc w:val="left"/>
        <w:tblInd w:w="0" w:type="dxa"/>
        <w:tblLayout w:type="fixed"/>
        <w:tblCellMar>
          <w:top w:w="28" w:type="dxa"/>
          <w:left w:w="28" w:type="dxa"/>
          <w:bottom w:w="28" w:type="dxa"/>
          <w:right w:w="28" w:type="dxa"/>
        </w:tblCellMar>
      </w:tblPr>
      <w:tblGrid>
        <w:gridCol w:w="4361"/>
        <w:gridCol w:w="146"/>
        <w:gridCol w:w="211"/>
        <w:gridCol w:w="781"/>
        <w:gridCol w:w="146"/>
        <w:gridCol w:w="146"/>
        <w:gridCol w:w="211"/>
        <w:gridCol w:w="781"/>
        <w:gridCol w:w="166"/>
        <w:gridCol w:w="146"/>
        <w:gridCol w:w="211"/>
        <w:gridCol w:w="781"/>
        <w:gridCol w:w="291"/>
      </w:tblGrid>
      <w:tr>
        <w:trPr/>
        <w:tc>
          <w:tcPr>
            <w:tcW w:w="4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Charged (credited) to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As of December 31, 2025, the Company had federal net operating loss carryforwards of $376.7 million and state net operating loss carryforwards of $198.7 million. Of the $376.7 million in federal NOLs, $280.7 million will not expire and will be able to offset 80% of taxable income in future years. Of the $198.7 million in state NOLs, $31.0 million will not expire and will be able to offset 80% of taxable income in future years. The remaining federal NOL carryforwards will expire between 2026 and 2037, and the remaining state NOL carryforwards will expire between 2026 and 2045. In addition, the Company also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had federal credit carry forwards of $14.6 million and state credit carry forwards of $12.9 million as of December 31, 2025, which may be available to offset future tax liabilities. The federal credits will expire between 2037 and 2045, and the state credits do not expire.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Utilization of the net operating loss carryforwards may be subject to substantial annual limitation due to ownership change limitations that may have occurred or that could occur in the future, as required by Section 382 of the Internal Revenue Code of 1986, as amended (the “Code”), as well as similar state provisions. These ownership changes may limit the amount of net operating loss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Pursuant to Internal Revenue Code (“IRC”) Sections 382 and 383, annual use of the Company’s net operating loss and R&amp;D credit carryforwards may be limited in the event a cumulative change in ownership of more than 50% occurs within a three-year period. The Company has not completed an IRC Sections 382 and 383 analysis regarding the limitation of net operating loss and R&amp;D credit carryforwards as of December 31, 2025. The Company has not completed a formal R&amp;D study but has estimated the federal and California credit for purposes of the tax footnote as of December 31, 2025. However, the Company has not reflected a benefit in the consolidated financial statements due to the recorded valuation allowance.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following reconciliation of the beginning and ending amount of gross unrecognized tax benefits, excluding interest and penalties, is as follows (in thousands): </w:t>
      </w:r>
    </w:p>
    <w:tbl>
      <w:tblPr>
        <w:tblW w:w="7288"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571"/>
        <w:gridCol w:w="146"/>
        <w:gridCol w:w="146"/>
        <w:gridCol w:w="211"/>
        <w:gridCol w:w="57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of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for prior year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None of the unrecognized tax benefits, if recognized, would impact the annual effective rate, due to the valuation allowance. The Company’s unrecognized tax benefits are recorded as a reduction in deferred tax assets. The Company does not expect any significant increases or decreases to the Company’s unrecognized tax benefits within the next 12 months. Due to the existence of the valuation allowance, future changes in the Company's unrecognized tax benefits will not impact the Company's effective tax rate. The Company has not incurred any material interest or penalties as of the current reporting date with respect to income tax matters.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is subject to U.S. federal and various states' income taxes. The federal returns for tax years 2022 through 2025 remain open to examination and the state returns remain subject to examination for tax years 2021 through 2025. Carryforward attributes that were generated in years where the statute of limitations is closed may still be adjusted upon examination by the Internal Revenue Service or other respective tax authorities. All other state jurisdictions remain open to examination.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11 – Leases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Company’s leases have remaining non-cancelable lease terms of up to 6 years, some of which include options to extend the leases for up to 10 years. The exercise of lease renewal options is at the Company’s sole discretion. The Company recognizes rent expense for minimum lease payments on a straight-line basis over the expected lease term, including rent holidays, rent escalation clause and/or cancelable option periods where failure to exercise such options would result in an economic penalty.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2025, the Company held five leases for office, manufacturing and warehouse facilities in Aliso Viejo, California. The five leases are for approximately 150,000 square feet in the aggregate and expire January 31, 2031. For two of the facilities operating leases, the lessors provided $1.1 million in tenant allowances.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100 and 120 Columbia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18, 2024, the Company entered into a Fifth Amendment to that certain Commercial Lease Agreement, dated August 31, 2015, as amended November 23, 2015, December 22, 2015, January 18, 2016, and November 12, 2016, with Accuride International Inc., for an approximately 42,106 square foot industrial facility located at 100 Columbia in Aliso Viejo, California (the “April 2024 100 Columbia Amendment”). Pursuant to the April 2024 100 Columbia Amendment, the term of the lease was extended 76 months, beginning on October 1, 2024 and ending on January 31, 2031. The parties agreed to the base rent rate payable over the 76 month term as set forth in the April 2024 100 Columbia Amendment. The base rent is initially $64,843 per month and includes fixed rent escalations beginning on October 1, 2025. The Company has two options to extend the term of the lease at the end of the current term, with each option to extend being for a 5 year term. The lessor provided $50,000 in tenant allowances.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 2024, the Company entered into a Sixth Amendment to that certain Commercial Lease Agreement, dated August 31, 2015, as amended April 18, 2024 as amended November 23, 2015, December 22, 2015, January 18, 2016, and November 12, 2016, with Accuride International Inc., for the property located at 100 Columbia in Aliso Viejo, California (the “June 2024 100 Columbia Amendment”). The June 2024 100 Columbia Amendment updated certain notification requirements.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November 6, 2024, the Company entered into a Seventh Amendment (Extension to the Lease) to that certain Commercial Lease Agreement, dated August 31, 2015, as amended June 3, 2024, as amended April 18, 2024, as amended November 23, 2015, December 22, 2015, January 18, 2016, and November 12, 2016, with Accuride International Inc., to expand the 100 Columbia lease to include the property located at 120 Columbia Suites 300, 400 and 500 for a total of approximately 13,183 additional leasable square feet in Aliso Viejo, California (the “November 2024 120 Columbia Amendment”). Pursuant to the November 2024 120 Columbia Amendment, the term of the lease is 74 months, beginning on December 1, 2024 and ending on January 31, 2031. The parties agreed to the base rent rate payable over the 74 month term as set forth in the November 2024 120 Columbia Amendment. The base rent is initially $22,016 per month and includes fixed rent escalations beginning on December 1, 2025. The Company has two options to extend the term of the lease at the end of the current term, with each option to extend being for a 5 year term. The lessor provided $150,000 in tenant allowances.</w:t>
      </w:r>
    </w:p>
    <w:p>
      <w:pPr>
        <w:pStyle w:val="TextBody"/>
        <w:bidi w:val="0"/>
        <w:jc w:val="left"/>
        <w:rPr>
          <w:rFonts w:ascii="Times New Roman" w:hAnsi="Times New Roman"/>
          <w:sz w:val="20"/>
        </w:rPr>
      </w:pPr>
      <w:r>
        <w:rPr>
          <w:rFonts w:ascii="Times New Roman" w:hAnsi="Times New Roman"/>
          <w:i/>
          <w:color w:val="000000"/>
          <w:sz w:val="20"/>
        </w:rPr>
        <w:t>125 Columbia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18, 2024, the Company entered into a Standard Industrial/Commercial Single-Tenant Lease – Net (the “125 Columbia Lease”) with BML Management, LLC, for an approximately 26,825 square foot industrial and research and development facility in Aliso Viejo, California. The 125 Columbia Lease commences on June 1, 2024 and will end on January 31, 2031. The Company has two options to extend the term of the 125 Columbia Lease, with each option to extend being for a term of 60 months, commencing when the prior term expires. The base rent is initially $41,579 per month, payable on the first day of each month commencing on June 1, 2024, subject to adjustment as set forth in the 125 Columbia Lease. </w:t>
      </w:r>
    </w:p>
    <w:p>
      <w:pPr>
        <w:pStyle w:val="TextBody"/>
        <w:bidi w:val="0"/>
        <w:spacing w:before="120" w:after="283"/>
        <w:jc w:val="left"/>
        <w:rPr>
          <w:rFonts w:ascii="Times New Roman" w:hAnsi="Times New Roman"/>
          <w:sz w:val="20"/>
        </w:rPr>
      </w:pPr>
      <w:r>
        <w:rPr>
          <w:rFonts w:ascii="Times New Roman" w:hAnsi="Times New Roman"/>
          <w:i/>
          <w:color w:val="000000"/>
          <w:sz w:val="20"/>
        </w:rPr>
        <w:t>75 Columbia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the Company entered into a First Amendment to Lease Agreement (First Amendment) with Pacific Park Investments that extended the term of its existing lease for an approximately 48,036 square feet industrial facility, by 60 months through January 31, 2031.The base rent is initially $81,859 per month and includes fixed rent escalations beginning on February 1, 2026. No additional tenant allowances were provided in connection with the First Amendment. The Company has two remaining options to extend the term of the lease for an additional 60 months per option (a total of 10 years). </w:t>
      </w:r>
    </w:p>
    <w:p>
      <w:pPr>
        <w:pStyle w:val="TextBody"/>
        <w:bidi w:val="0"/>
        <w:spacing w:before="160" w:after="120"/>
        <w:jc w:val="left"/>
        <w:rPr>
          <w:rFonts w:ascii="Times New Roman" w:hAnsi="Times New Roman"/>
          <w:sz w:val="20"/>
        </w:rPr>
      </w:pPr>
      <w:r>
        <w:rPr>
          <w:rFonts w:ascii="Times New Roman" w:hAnsi="Times New Roman"/>
          <w:i/>
          <w:color w:val="000000"/>
          <w:sz w:val="20"/>
        </w:rPr>
        <w:t>5 Columbia</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18, 2024 and June 3, 2024, the Company entered into Lease Amendment #2 and Lease Amendment #3, respectively, to that certain Lease Agreement dated January 10, 2018, as amended on April 5, 2022, with Clifford D. Downs, for an approximately 19,680 square foot industrial facility located at 5 Columbia in Aliso Viejo, California (collectively the “5 Columbia Amendments”). Pursuant to the 5 Columbia Amendments, the term of the lease was extended 70 months, beginning on April 1, 2025 and ending on January 31, 2031. The parties agreed to the base rent rate payable over the 70 month term as set forth in the 5 Columbia Amendments. The base rent is initially $30,701 per month and includes fixed rent escalations beginning on April 1, 2027. The Company has two options to extend the term of the lease, with each option to extend being for a term of 60 months, commencing when the prior term expires.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following table presents the lease balances within the consolidated balance sheets (in thousands): </w:t>
      </w:r>
    </w:p>
    <w:tbl>
      <w:tblPr>
        <w:tblW w:w="8267" w:type="dxa"/>
        <w:jc w:val="left"/>
        <w:tblInd w:w="0" w:type="dxa"/>
        <w:tblLayout w:type="fixed"/>
        <w:tblCellMar>
          <w:top w:w="28" w:type="dxa"/>
          <w:left w:w="28" w:type="dxa"/>
          <w:bottom w:w="28" w:type="dxa"/>
          <w:right w:w="28" w:type="dxa"/>
        </w:tblCellMar>
      </w:tblPr>
      <w:tblGrid>
        <w:gridCol w:w="1831"/>
        <w:gridCol w:w="146"/>
        <w:gridCol w:w="2941"/>
        <w:gridCol w:w="146"/>
        <w:gridCol w:w="299"/>
        <w:gridCol w:w="961"/>
        <w:gridCol w:w="146"/>
        <w:gridCol w:w="146"/>
        <w:gridCol w:w="299"/>
        <w:gridCol w:w="96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As the implicit rates in the Company’s leases were not readily available, the incremental borrowing rate was determined based upon information available at the lease commencement date in determining the present value of future lease payments.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the years ended December 31, 2025, 2024 and 2023, the components of operating and finance lease expenses were as follows (in thousands): </w:t>
      </w:r>
    </w:p>
    <w:tbl>
      <w:tblPr>
        <w:tblW w:w="8256" w:type="dxa"/>
        <w:jc w:val="left"/>
        <w:tblInd w:w="0" w:type="dxa"/>
        <w:tblLayout w:type="fixed"/>
        <w:tblCellMar>
          <w:top w:w="28" w:type="dxa"/>
          <w:left w:w="28" w:type="dxa"/>
          <w:bottom w:w="28" w:type="dxa"/>
          <w:right w:w="28" w:type="dxa"/>
        </w:tblCellMar>
      </w:tblPr>
      <w:tblGrid>
        <w:gridCol w:w="1756"/>
        <w:gridCol w:w="146"/>
        <w:gridCol w:w="2941"/>
        <w:gridCol w:w="146"/>
        <w:gridCol w:w="211"/>
        <w:gridCol w:w="571"/>
        <w:gridCol w:w="146"/>
        <w:gridCol w:w="146"/>
        <w:gridCol w:w="211"/>
        <w:gridCol w:w="571"/>
        <w:gridCol w:w="146"/>
        <w:gridCol w:w="146"/>
        <w:gridCol w:w="211"/>
        <w:gridCol w:w="571"/>
        <w:gridCol w:w="14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Twelve Months Ended December 31,</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Maturities of the Company’s operating and finance lease liabilities as of December 31, 2025, were as follows (in thousands): </w:t>
      </w:r>
    </w:p>
    <w:tbl>
      <w:tblPr>
        <w:tblW w:w="5132" w:type="dxa"/>
        <w:jc w:val="left"/>
        <w:tblInd w:w="0" w:type="dxa"/>
        <w:tblLayout w:type="fixed"/>
        <w:tblCellMar>
          <w:top w:w="28" w:type="dxa"/>
          <w:left w:w="28" w:type="dxa"/>
          <w:bottom w:w="28" w:type="dxa"/>
          <w:right w:w="28" w:type="dxa"/>
        </w:tblCellMar>
      </w:tblPr>
      <w:tblGrid>
        <w:gridCol w:w="2326"/>
        <w:gridCol w:w="146"/>
        <w:gridCol w:w="232"/>
        <w:gridCol w:w="744"/>
        <w:gridCol w:w="166"/>
        <w:gridCol w:w="146"/>
        <w:gridCol w:w="260"/>
        <w:gridCol w:w="521"/>
        <w:gridCol w:w="5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weighted average remaining lease term and weighted average discount rate used to determine lease liabilities related to the Company’s operating and finance leases as of December 31, 2025, 2024 and 2023, were: </w:t>
      </w:r>
    </w:p>
    <w:tbl>
      <w:tblPr>
        <w:tblW w:w="7737" w:type="dxa"/>
        <w:jc w:val="left"/>
        <w:tblInd w:w="0" w:type="dxa"/>
        <w:tblLayout w:type="fixed"/>
        <w:tblCellMar>
          <w:top w:w="28" w:type="dxa"/>
          <w:left w:w="28" w:type="dxa"/>
          <w:bottom w:w="28" w:type="dxa"/>
          <w:right w:w="28" w:type="dxa"/>
        </w:tblCellMar>
      </w:tblPr>
      <w:tblGrid>
        <w:gridCol w:w="3901"/>
        <w:gridCol w:w="146"/>
        <w:gridCol w:w="173"/>
        <w:gridCol w:w="555"/>
        <w:gridCol w:w="322"/>
        <w:gridCol w:w="173"/>
        <w:gridCol w:w="173"/>
        <w:gridCol w:w="555"/>
        <w:gridCol w:w="322"/>
        <w:gridCol w:w="173"/>
        <w:gridCol w:w="173"/>
        <w:gridCol w:w="555"/>
        <w:gridCol w:w="5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Twelve Months Ended December 31,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Term and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120"/>
        <w:jc w:val="left"/>
        <w:rPr>
          <w:rFonts w:ascii="Times New Roman" w:hAnsi="Times New Roman"/>
          <w:sz w:val="20"/>
        </w:rPr>
      </w:pPr>
      <w:r>
        <w:rPr>
          <w:rFonts w:ascii="Times New Roman" w:hAnsi="Times New Roman"/>
          <w:b/>
          <w:color w:val="000000"/>
          <w:sz w:val="20"/>
        </w:rPr>
        <w:t>Note 12 – Commitments and Contingencies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i/>
          <w:color w:val="000000"/>
          <w:sz w:val="20"/>
        </w:rPr>
        <w:t>Letter of credit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Company's standby letter of credit was not required to be renewed and expired on September 30, 2024.</w:t>
      </w:r>
    </w:p>
    <w:p>
      <w:pPr>
        <w:pStyle w:val="TextBody"/>
        <w:bidi w:val="0"/>
        <w:jc w:val="left"/>
        <w:rPr>
          <w:rFonts w:ascii="Times New Roman" w:hAnsi="Times New Roman"/>
          <w:sz w:val="20"/>
        </w:rPr>
      </w:pPr>
      <w:r>
        <w:rPr>
          <w:rFonts w:ascii="Times New Roman" w:hAnsi="Times New Roman"/>
          <w:i/>
          <w:color w:val="000000"/>
          <w:sz w:val="20"/>
        </w:rPr>
        <w:t>Legal matters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occasionally becomes involved in litigation arising in the normal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w:t>
      </w:r>
    </w:p>
    <w:p>
      <w:pPr>
        <w:pStyle w:val="TextBody"/>
        <w:bidi w:val="0"/>
        <w:jc w:val="left"/>
        <w:rPr>
          <w:rFonts w:ascii="Times New Roman" w:hAnsi="Times New Roman"/>
          <w:i/>
          <w:color w:val="000000"/>
          <w:sz w:val="20"/>
        </w:rPr>
      </w:pPr>
      <w:r>
        <w:rPr>
          <w:rFonts w:ascii="Times New Roman" w:hAnsi="Times New Roman"/>
          <w:i/>
          <w:color w:val="000000"/>
          <w:sz w:val="20"/>
        </w:rPr>
        <w:t>Securities Class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22, 2025, a putative securities class action complaint was filed in the U.S. District Court for the Central District of California against the Company and certain of its officers, captioned Makaveev v. RxSight, Inc., et al., No. 8:25-cv-01596. The lawsuit asserts claims under Sections 10(b) and 20(a) of the Securities Exchange Act of 1934 and SEC Rule 10b-5, alleging that the defendants made materially false and misleading statements and omitted material adverse facts regarding demand for the Company’s products and financial guidance. On September 16, 2025, a related putative securities class action complaint was filed in the U.S. District Court for the Central District of California against the Company and certain of its officers, captioned Gémesi v. RxSight, Inc., et al., No. 25-cv-02093. On October 6, 2025, the court entered an order consolidating the Makaveev and Gémesi actions, appointing a lead plaintiff and approving selection of lead counsel, and re-captioning the case as In re RxSight Securities Litigation, No. 8:25-cv-01596-FWS-KES. A consolidated, amended complaint was filed on December 12, 2025. Defendants’ motion to dismiss was filed on February 13, 2026. The plaintiffs seek unspecified compensatory and punitive damages, and reasonable costs and expenses, including attorneys’ fees.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Shareholder Derivative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18, 2025, a shareholder derivative action was filed in the U.S. District Court for the Central District of California against certain of the Company’s officers and directors, captioned Swift v. Kurtz, et al., Case No. 8:25-cv-01820-FWS-KES. The plaintiff purports to bring the action derivatively on behalf of the Company, and the Company is named as a nominal defendant. The complaint generally alleges that the defendants made false and misleading statements and omitted material adverse facts regarding declining sales, demand for the Company’s products, and financial guidance, and the Company lacked internal controls. The complaint asserts claims for alleged violations of Section 14(a) of the Exchange Act, as well as claims for alleged breaches of fiduciary duties, aiding and abetting, unjust enrichment, and waste of corporate assets. The complaint seeks unspecified damages on behalf of the Company, declaratory relief, a constructive trust, punitive damages, and an award of costs and expenses, including attorneys’ fees. On October 2, 2025, the court entered an order staying proceedings in the Swift action until a final resolution of the Securities Class Actions, including the exhaustion of any appeals.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10, 2025, a related shareholder derivative action was filed in the U.S. District Court for the Central District of California against certain of the Company’s officers and directors, captioned Yost v. Kurtz, et al., Case No. 8:25-cv-2295. The complaint asserts claims for alleged breaches of fiduciary duties, gross mismanagement, waste of corporate assets, unjust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enrichment, aiding and abetting, insider trading, and alleged violations of Section 14(a) of the Exchange Act and seeks unspecified damages on behalf of the Company, declaratory relief, disgorgement, corporate governance reforms, and an award of costs and expenses, including attorneys’ fees.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13, 2025, the Court entered an order consolidating the </w:t>
      </w:r>
      <w:r>
        <w:rPr>
          <w:rFonts w:ascii="Times New Roman" w:hAnsi="Times New Roman"/>
          <w:i/>
          <w:color w:val="000000"/>
          <w:sz w:val="20"/>
        </w:rPr>
        <w:t xml:space="preserve">Swift </w:t>
      </w:r>
      <w:r>
        <w:rPr>
          <w:rFonts w:ascii="Times New Roman" w:hAnsi="Times New Roman"/>
          <w:color w:val="000000"/>
          <w:sz w:val="20"/>
        </w:rPr>
        <w:t xml:space="preserve">and </w:t>
      </w:r>
      <w:r>
        <w:rPr>
          <w:rFonts w:ascii="Times New Roman" w:hAnsi="Times New Roman"/>
          <w:i/>
          <w:color w:val="000000"/>
          <w:sz w:val="20"/>
        </w:rPr>
        <w:t xml:space="preserve">Yost </w:t>
      </w:r>
      <w:r>
        <w:rPr>
          <w:rFonts w:ascii="Times New Roman" w:hAnsi="Times New Roman"/>
          <w:color w:val="000000"/>
          <w:sz w:val="20"/>
        </w:rPr>
        <w:t>actions and staying the consolidated derivative action until the final resolution of the Securities Class Actions, including the exhaustion of any appeals.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it is too early to predict the outcome of the litigation or a reasonable range of potential losses and whether an adverse result would have a material adverse impact on the Company's results of operations or financial position, the company believes it has meritorious defenses, vehemently denies the allegations, and intends to defend the case vigorously. Failure to obtain a favorable resolution of this lawsuit could have a material adverse effect on the Company’s business, results of operations and financial condition.</w:t>
        <w:b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Note 13 – Employee benefit plan</w:t>
      </w:r>
    </w:p>
    <w:p>
      <w:pPr>
        <w:pStyle w:val="TextBody"/>
        <w:bidi w:val="0"/>
        <w:spacing w:before="40" w:after="120"/>
        <w:jc w:val="left"/>
        <w:rPr>
          <w:rFonts w:ascii="Times New Roman" w:hAnsi="Times New Roman"/>
          <w:i/>
          <w:color w:val="000000"/>
          <w:sz w:val="20"/>
        </w:rPr>
      </w:pPr>
      <w:r>
        <w:rPr>
          <w:rFonts w:ascii="Times New Roman" w:hAnsi="Times New Roman"/>
          <w:i/>
          <w:color w:val="000000"/>
          <w:sz w:val="20"/>
        </w:rPr>
        <w:t>401(k) retirement savings plan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maintains a defined contribution 401(k) retirement savings plan for the benefit of its employees, including its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The Company makes matching contributions of up to 2% of eligible compensation, as contributed by eligible participating employees. Employer matching contributions vest 25% per year over four years. The Company contributed $1.1 million, $1.1 million, and $0.9 million, net of forfeitures, to the 401(k) plan for the year ended December 31, 2025, 2024 and 2023,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9_changes_in_and_disagreements"/>
      <w:bookmarkEnd w:id="20"/>
      <w:r>
        <w:rPr>
          <w:rFonts w:ascii="Times New Roman" w:hAnsi="Times New Roman"/>
          <w:b/>
          <w:color w:val="000000"/>
          <w:sz w:val="20"/>
        </w:rPr>
        <w:t>Item 9. Changes in and Disagreements With Accountants on Accounting and Financial Disclosure.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40" w:after="120"/>
        <w:jc w:val="left"/>
        <w:rPr>
          <w:rFonts w:ascii="Times New Roman" w:hAnsi="Times New Roman"/>
          <w:b/>
          <w:color w:val="000000"/>
          <w:sz w:val="20"/>
        </w:rPr>
      </w:pPr>
      <w:bookmarkStart w:id="21" w:name="item_9a_controls_and_procedures"/>
      <w:bookmarkEnd w:id="21"/>
      <w:r>
        <w:rPr>
          <w:rFonts w:ascii="Times New Roman" w:hAnsi="Times New Roman"/>
          <w:b/>
          <w:color w:val="000000"/>
          <w:sz w:val="20"/>
        </w:rPr>
        <w:t>Item 9A. Controls and Procedures.</w:t>
      </w:r>
    </w:p>
    <w:p>
      <w:pPr>
        <w:pStyle w:val="TextBody"/>
        <w:bidi w:val="0"/>
        <w:spacing w:before="40" w:after="12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2025,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Changes in internal controls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Management’s Annual Report on Internal Control Over Financial Reporting and Attestation Report of the Registered Public Accounting Firm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conducted an evaluation of the effectiveness of our internal control over financial reporting as of the end of the period covered by this report based on the framework in Internal Control – Integrated Framework (2013) issued by the Committee of Sponsoring Organizations of the Treadway Commission. Based on this evaluation, management concluded that the Company’s internal control over financial reporting was effective as of December 31, 2025.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Ernst &amp; Young LLP, our independent registered public accounting firm, which audited the consolidated financial statements included in this report, has issued an attestation report on our internal control over financial reporting, which is set forth below.</w:t>
      </w:r>
    </w:p>
    <w:p>
      <w:pPr>
        <w:pStyle w:val="TextBody"/>
        <w:bidi w:val="0"/>
        <w:spacing w:before="0" w:after="160"/>
        <w:jc w:val="left"/>
        <w:rPr>
          <w:rFonts w:ascii="Times New Roman" w:hAnsi="Times New Roman"/>
          <w:sz w:val="20"/>
        </w:rPr>
      </w:pPr>
      <w:r>
        <w:rPr>
          <w:rFonts w:ascii="Times New Roman" w:hAnsi="Times New Roman"/>
          <w:i/>
          <w:color w:val="000000"/>
          <w:sz w:val="20"/>
        </w:rPr>
        <w:t>Limitations on the effectiveness of controls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RxSight, Inc.</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We have audited RxSight, Inc.’s internal control over financial reporting as of December 31, 2025, based on criteria established in Internal Control—Integrated Framework issued by the Committee of Sponsoring Organizations of the Treadway Commission (2013 framework) (the COSO criteria). In our opinion, RxSight, Inc. (the Company) maintained, in all material respects, effective internal control over financial reporting as of December 31, 2025, based on the COSO criteria.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stockholders’ equity and cash flows for each of the three years in the period ended December 31, 2025, and the related notes and our report dated February 25, 2026 expressed an unqualified opinion thereon.</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and Attestation Report of the Registered Public Accounting Firm.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rFonts w:ascii="Times New Roman" w:hAnsi="Times New Roman"/>
          <w:color w:val="000000"/>
          <w:sz w:val="20"/>
        </w:rPr>
      </w:pPr>
      <w:r>
        <w:rPr>
          <w:rFonts w:ascii="Times New Roman" w:hAnsi="Times New Roman"/>
          <w:color w:val="000000"/>
          <w:sz w:val="20"/>
        </w:rPr>
        <w:t>Irvine, California</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color w:val="000000"/>
          <w:sz w:val="20"/>
        </w:rPr>
      </w:pPr>
      <w:bookmarkStart w:id="22" w:name="item_9b"/>
      <w:bookmarkEnd w:id="22"/>
      <w:r>
        <w:rPr>
          <w:rFonts w:ascii="Times New Roman" w:hAnsi="Times New Roman"/>
          <w:b/>
          <w:color w:val="000000"/>
          <w:sz w:val="20"/>
        </w:rPr>
        <w:t>Item 9B. Other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23" w:name="item_9c_disclosure_regarding_foreign"/>
      <w:bookmarkEnd w:id="23"/>
      <w:r>
        <w:rPr>
          <w:rFonts w:ascii="Times New Roman" w:hAnsi="Times New Roman"/>
          <w:b/>
          <w:color w:val="000000"/>
          <w:sz w:val="20"/>
        </w:rPr>
        <w:t>Item 9C. Disclosure Regarding Foreign Jurisdictions that Prevent Inspections.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360" w:after="283"/>
        <w:jc w:val="left"/>
        <w:rPr>
          <w:rFonts w:ascii="Times New Roman" w:hAnsi="Times New Roman"/>
          <w:b/>
          <w:color w:val="000000"/>
          <w:sz w:val="20"/>
        </w:rPr>
      </w:pPr>
      <w:bookmarkStart w:id="24" w:name="item_10_directors_executive_officers"/>
      <w:bookmarkEnd w:id="24"/>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called for by this item will be set forth in our Proxy Statement for the Annual Meeting of Stockholders to be filed with the SEC within 120 days of the fiscal year ended December 31, 2025 (the “Proxy Statement”) and is incorporated herein by reference.</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Code of Business Conduct and Ethics</w:t>
      </w:r>
    </w:p>
    <w:p>
      <w:pPr>
        <w:pStyle w:val="TextBody"/>
        <w:bidi w:val="0"/>
        <w:jc w:val="left"/>
        <w:rPr>
          <w:rFonts w:ascii="Times New Roman" w:hAnsi="Times New Roman"/>
          <w:color w:val="000000"/>
          <w:sz w:val="20"/>
        </w:rPr>
      </w:pPr>
      <w:r>
        <w:rPr>
          <w:rFonts w:ascii="Times New Roman" w:hAnsi="Times New Roman"/>
          <w:color w:val="000000"/>
          <w:sz w:val="20"/>
        </w:rPr>
        <w:t>The information called for by this item will be set forth in our Proxy Statement for the Annual Meeting of Stockholders to be filed with the SEC within 120 days of the fiscal year ended December 31, 2025 (the “Proxy Statement”) and is incorporated herein by reference.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of Directors has adopted a Code of Business Conduct and Ethics applicable to all employees, officers and directors of the Company. The full text of our Code of Business Conduct and Ethics is posted on our investor relations website at </w:t>
      </w:r>
      <w:r>
        <w:rPr>
          <w:rFonts w:ascii="Times New Roman" w:hAnsi="Times New Roman"/>
          <w:sz w:val="20"/>
        </w:rPr>
        <w:t>https://investors.rxsight.com/corporate-governance/governance-overview.</w:t>
      </w:r>
      <w:r>
        <w:rPr>
          <w:rFonts w:ascii="Times New Roman" w:hAnsi="Times New Roman"/>
          <w:color w:val="000000"/>
          <w:sz w:val="20"/>
        </w:rPr>
        <w:t xml:space="preserve"> We will post any amendments to our code of business conduct and ethics or waivers of its requirements, on its website.</w:t>
      </w:r>
    </w:p>
    <w:p>
      <w:pPr>
        <w:pStyle w:val="TextBody"/>
        <w:bidi w:val="0"/>
        <w:spacing w:before="360" w:after="283"/>
        <w:jc w:val="left"/>
        <w:rPr>
          <w:rFonts w:ascii="Times New Roman" w:hAnsi="Times New Roman"/>
          <w:b/>
          <w:color w:val="000000"/>
          <w:sz w:val="20"/>
        </w:rPr>
      </w:pPr>
      <w:bookmarkStart w:id="25" w:name="item_11_executive_compensation"/>
      <w:bookmarkEnd w:id="25"/>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applicable information set forth in “Board of Directors and Corporate Governance,” and “Executive Compensation” which will be included in our Proxy Statement.</w:t>
      </w:r>
    </w:p>
    <w:p>
      <w:pPr>
        <w:pStyle w:val="TextBody"/>
        <w:bidi w:val="0"/>
        <w:spacing w:before="360" w:after="283"/>
        <w:jc w:val="left"/>
        <w:rPr>
          <w:rFonts w:ascii="Times New Roman" w:hAnsi="Times New Roman"/>
          <w:b/>
          <w:color w:val="000000"/>
          <w:sz w:val="20"/>
        </w:rPr>
      </w:pPr>
      <w:bookmarkStart w:id="26" w:name="item_12_security_ownership"/>
      <w:bookmarkEnd w:id="26"/>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applicable information set forth in “Security Ownership of Certain Beneficial Owners and Management” which will be included in our Proxy Statement.</w:t>
      </w:r>
    </w:p>
    <w:p>
      <w:pPr>
        <w:pStyle w:val="TextBody"/>
        <w:bidi w:val="0"/>
        <w:spacing w:before="360" w:after="283"/>
        <w:jc w:val="left"/>
        <w:rPr>
          <w:rFonts w:ascii="Times New Roman" w:hAnsi="Times New Roman"/>
          <w:b/>
          <w:color w:val="000000"/>
          <w:sz w:val="20"/>
        </w:rPr>
      </w:pPr>
      <w:bookmarkStart w:id="27" w:name="item_13_certain_relationships"/>
      <w:bookmarkEnd w:id="27"/>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applicable information set forth in “Certain Relationships and Related Party Transactions” and “Board of Directors and Corporate Governance” which will be included in our Proxy Statement.</w:t>
      </w:r>
    </w:p>
    <w:p>
      <w:pPr>
        <w:pStyle w:val="TextBody"/>
        <w:bidi w:val="0"/>
        <w:spacing w:before="360" w:after="283"/>
        <w:jc w:val="left"/>
        <w:rPr>
          <w:rFonts w:ascii="Times New Roman" w:hAnsi="Times New Roman"/>
          <w:b/>
          <w:color w:val="000000"/>
          <w:sz w:val="20"/>
        </w:rPr>
      </w:pPr>
      <w:bookmarkStart w:id="28" w:name="item_14_principal_accounting_fees"/>
      <w:bookmarkEnd w:id="28"/>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applicable information set forth in “Ratification of Independent Registered Public Accounting Firm” which will be included in our Proxy Statement.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29" w:name="item_15_exhibits_financial_statement"/>
      <w:bookmarkEnd w:id="29"/>
      <w:r>
        <w:rPr>
          <w:rFonts w:ascii="Times New Roman" w:hAnsi="Times New Roman"/>
          <w:b/>
          <w:color w:val="000000"/>
          <w:sz w:val="20"/>
        </w:rPr>
        <w:t>Item 15. Exhibit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List the following documents filed as a part of this Annual Report on Form 10-K:</w:t>
        <w:b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Financial Statements: The financial statements included in Part II, Item 8 of this document are filed as part of this Annual Report on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Schedules have been omitted because the information either has been shown in the financial statements or notes thereto.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exhibits listed in the following Exhibit Index are filed or incorporated by reference as part of this Annual Report on Form 10-K.</w:t>
      </w:r>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11"/>
        <w:gridCol w:w="5682"/>
        <w:gridCol w:w="586"/>
        <w:gridCol w:w="953"/>
        <w:gridCol w:w="736"/>
        <w:gridCol w:w="1437"/>
      </w:tblGrid>
      <w:tr>
        <w:trPr/>
        <w:tc>
          <w:tcPr>
            <w:tcW w:w="811" w:type="dxa"/>
            <w:tcBorders/>
            <w:vAlign w:val="center"/>
          </w:tcPr>
          <w:p>
            <w:pPr>
              <w:pStyle w:val="TableContents"/>
              <w:bidi w:val="0"/>
              <w:spacing w:before="0" w:after="283"/>
              <w:jc w:val="left"/>
              <w:rPr>
                <w:sz w:val="4"/>
                <w:szCs w:val="4"/>
              </w:rPr>
            </w:pPr>
            <w:r>
              <w:rPr>
                <w:sz w:val="4"/>
                <w:szCs w:val="4"/>
              </w:rPr>
            </w:r>
          </w:p>
        </w:tc>
        <w:tc>
          <w:tcPr>
            <w:tcW w:w="56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5682" w:type="dxa"/>
            <w:tcBorders/>
            <w:tcMar>
              <w:top w:w="0" w:type="dxa"/>
              <w:left w:w="0" w:type="dxa"/>
              <w:bottom w:w="0" w:type="dxa"/>
              <w:right w:w="0" w:type="dxa"/>
            </w:tcMar>
            <w:vAlign w:val="center"/>
          </w:tcPr>
          <w:p>
            <w:pPr>
              <w:pStyle w:val="TableContents"/>
              <w:bidi w:val="0"/>
              <w:spacing w:before="0" w:after="283"/>
              <w:jc w:val="left"/>
              <w:rPr/>
            </w:pPr>
            <w:r>
              <w:rPr/>
              <w:t> </w:t>
            </w:r>
          </w:p>
        </w:tc>
        <w:tc>
          <w:tcPr>
            <w:tcW w:w="3712"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56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Form</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File No.</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Filing Date</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Certificate of Incorporation of the Registrant.</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12, 2022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Specimen stock certificate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26, 2021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Description of common stock.</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Indemnification Agreement between the Registrant and each of its directors and executive officers.</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56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2015 Equity Incentive Plan of the registrant, as amended, and forms of agreement thereunder.</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26, 2021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6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2021 Equity Incentive Plan of the registrant, as amended, and forms of agreement thereunder.</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2021 Employee Stock Purchase Plan of the registrant.</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10, 2021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5"/>
        <w:gridCol w:w="6886"/>
        <w:gridCol w:w="335"/>
        <w:gridCol w:w="966"/>
        <w:gridCol w:w="571"/>
        <w:gridCol w:w="902"/>
      </w:tblGrid>
      <w:tr>
        <w:trPr/>
        <w:tc>
          <w:tcPr>
            <w:tcW w:w="545"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License Agreement by and between the Registrant and the California Institute of Technology, dated as of July 28, 2015.</w:t>
              </w:r>
            </w:hyperlink>
          </w:p>
        </w:tc>
        <w:tc>
          <w:tcPr>
            <w:tcW w:w="3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9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License and Maintenance Agreement between QAD, Inc. and its subsidiaries and the Registrant, dated as of October 29, 2015.</w:t>
              </w:r>
            </w:hyperlink>
          </w:p>
        </w:tc>
        <w:tc>
          <w:tcPr>
            <w:tcW w:w="3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9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QAD Hosted On Premise Project Proposal between Strategic Information Group and the Registrant, dated as of October 29, 2015.</w:t>
              </w:r>
            </w:hyperlink>
          </w:p>
        </w:tc>
        <w:tc>
          <w:tcPr>
            <w:tcW w:w="3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9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Cloud Services Agreement between QAD, Inc. and its subsidiaries and the Registrant, dated as of May 28, 2021.</w:t>
              </w:r>
            </w:hyperlink>
          </w:p>
        </w:tc>
        <w:tc>
          <w:tcPr>
            <w:tcW w:w="3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9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6880"/>
        <w:gridCol w:w="395"/>
        <w:gridCol w:w="790"/>
        <w:gridCol w:w="571"/>
        <w:gridCol w:w="983"/>
      </w:tblGrid>
      <w:tr>
        <w:trPr/>
        <w:tc>
          <w:tcPr>
            <w:tcW w:w="586" w:type="dxa"/>
            <w:tcBorders/>
            <w:vAlign w:val="center"/>
          </w:tcPr>
          <w:p>
            <w:pPr>
              <w:pStyle w:val="TableContents"/>
              <w:bidi w:val="0"/>
              <w:spacing w:before="0" w:after="283"/>
              <w:jc w:val="left"/>
              <w:rPr>
                <w:sz w:val="4"/>
                <w:szCs w:val="4"/>
              </w:rPr>
            </w:pPr>
            <w:r>
              <w:rPr>
                <w:sz w:val="4"/>
                <w:szCs w:val="4"/>
              </w:rPr>
            </w:r>
          </w:p>
        </w:tc>
        <w:tc>
          <w:tcPr>
            <w:tcW w:w="68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6880"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Lease, dated as of April 18, 2024, by and between BML Management, LLC, and the Registrant, for premises located at 125 Columbia, Aliso Viejo, California 92656.</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6880"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Lease, dated as of October 27, 2015, by and between the Registrant and Accuride International Inc., as amended by that certain First Amendment to Lease, dated November 23, 2015, that certain Second Amendment to Lease, dated December 22, 2015, that certain Third Amendment to Lease, dated January 18, 2016, and that certain Fourth Amendment to Lease, dated November 12, 2016, for premises located at 100-150 Columbia, Suites 100 and 200, Aliso Viejo, California 92656.</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6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Fifth Amendment (extension to the lease), dated as of April 18, 2024, by and between the Registrant and Accuride International Inc., for premises located at 100 Columbia, Suite 100, Aliso Viejo, California 92656.</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6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Sixth Amendment (extension to the lease), dated as of June 3, 2024, by and between the Registrant and Accuride International Inc., for premises located at 100 Columbia, Suite 100, Aliso Viejo, California 92656.</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6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Seventh Amendment (extension to the lease), dated as of November 6, 2024, by and between the Registrant and Accuride International Inc., for premises located at 120 Columbia, Suites 300-500, Aliso Viejo, California 92656.</w:t>
              </w:r>
            </w:hyperlink>
          </w:p>
        </w:tc>
        <w:tc>
          <w:tcPr>
            <w:tcW w:w="3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9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6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Lease, dated as of March 27, 2020, by and between Pacific Park Investments, Inc. and the Registrant, for premises located at 75 Columbia, Aliso Viejo, California 92656.</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6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Lease, dated as of January 10, 2018, by and between the Registrant and Clifford D. Downs, as amended by that certain Commencement Date Memorandum dated as of February 22, 2018, for premises located at 5 Columbia, Aliso Viejo, California 92656.</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6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Lease Addendum, dated as of April 5, 2022, by and between the Registrant and Clifford D. Downs for premises located at 5 Columbia, Aliso Viejo, California 92656.</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5, 2022</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6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Lease Amendment #2, dated as of April 18, 2024, by and between the Registrant and Clifford D. Downs for premises located at 5 Columbia, Aliso Viejo, California 92656.</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6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Lease Amendment #3, dated as of June 3, 2024, by and between the Registrant and Clifford D.</w:t>
              </w:r>
            </w:hyperlink>
            <w:hyperlink r:id="rId30">
              <w:r>
                <w:rPr>
                  <w:rStyle w:val="InternetLink"/>
                  <w:rFonts w:ascii="Times New Roman" w:hAnsi="Times New Roman"/>
                  <w:color w:val="0000FF"/>
                  <w:sz w:val="20"/>
                </w:rPr>
                <w:t xml:space="preserve"> </w:t>
              </w:r>
            </w:hyperlink>
          </w:p>
        </w:tc>
        <w:tc>
          <w:tcPr>
            <w:tcW w:w="39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790"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98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16" w:type="dxa"/>
        <w:jc w:val="left"/>
        <w:tblInd w:w="0" w:type="dxa"/>
        <w:tblLayout w:type="fixed"/>
        <w:tblCellMar>
          <w:top w:w="28" w:type="dxa"/>
          <w:left w:w="28" w:type="dxa"/>
          <w:bottom w:w="28" w:type="dxa"/>
          <w:right w:w="28" w:type="dxa"/>
        </w:tblCellMar>
      </w:tblPr>
      <w:tblGrid>
        <w:gridCol w:w="161"/>
        <w:gridCol w:w="6076"/>
        <w:gridCol w:w="511"/>
        <w:gridCol w:w="1006"/>
        <w:gridCol w:w="466"/>
        <w:gridCol w:w="1396"/>
      </w:tblGrid>
      <w:tr>
        <w:trPr/>
        <w:tc>
          <w:tcPr>
            <w:tcW w:w="161"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Downs for premises located at 5 Columbia, Aliso Viejo, California 92656.</w:t>
              </w:r>
            </w:hyperlink>
          </w:p>
        </w:tc>
        <w:tc>
          <w:tcPr>
            <w:tcW w:w="51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0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4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39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
        <w:gridCol w:w="7033"/>
        <w:gridCol w:w="314"/>
        <w:gridCol w:w="890"/>
        <w:gridCol w:w="571"/>
        <w:gridCol w:w="768"/>
      </w:tblGrid>
      <w:tr>
        <w:trPr/>
        <w:tc>
          <w:tcPr>
            <w:tcW w:w="629" w:type="dxa"/>
            <w:tcBorders/>
            <w:vAlign w:val="center"/>
          </w:tcPr>
          <w:p>
            <w:pPr>
              <w:pStyle w:val="TableContents"/>
              <w:bidi w:val="0"/>
              <w:spacing w:before="0" w:after="283"/>
              <w:jc w:val="left"/>
              <w:rPr>
                <w:sz w:val="4"/>
                <w:szCs w:val="4"/>
              </w:rPr>
            </w:pPr>
            <w:r>
              <w:rPr>
                <w:sz w:val="4"/>
                <w:szCs w:val="4"/>
              </w:rPr>
            </w:r>
          </w:p>
        </w:tc>
        <w:tc>
          <w:tcPr>
            <w:tcW w:w="70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10_19.htm">
              <w:r>
                <w:rPr>
                  <w:rStyle w:val="InternetLink"/>
                  <w:rFonts w:ascii="Times New Roman" w:hAnsi="Times New Roman"/>
                  <w:color w:val="0000FF"/>
                  <w:sz w:val="20"/>
                  <w:u w:val="single"/>
                </w:rPr>
                <w:t>First Amendment to Lease, dated as of March 27, 2020, by and between Pacific Park Investments, Inc. and the Registrant, for premises located at 75 Columbia, Aliso Viejo, California 92656.</w:t>
              </w:r>
            </w:hyperlink>
          </w:p>
        </w:tc>
        <w:tc>
          <w:tcPr>
            <w:tcW w:w="3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Confirmatory Employment Letter, by and between the Registrant and Ron Kurtz, dated as of July 8, 2021.</w:t>
              </w:r>
            </w:hyperlink>
          </w:p>
        </w:tc>
        <w:tc>
          <w:tcPr>
            <w:tcW w:w="31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7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Confirmatory Employment Letter, by and between the Registrant and Shelley Thunen, dated as of July 8, 2021.</w:t>
              </w:r>
            </w:hyperlink>
          </w:p>
        </w:tc>
        <w:tc>
          <w:tcPr>
            <w:tcW w:w="31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7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Confirmatory Employment Letter, by and between the Registrant and Eric Weinberg, dated as of July 8, 2021.</w:t>
              </w:r>
            </w:hyperlink>
          </w:p>
        </w:tc>
        <w:tc>
          <w:tcPr>
            <w:tcW w:w="31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7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Confirmatory Employment Letter, by and between the Registrant and Ilya Goldshleger, dated as of July 8, 2021.</w:t>
              </w:r>
            </w:hyperlink>
          </w:p>
        </w:tc>
        <w:tc>
          <w:tcPr>
            <w:tcW w:w="31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7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10_24.htm">
              <w:r>
                <w:rPr>
                  <w:rStyle w:val="InternetLink"/>
                  <w:rFonts w:ascii="Times New Roman" w:hAnsi="Times New Roman"/>
                  <w:color w:val="0000FF"/>
                  <w:sz w:val="20"/>
                  <w:u w:val="single"/>
                </w:rPr>
                <w:t>Offer Letter by and between the Registrant and Scott Gaines, dated October 28, 2015, as Amended.</w:t>
              </w:r>
            </w:hyperlink>
          </w:p>
        </w:tc>
        <w:tc>
          <w:tcPr>
            <w:tcW w:w="3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10.25*</w:t>
            </w:r>
          </w:p>
          <w:p>
            <w:pPr>
              <w:pStyle w:val="TableContents"/>
              <w:bidi w:val="0"/>
              <w:spacing w:before="0" w:after="283"/>
              <w:jc w:val="left"/>
              <w:rPr/>
            </w:pPr>
            <w:r>
              <w:rPr/>
              <w:t> </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10_25.htm">
              <w:r>
                <w:rPr>
                  <w:rStyle w:val="InternetLink"/>
                  <w:rFonts w:ascii="Times New Roman" w:hAnsi="Times New Roman"/>
                  <w:color w:val="0000FF"/>
                  <w:sz w:val="20"/>
                  <w:u w:val="single"/>
                </w:rPr>
                <w:t>Confirmatory Employment Letter, by and between the Registrant and Mark Wilterding, dated December 15, 2025, as Amended.</w:t>
              </w:r>
            </w:hyperlink>
          </w:p>
        </w:tc>
        <w:tc>
          <w:tcPr>
            <w:tcW w:w="3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Change in Control and Severance Agreement, by and between the Registrant and Ron Kurtz, dated as of July 8, 2021.</w:t>
              </w:r>
            </w:hyperlink>
          </w:p>
        </w:tc>
        <w:tc>
          <w:tcPr>
            <w:tcW w:w="31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7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Change in Control and Severance Agreement, by and between the Registrant and Shelley Thunen, dated as of July 8, 2021.</w:t>
              </w:r>
            </w:hyperlink>
          </w:p>
        </w:tc>
        <w:tc>
          <w:tcPr>
            <w:tcW w:w="31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7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Change in Control and Severance Agreement, by and between the Registrant and Eric Weinberg, dated as of July 8, 2021.</w:t>
              </w:r>
            </w:hyperlink>
          </w:p>
        </w:tc>
        <w:tc>
          <w:tcPr>
            <w:tcW w:w="31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7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Change in Control and Severance Agreement, by and between the Registrant and Ilya Goldshleger, dated as of July 8, 2021.</w:t>
              </w:r>
            </w:hyperlink>
          </w:p>
        </w:tc>
        <w:tc>
          <w:tcPr>
            <w:tcW w:w="31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7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8"/>
        <w:gridCol w:w="8867"/>
        <w:gridCol w:w="146"/>
        <w:gridCol w:w="146"/>
        <w:gridCol w:w="146"/>
        <w:gridCol w:w="192"/>
      </w:tblGrid>
      <w:tr>
        <w:trPr/>
        <w:tc>
          <w:tcPr>
            <w:tcW w:w="708" w:type="dxa"/>
            <w:tcBorders/>
            <w:vAlign w:val="center"/>
          </w:tcPr>
          <w:p>
            <w:pPr>
              <w:pStyle w:val="TableContents"/>
              <w:bidi w:val="0"/>
              <w:spacing w:before="0" w:after="283"/>
              <w:jc w:val="left"/>
              <w:rPr>
                <w:sz w:val="4"/>
                <w:szCs w:val="4"/>
              </w:rPr>
            </w:pPr>
            <w:r>
              <w:rPr>
                <w:sz w:val="4"/>
                <w:szCs w:val="4"/>
              </w:rPr>
            </w:r>
          </w:p>
        </w:tc>
        <w:tc>
          <w:tcPr>
            <w:tcW w:w="8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10_30.htm">
              <w:r>
                <w:rPr>
                  <w:rStyle w:val="InternetLink"/>
                  <w:rFonts w:ascii="Times New Roman" w:hAnsi="Times New Roman"/>
                  <w:color w:val="0000FF"/>
                  <w:sz w:val="20"/>
                  <w:u w:val="single"/>
                </w:rPr>
                <w:t>Change in Control and Severance Agreement, by and between the Registrant and Scott Gaines, dated as of July 27,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10.31* </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10_31.htm">
              <w:r>
                <w:rPr>
                  <w:rStyle w:val="InternetLink"/>
                  <w:rFonts w:ascii="Times New Roman" w:hAnsi="Times New Roman"/>
                  <w:color w:val="0000FF"/>
                  <w:sz w:val="20"/>
                  <w:u w:val="single"/>
                </w:rPr>
                <w:t>Change in Control and Severance Agreement, by and between the Registrant and Mark Wilterding, dated as of December 15,2025.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10_32.htm">
              <w:r>
                <w:rPr>
                  <w:rStyle w:val="InternetLink"/>
                  <w:rFonts w:ascii="Times New Roman" w:hAnsi="Times New Roman"/>
                  <w:color w:val="0000FF"/>
                  <w:sz w:val="20"/>
                  <w:u w:val="single"/>
                </w:rPr>
                <w:t>Transition and Release Agreement, by and between the Registrant and Shelley Thunen, dated as of December 22,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10_33.htm">
              <w:r>
                <w:rPr>
                  <w:rStyle w:val="InternetLink"/>
                  <w:rFonts w:ascii="Times New Roman" w:hAnsi="Times New Roman"/>
                  <w:color w:val="0000FF"/>
                  <w:sz w:val="20"/>
                  <w:u w:val="single"/>
                </w:rPr>
                <w:t>Consulting Agreement, by and between Registrant and Shelley Thunen, dated December 22,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8"/>
        <w:gridCol w:w="6538"/>
        <w:gridCol w:w="422"/>
        <w:gridCol w:w="863"/>
        <w:gridCol w:w="571"/>
        <w:gridCol w:w="1133"/>
      </w:tblGrid>
      <w:tr>
        <w:trPr/>
        <w:tc>
          <w:tcPr>
            <w:tcW w:w="678"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ATM Equity Offering</w:t>
              </w:r>
            </w:hyperlink>
            <w:hyperlink r:id="rId41">
              <w:r>
                <w:rPr>
                  <w:rStyle w:val="InternetLink"/>
                  <w:rFonts w:ascii="Times New Roman" w:hAnsi="Times New Roman"/>
                  <w:color w:val="0000FF"/>
                  <w:sz w:val="13"/>
                  <w:u w:val="single"/>
                </w:rPr>
                <w:t>SM</w:t>
              </w:r>
            </w:hyperlink>
            <w:hyperlink r:id="rId42">
              <w:r>
                <w:rPr>
                  <w:rStyle w:val="InternetLink"/>
                  <w:rFonts w:ascii="Times New Roman" w:hAnsi="Times New Roman"/>
                  <w:color w:val="0000FF"/>
                  <w:sz w:val="20"/>
                  <w:u w:val="single"/>
                </w:rPr>
                <w:t xml:space="preserve"> Sales Agreement, dated August 8, 2022, between the Company and BofA Securities, Inc.</w:t>
              </w:r>
            </w:hyperlink>
          </w:p>
        </w:tc>
        <w:tc>
          <w:tcPr>
            <w:tcW w:w="42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86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333-266651</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13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2022</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Executive Incentive Compensation Plan</w:t>
              </w:r>
            </w:hyperlink>
          </w:p>
        </w:tc>
        <w:tc>
          <w:tcPr>
            <w:tcW w:w="4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10.35</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2023</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Outside Director Compensation Policy</w:t>
              </w:r>
            </w:hyperlink>
          </w:p>
        </w:tc>
        <w:tc>
          <w:tcPr>
            <w:tcW w:w="4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10.33</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Insider Trading Policy</w:t>
              </w:r>
            </w:hyperlink>
          </w:p>
        </w:tc>
        <w:tc>
          <w:tcPr>
            <w:tcW w:w="4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Subsidiaries of the Registrant.</w:t>
              </w:r>
            </w:hyperlink>
          </w:p>
        </w:tc>
        <w:tc>
          <w:tcPr>
            <w:tcW w:w="4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23_1.htm">
              <w:r>
                <w:rPr>
                  <w:rStyle w:val="InternetLink"/>
                  <w:rFonts w:ascii="Times New Roman" w:hAnsi="Times New Roman"/>
                  <w:color w:val="0000FF"/>
                  <w:sz w:val="20"/>
                  <w:u w:val="single"/>
                </w:rPr>
                <w:t>Consent of Independent Registered Public Accounting Firm.</w:t>
              </w:r>
            </w:hyperlink>
          </w:p>
        </w:tc>
        <w:tc>
          <w:tcPr>
            <w:tcW w:w="4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538"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rxst-ex31_1.htm">
              <w:r>
                <w:rPr>
                  <w:rStyle w:val="InternetLink"/>
                  <w:rFonts w:ascii="Times New Roman" w:hAnsi="Times New Roman"/>
                  <w:color w:val="0000FF"/>
                  <w:sz w:val="20"/>
                </w:rPr>
                <w:t xml:space="preserve"> </w:t>
              </w:r>
            </w:hyperlink>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538"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hyperlink w:anchor="rxst-ex31_2.htm">
              <w:r>
                <w:rPr>
                  <w:rStyle w:val="InternetLink"/>
                  <w:rFonts w:ascii="Times New Roman" w:hAnsi="Times New Roman"/>
                  <w:color w:val="0000FF"/>
                  <w:sz w:val="20"/>
                </w:rPr>
                <w:t xml:space="preserve"> </w:t>
              </w:r>
            </w:hyperlink>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538"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538"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Compensation Recovery Policy</w:t>
              </w:r>
            </w:hyperlink>
          </w:p>
        </w:tc>
        <w:tc>
          <w:tcPr>
            <w:tcW w:w="4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2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2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2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pBdr>
          <w:bottom w:val="single" w:sz="4" w:space="1" w:color="000000"/>
        </w:pBdr>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certifications attached as Exhibit 32.1 and 32.2 that accompany this Annual Report on Form 10-K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Annual Report on Form 10-K, irrespective of any general incorporation language contained in such filing.</w:t>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compensatory plan or arrangement.</w:t>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the exhibit were omitted pursuant to Item 601(b)(10) of Regulation S-K. The Company agrees to furnish to the Securities and Exchange Commission a copy of any omitted portions of the exhibit upon request.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30" w:name="item_16_form_10k_summary"/>
      <w:bookmarkEnd w:id="30"/>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849" w:type="dxa"/>
        <w:jc w:val="left"/>
        <w:tblInd w:w="0" w:type="dxa"/>
        <w:tblLayout w:type="fixed"/>
        <w:tblCellMar>
          <w:top w:w="28" w:type="dxa"/>
          <w:left w:w="28" w:type="dxa"/>
          <w:bottom w:w="28" w:type="dxa"/>
          <w:right w:w="28" w:type="dxa"/>
        </w:tblCellMar>
      </w:tblPr>
      <w:tblGrid>
        <w:gridCol w:w="2086"/>
        <w:gridCol w:w="146"/>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RxSight,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Ron Kurtz, M.D. and Mark Wilterding as such individual’s true and lawful attorney in fact and agent with full power of substitution, for such individual in any and all capacities, to sign any and all amendments to this Annual Report on Form 10-K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710" w:type="dxa"/>
        <w:jc w:val="left"/>
        <w:tblInd w:w="0" w:type="dxa"/>
        <w:tblLayout w:type="fixed"/>
        <w:tblCellMar>
          <w:top w:w="28" w:type="dxa"/>
          <w:left w:w="28" w:type="dxa"/>
          <w:bottom w:w="28" w:type="dxa"/>
          <w:right w:w="28" w:type="dxa"/>
        </w:tblCellMar>
      </w:tblPr>
      <w:tblGrid>
        <w:gridCol w:w="2566"/>
        <w:gridCol w:w="146"/>
        <w:gridCol w:w="4216"/>
        <w:gridCol w:w="146"/>
        <w:gridCol w:w="163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Kurtz,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Wilterding</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Wilterding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(Principal Financial and Accounting Officer)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Andy Corley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 Andy Corley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Link, Ph.D.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Link,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Juliet Tammenoms Bakker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Juliet Tammenoms Bakker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Julie Andrews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Julie Andrews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Palmisano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Palmisano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Robert Warner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Warner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Shweta Singh Maniar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Shweta Singh Maniar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Tamara R. Fountain,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Tamara R. Fountain,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4705" w:type="dxa"/>
        <w:jc w:val="left"/>
        <w:tblInd w:w="0" w:type="dxa"/>
        <w:tblLayout w:type="fixed"/>
        <w:tblCellMar>
          <w:top w:w="28" w:type="dxa"/>
          <w:left w:w="28" w:type="dxa"/>
          <w:bottom w:w="28" w:type="dxa"/>
          <w:right w:w="28" w:type="dxa"/>
        </w:tblCellMar>
      </w:tblPr>
      <w:tblGrid>
        <w:gridCol w:w="2011"/>
        <w:gridCol w:w="146"/>
        <w:gridCol w:w="766"/>
        <w:gridCol w:w="146"/>
        <w:gridCol w:w="163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Raymond W. Cohen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Raymond W. Cohen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bookmarkStart w:id="31" w:name="rxst-ex10_19.htm"/>
      <w:bookmarkStart w:id="32" w:name="ksrxstex10_19"/>
      <w:bookmarkEnd w:id="31"/>
      <w:bookmarkEnd w:id="32"/>
      <w:r>
        <w:rPr/>
        <w:t> </w:t>
      </w:r>
      <w:r>
        <w:br w:type="page"/>
      </w:r>
    </w:p>
    <w:p>
      <w:pPr>
        <w:pStyle w:val="TextBody"/>
        <w:bidi w:val="0"/>
        <w:spacing w:before="15" w:after="283"/>
        <w:jc w:val="left"/>
        <w:rPr/>
      </w:pPr>
      <w:r>
        <w:rPr/>
        <w:t> </w:t>
      </w:r>
    </w:p>
    <w:p>
      <w:pPr>
        <w:pStyle w:val="Heading1"/>
        <w:bidi w:val="0"/>
        <w:spacing w:before="80" w:after="283"/>
        <w:jc w:val="right"/>
        <w:rPr>
          <w:rFonts w:ascii="Times New Roman" w:hAnsi="Times New Roman"/>
          <w:sz w:val="20"/>
        </w:rPr>
      </w:pPr>
      <w:r>
        <w:rPr>
          <w:rFonts w:ascii="Times New Roman" w:hAnsi="Times New Roman"/>
          <w:color w:val="0C0C0C"/>
          <w:sz w:val="23"/>
        </w:rPr>
        <w:t>Exhibit 10.19</w:t>
      </w:r>
      <w:r>
        <w:rPr>
          <w:rFonts w:ascii="Times New Roman" w:hAnsi="Times New Roman"/>
          <w:color w:val="0C0C0C"/>
          <w:sz w:val="20"/>
        </w:rPr>
        <w:t xml:space="preserve"> </w:t>
      </w:r>
    </w:p>
    <w:p>
      <w:pPr>
        <w:pStyle w:val="Heading1"/>
        <w:bidi w:val="0"/>
        <w:spacing w:before="80" w:after="283"/>
        <w:jc w:val="right"/>
        <w:rPr/>
      </w:pPr>
      <w:r>
        <w:rPr/>
        <w:t> </w:t>
      </w:r>
    </w:p>
    <w:p>
      <w:pPr>
        <w:pStyle w:val="Heading1"/>
        <w:bidi w:val="0"/>
        <w:spacing w:before="80" w:after="283"/>
        <w:jc w:val="left"/>
        <w:rPr>
          <w:rFonts w:ascii="Times New Roman" w:hAnsi="Times New Roman"/>
          <w:sz w:val="20"/>
        </w:rPr>
      </w:pPr>
      <w:r>
        <w:rPr>
          <w:rFonts w:ascii="Times New Roman" w:hAnsi="Times New Roman"/>
          <w:color w:val="0C0C0C"/>
          <w:sz w:val="23"/>
        </w:rPr>
        <w:t xml:space="preserve">FIRST AMENDMENT TO LEASE AGREEMENT (INDUSTRIAL/COMMERCIAL </w:t>
      </w:r>
      <w:r>
        <w:rPr>
          <w:rFonts w:ascii="Times New Roman" w:hAnsi="Times New Roman"/>
          <w:color w:val="0C0C0C"/>
          <w:sz w:val="23"/>
          <w:u w:val="single"/>
        </w:rPr>
        <w:t>SINGLE-TENANT)</w:t>
      </w:r>
    </w:p>
    <w:p>
      <w:pPr>
        <w:pStyle w:val="TextBody"/>
        <w:bidi w:val="0"/>
        <w:spacing w:before="238" w:after="283"/>
        <w:jc w:val="left"/>
        <w:rPr>
          <w:rFonts w:ascii="Times New Roman" w:hAnsi="Times New Roman"/>
          <w:color w:val="0C0C0C"/>
          <w:sz w:val="23"/>
        </w:rPr>
      </w:pPr>
      <w:r>
        <w:rPr>
          <w:rFonts w:ascii="Times New Roman" w:hAnsi="Times New Roman"/>
          <w:color w:val="0C0C0C"/>
          <w:sz w:val="23"/>
        </w:rPr>
        <w:t>This FIRST AMENDMENT TO LEASE AGREEMENT</w:t>
      </w:r>
    </w:p>
    <w:p>
      <w:pPr>
        <w:pStyle w:val="TextBody"/>
        <w:bidi w:val="0"/>
        <w:spacing w:before="16" w:after="283"/>
        <w:jc w:val="both"/>
        <w:rPr>
          <w:rFonts w:ascii="Times New Roman" w:hAnsi="Times New Roman"/>
          <w:sz w:val="20"/>
        </w:rPr>
      </w:pPr>
      <w:r>
        <w:rPr>
          <w:rFonts w:ascii="Times New Roman" w:hAnsi="Times New Roman"/>
          <w:color w:val="0C0C0C"/>
          <w:sz w:val="23"/>
        </w:rPr>
        <w:t xml:space="preserve">(INDUSTRIAL/COMMERCIAL SINGLE-TENANT) (the </w:t>
      </w:r>
      <w:r>
        <w:rPr>
          <w:rFonts w:ascii="Times New Roman" w:hAnsi="Times New Roman"/>
          <w:b/>
          <w:color w:val="2B2B2B"/>
          <w:sz w:val="23"/>
        </w:rPr>
        <w:t xml:space="preserve">"Amendment"), </w:t>
      </w:r>
      <w:r>
        <w:rPr>
          <w:rFonts w:ascii="Times New Roman" w:hAnsi="Times New Roman"/>
          <w:color w:val="0C0C0C"/>
          <w:sz w:val="23"/>
        </w:rPr>
        <w:t>dated as of December 1</w:t>
      </w:r>
      <w:r>
        <w:rPr>
          <w:rFonts w:ascii="Times New Roman" w:hAnsi="Times New Roman"/>
          <w:color w:val="000000"/>
          <w:sz w:val="24"/>
        </w:rPr>
        <w:t>6</w:t>
      </w:r>
      <w:r>
        <w:rPr>
          <w:rFonts w:ascii="Times New Roman" w:hAnsi="Times New Roman"/>
          <w:color w:val="0C0C0C"/>
          <w:sz w:val="23"/>
        </w:rPr>
        <w:t xml:space="preserve">, 2025, amends that certain Lease Agreement (Industrial/Commercial Single-Tenant) (the </w:t>
      </w:r>
      <w:r>
        <w:rPr>
          <w:rFonts w:ascii="Times New Roman" w:hAnsi="Times New Roman"/>
          <w:b/>
          <w:color w:val="2B2B2B"/>
          <w:sz w:val="23"/>
        </w:rPr>
        <w:t xml:space="preserve">"Lease"), </w:t>
      </w:r>
      <w:r>
        <w:rPr>
          <w:rFonts w:ascii="Times New Roman" w:hAnsi="Times New Roman"/>
          <w:color w:val="0C0C0C"/>
          <w:sz w:val="23"/>
        </w:rPr>
        <w:t xml:space="preserve">dated as of April 1, 2020, by and between PACIFIC PARK INVESTMENTS, INC., a California corporation </w:t>
      </w:r>
      <w:r>
        <w:rPr>
          <w:rFonts w:ascii="Times New Roman" w:hAnsi="Times New Roman"/>
          <w:b/>
          <w:color w:val="0C0C0C"/>
          <w:sz w:val="23"/>
        </w:rPr>
        <w:t xml:space="preserve">("Landlord"), </w:t>
      </w:r>
      <w:r>
        <w:rPr>
          <w:rFonts w:ascii="Times New Roman" w:hAnsi="Times New Roman"/>
          <w:color w:val="0C0C0C"/>
          <w:sz w:val="23"/>
        </w:rPr>
        <w:t>and RXSIGHT, INC., a California corporation</w:t>
      </w:r>
    </w:p>
    <w:p>
      <w:pPr>
        <w:pStyle w:val="TextBody"/>
        <w:bidi w:val="0"/>
        <w:spacing w:before="15" w:after="283"/>
        <w:jc w:val="both"/>
        <w:rPr>
          <w:rFonts w:ascii="Times New Roman" w:hAnsi="Times New Roman"/>
          <w:sz w:val="20"/>
        </w:rPr>
      </w:pPr>
      <w:r>
        <w:rPr>
          <w:rFonts w:ascii="Times New Roman" w:hAnsi="Times New Roman"/>
          <w:b/>
          <w:color w:val="0C0C0C"/>
          <w:sz w:val="23"/>
        </w:rPr>
        <w:t xml:space="preserve">("Tenant"). </w:t>
      </w:r>
      <w:r>
        <w:rPr>
          <w:rFonts w:ascii="Times New Roman" w:hAnsi="Times New Roman"/>
          <w:color w:val="0C0C0C"/>
          <w:sz w:val="23"/>
        </w:rPr>
        <w:t>Capitalized terms used herein but not defined herein shall have the meanings assigned to such terms as set forth in the Lease.</w:t>
      </w:r>
    </w:p>
    <w:p>
      <w:pPr>
        <w:pStyle w:val="TextBody"/>
        <w:bidi w:val="0"/>
        <w:spacing w:before="11" w:after="283"/>
        <w:jc w:val="left"/>
        <w:rPr/>
      </w:pPr>
      <w:r>
        <w:rPr/>
        <w:t> </w:t>
      </w:r>
    </w:p>
    <w:p>
      <w:pPr>
        <w:pStyle w:val="TextBody"/>
        <w:bidi w:val="0"/>
        <w:jc w:val="both"/>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Tenant and Landlord desire to extend the Term of the Lease for an additional sixty (60) calendar months and to provide for the applicable Base Rent during the extended Term; and</w:t>
      </w:r>
    </w:p>
    <w:p>
      <w:pPr>
        <w:pStyle w:val="TextBody"/>
        <w:bidi w:val="0"/>
        <w:spacing w:before="234" w:after="283"/>
        <w:jc w:val="both"/>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Tenant and Landlord now desire to enter into this First Amendment, subject to the terms and conditions set forth herein, to extend the Term and clarify certain provisions of the Lease.</w:t>
      </w:r>
    </w:p>
    <w:p>
      <w:pPr>
        <w:pStyle w:val="TextBody"/>
        <w:bidi w:val="0"/>
        <w:spacing w:before="253" w:after="283"/>
        <w:jc w:val="both"/>
        <w:rPr>
          <w:rFonts w:ascii="Times New Roman" w:hAnsi="Times New Roman"/>
          <w:sz w:val="20"/>
        </w:rPr>
      </w:pPr>
      <w:r>
        <w:rPr>
          <w:rFonts w:ascii="Times New Roman" w:hAnsi="Times New Roman"/>
          <w:b/>
          <w:color w:val="0C0C0C"/>
          <w:sz w:val="23"/>
        </w:rPr>
        <w:t xml:space="preserve">NOW, THEREFORE, </w:t>
      </w:r>
      <w:r>
        <w:rPr>
          <w:rFonts w:ascii="Times New Roman" w:hAnsi="Times New Roman"/>
          <w:color w:val="0C0C0C"/>
          <w:sz w:val="23"/>
        </w:rPr>
        <w:t>in consideration of the foregoing, the mutual covenants herein, and other good and valuable consideration, the receipt and sufficiency of which is hereby acknowledged, Landlord and Tenant hereby agree as follows:</w:t>
      </w:r>
    </w:p>
    <w:p>
      <w:pPr>
        <w:pStyle w:val="Heading1"/>
        <w:bidi w:val="0"/>
        <w:spacing w:before="231" w:after="283"/>
        <w:jc w:val="center"/>
        <w:rPr>
          <w:rFonts w:ascii="Times New Roman" w:hAnsi="Times New Roman"/>
          <w:color w:val="0C0C0C"/>
          <w:sz w:val="23"/>
        </w:rPr>
      </w:pPr>
      <w:r>
        <w:rPr>
          <w:rFonts w:ascii="Times New Roman" w:hAnsi="Times New Roman"/>
          <w:color w:val="0C0C0C"/>
          <w:sz w:val="23"/>
        </w:rPr>
        <w:t>ARTICLE 1 AMENDMENT OF LEASE</w:t>
      </w:r>
    </w:p>
    <w:p>
      <w:pPr>
        <w:pStyle w:val="TextBody"/>
        <w:bidi w:val="0"/>
        <w:spacing w:before="2" w:after="283"/>
        <w:jc w:val="both"/>
        <w:rPr>
          <w:rFonts w:ascii="Times New Roman" w:hAnsi="Times New Roman"/>
          <w:color w:val="0C0C0C"/>
          <w:sz w:val="23"/>
        </w:rPr>
      </w:pPr>
      <w:r>
        <w:rPr>
          <w:rFonts w:ascii="Times New Roman" w:hAnsi="Times New Roman"/>
          <w:color w:val="0C0C0C"/>
          <w:sz w:val="23"/>
        </w:rPr>
        <w:t>1.1</w:t>
      </w:r>
    </w:p>
    <w:p>
      <w:pPr>
        <w:pStyle w:val="TextBody"/>
        <w:bidi w:val="0"/>
        <w:spacing w:before="2" w:after="283"/>
        <w:jc w:val="both"/>
        <w:rPr/>
      </w:pPr>
      <w:r>
        <w:rPr>
          <w:rFonts w:ascii="Times New Roman" w:hAnsi="Times New Roman"/>
          <w:color w:val="0C0C0C"/>
          <w:sz w:val="23"/>
        </w:rPr>
        <w:t xml:space="preserve">The chart defining </w:t>
      </w:r>
      <w:r>
        <w:rPr>
          <w:rFonts w:ascii="Times New Roman" w:hAnsi="Times New Roman"/>
          <w:color w:val="2B2B2B"/>
          <w:sz w:val="23"/>
        </w:rPr>
        <w:t xml:space="preserve">"Base </w:t>
      </w:r>
      <w:r>
        <w:rPr>
          <w:rFonts w:ascii="Times New Roman" w:hAnsi="Times New Roman"/>
          <w:color w:val="0C0C0C"/>
          <w:sz w:val="23"/>
        </w:rPr>
        <w:t>Rent", included on the first page of the Lease, is hereby amended to include the following chart to be in addition to the already existing chart on the first page of the Lease:</w:t>
      </w:r>
    </w:p>
    <w:p>
      <w:pPr>
        <w:pStyle w:val="TextBody"/>
        <w:bidi w:val="0"/>
        <w:spacing w:before="12" w:after="283"/>
        <w:jc w:val="left"/>
        <w:rPr/>
      </w:pPr>
      <w:r>
        <w:rPr/>
        <w:t> </w:t>
      </w:r>
    </w:p>
    <w:tbl>
      <w:tblPr>
        <w:tblW w:w="6510" w:type="dxa"/>
        <w:jc w:val="left"/>
        <w:tblInd w:w="0" w:type="dxa"/>
        <w:tblLayout w:type="fixed"/>
        <w:tblCellMar>
          <w:top w:w="28" w:type="dxa"/>
          <w:left w:w="28" w:type="dxa"/>
          <w:bottom w:w="28" w:type="dxa"/>
          <w:right w:w="28" w:type="dxa"/>
        </w:tblCellMar>
      </w:tblPr>
      <w:tblGrid>
        <w:gridCol w:w="3594"/>
        <w:gridCol w:w="2916"/>
      </w:tblGrid>
      <w:tr>
        <w:trPr/>
        <w:tc>
          <w:tcPr>
            <w:tcW w:w="3594"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ind w:left="0" w:right="0" w:firstLine="35"/>
              <w:jc w:val="left"/>
              <w:rPr>
                <w:sz w:val="4"/>
                <w:szCs w:val="4"/>
              </w:rPr>
            </w:pPr>
            <w:r>
              <w:rPr>
                <w:sz w:val="4"/>
                <w:szCs w:val="4"/>
              </w:rPr>
            </w:r>
          </w:p>
        </w:tc>
      </w:tr>
      <w:tr>
        <w:trPr/>
        <w:tc>
          <w:tcPr>
            <w:tcW w:w="359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23"/>
              <w:jc w:val="left"/>
              <w:rPr>
                <w:rFonts w:ascii="Times New Roman" w:hAnsi="Times New Roman"/>
                <w:color w:val="0C0C0C"/>
                <w:sz w:val="23"/>
              </w:rPr>
            </w:pPr>
            <w:r>
              <w:rPr>
                <w:rFonts w:ascii="Times New Roman" w:hAnsi="Times New Roman"/>
                <w:color w:val="0C0C0C"/>
                <w:sz w:val="23"/>
              </w:rPr>
              <w:t>On</w:t>
            </w:r>
          </w:p>
        </w:tc>
        <w:tc>
          <w:tcPr>
            <w:tcW w:w="2916" w:type="dxa"/>
            <w:tcBorders>
              <w:top w:val="single" w:sz="6" w:space="0" w:color="000000"/>
              <w:bottom w:val="single" w:sz="6" w:space="0" w:color="000000"/>
              <w:right w:val="single" w:sz="4" w:space="0" w:color="000000"/>
            </w:tcBorders>
            <w:tcMar>
              <w:left w:w="0" w:type="dxa"/>
            </w:tcMar>
            <w:vAlign w:val="center"/>
          </w:tcPr>
          <w:p>
            <w:pPr>
              <w:pStyle w:val="TableContents"/>
              <w:bidi w:val="0"/>
              <w:spacing w:before="0" w:after="283"/>
              <w:ind w:left="0" w:right="0" w:firstLine="35"/>
              <w:jc w:val="left"/>
              <w:rPr>
                <w:rFonts w:ascii="Times New Roman" w:hAnsi="Times New Roman"/>
                <w:color w:val="0C0C0C"/>
                <w:sz w:val="23"/>
              </w:rPr>
            </w:pPr>
            <w:r>
              <w:rPr>
                <w:rFonts w:ascii="Times New Roman" w:hAnsi="Times New Roman"/>
                <w:color w:val="0C0C0C"/>
                <w:sz w:val="23"/>
              </w:rPr>
              <w:t>The New Base Rent Shall be:</w:t>
            </w:r>
          </w:p>
        </w:tc>
      </w:tr>
      <w:tr>
        <w:trPr/>
        <w:tc>
          <w:tcPr>
            <w:tcW w:w="3594"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3"/>
              <w:jc w:val="left"/>
              <w:rPr>
                <w:rFonts w:ascii="Times New Roman" w:hAnsi="Times New Roman"/>
                <w:color w:val="0C0C0C"/>
                <w:sz w:val="23"/>
              </w:rPr>
            </w:pPr>
            <w:r>
              <w:rPr>
                <w:rFonts w:ascii="Times New Roman" w:hAnsi="Times New Roman"/>
                <w:color w:val="0C0C0C"/>
                <w:sz w:val="23"/>
              </w:rPr>
              <w:t>February 1, 2026-January 31, 2027</w:t>
            </w:r>
          </w:p>
        </w:tc>
        <w:tc>
          <w:tcPr>
            <w:tcW w:w="2916"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5"/>
              <w:jc w:val="left"/>
              <w:rPr>
                <w:rFonts w:ascii="Times New Roman" w:hAnsi="Times New Roman"/>
                <w:color w:val="0C0C0C"/>
                <w:sz w:val="23"/>
              </w:rPr>
            </w:pPr>
            <w:r>
              <w:rPr>
                <w:rFonts w:ascii="Times New Roman" w:hAnsi="Times New Roman"/>
                <w:color w:val="0C0C0C"/>
                <w:sz w:val="23"/>
              </w:rPr>
              <w:t>$81,859.73 per month</w:t>
            </w:r>
          </w:p>
        </w:tc>
      </w:tr>
      <w:tr>
        <w:trPr/>
        <w:tc>
          <w:tcPr>
            <w:tcW w:w="3594"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3"/>
              <w:jc w:val="left"/>
              <w:rPr>
                <w:rFonts w:ascii="Times New Roman" w:hAnsi="Times New Roman"/>
                <w:color w:val="0C0C0C"/>
                <w:sz w:val="23"/>
              </w:rPr>
            </w:pPr>
            <w:r>
              <w:rPr>
                <w:rFonts w:ascii="Times New Roman" w:hAnsi="Times New Roman"/>
                <w:color w:val="0C0C0C"/>
                <w:sz w:val="23"/>
              </w:rPr>
              <w:t>February 1, 2027 - January 31, 2028</w:t>
            </w:r>
          </w:p>
        </w:tc>
        <w:tc>
          <w:tcPr>
            <w:tcW w:w="2916"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5"/>
              <w:jc w:val="left"/>
              <w:rPr>
                <w:rFonts w:ascii="Times New Roman" w:hAnsi="Times New Roman"/>
                <w:color w:val="0C0C0C"/>
                <w:sz w:val="23"/>
              </w:rPr>
            </w:pPr>
            <w:r>
              <w:rPr>
                <w:rFonts w:ascii="Times New Roman" w:hAnsi="Times New Roman"/>
                <w:color w:val="0C0C0C"/>
                <w:sz w:val="23"/>
              </w:rPr>
              <w:t>$84,315.52 per month</w:t>
            </w:r>
          </w:p>
        </w:tc>
      </w:tr>
      <w:tr>
        <w:trPr/>
        <w:tc>
          <w:tcPr>
            <w:tcW w:w="3594"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3"/>
              <w:jc w:val="left"/>
              <w:rPr>
                <w:rFonts w:ascii="Times New Roman" w:hAnsi="Times New Roman"/>
                <w:color w:val="0C0C0C"/>
                <w:sz w:val="23"/>
              </w:rPr>
            </w:pPr>
            <w:r>
              <w:rPr>
                <w:rFonts w:ascii="Times New Roman" w:hAnsi="Times New Roman"/>
                <w:color w:val="0C0C0C"/>
                <w:sz w:val="23"/>
              </w:rPr>
              <w:t>February 1, 2028 - January 31, 2029</w:t>
            </w:r>
          </w:p>
        </w:tc>
        <w:tc>
          <w:tcPr>
            <w:tcW w:w="2916"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5"/>
              <w:jc w:val="left"/>
              <w:rPr>
                <w:rFonts w:ascii="Times New Roman" w:hAnsi="Times New Roman"/>
                <w:color w:val="0C0C0C"/>
                <w:sz w:val="23"/>
              </w:rPr>
            </w:pPr>
            <w:r>
              <w:rPr>
                <w:rFonts w:ascii="Times New Roman" w:hAnsi="Times New Roman"/>
                <w:color w:val="0C0C0C"/>
                <w:sz w:val="23"/>
              </w:rPr>
              <w:t>$86,844.98 per month</w:t>
            </w:r>
          </w:p>
        </w:tc>
      </w:tr>
      <w:tr>
        <w:trPr/>
        <w:tc>
          <w:tcPr>
            <w:tcW w:w="3594"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3"/>
              <w:jc w:val="left"/>
              <w:rPr>
                <w:rFonts w:ascii="Times New Roman" w:hAnsi="Times New Roman"/>
                <w:color w:val="0C0C0C"/>
                <w:sz w:val="23"/>
              </w:rPr>
            </w:pPr>
            <w:r>
              <w:rPr>
                <w:rFonts w:ascii="Times New Roman" w:hAnsi="Times New Roman"/>
                <w:color w:val="0C0C0C"/>
                <w:sz w:val="23"/>
              </w:rPr>
              <w:t>February 1, 2029- January 31, 2030</w:t>
            </w:r>
          </w:p>
        </w:tc>
        <w:tc>
          <w:tcPr>
            <w:tcW w:w="2916"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5"/>
              <w:jc w:val="left"/>
              <w:rPr>
                <w:rFonts w:ascii="Times New Roman" w:hAnsi="Times New Roman"/>
                <w:color w:val="0C0C0C"/>
                <w:sz w:val="23"/>
              </w:rPr>
            </w:pPr>
            <w:r>
              <w:rPr>
                <w:rFonts w:ascii="Times New Roman" w:hAnsi="Times New Roman"/>
                <w:color w:val="0C0C0C"/>
                <w:sz w:val="23"/>
              </w:rPr>
              <w:t>$89,450.33 per month</w:t>
            </w:r>
          </w:p>
        </w:tc>
      </w:tr>
      <w:tr>
        <w:trPr/>
        <w:tc>
          <w:tcPr>
            <w:tcW w:w="3594"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3"/>
              <w:jc w:val="left"/>
              <w:rPr>
                <w:rFonts w:ascii="Times New Roman" w:hAnsi="Times New Roman"/>
                <w:color w:val="0C0C0C"/>
                <w:sz w:val="23"/>
              </w:rPr>
            </w:pPr>
            <w:r>
              <w:rPr>
                <w:rFonts w:ascii="Times New Roman" w:hAnsi="Times New Roman"/>
                <w:color w:val="0C0C0C"/>
                <w:sz w:val="23"/>
              </w:rPr>
              <w:t>February 1, 2030- January 31, 2031</w:t>
            </w:r>
          </w:p>
        </w:tc>
        <w:tc>
          <w:tcPr>
            <w:tcW w:w="2916"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23"/>
              <w:jc w:val="left"/>
              <w:rPr>
                <w:rFonts w:ascii="Times New Roman" w:hAnsi="Times New Roman"/>
                <w:color w:val="0C0C0C"/>
                <w:sz w:val="23"/>
              </w:rPr>
            </w:pPr>
            <w:r>
              <w:rPr>
                <w:rFonts w:ascii="Times New Roman" w:hAnsi="Times New Roman"/>
                <w:color w:val="0C0C0C"/>
                <w:sz w:val="23"/>
              </w:rPr>
              <w:t>$92,133.84 per month</w:t>
            </w:r>
          </w:p>
        </w:tc>
      </w:tr>
    </w:tbl>
    <w:p>
      <w:pPr>
        <w:pStyle w:val="TextBody"/>
        <w:bidi w:val="0"/>
        <w:jc w:val="left"/>
        <w:rPr/>
      </w:pPr>
      <w:r>
        <w:rPr/>
        <w:t> </w:t>
      </w:r>
    </w:p>
    <w:p>
      <w:pPr>
        <w:pStyle w:val="TextBody"/>
        <w:bidi w:val="0"/>
        <w:spacing w:before="14" w:after="283"/>
        <w:jc w:val="left"/>
        <w:rPr/>
      </w:pPr>
      <w:r>
        <w:rPr/>
        <w:t> </w:t>
      </w:r>
    </w:p>
    <w:p>
      <w:pPr>
        <w:pStyle w:val="TextBody"/>
        <w:bidi w:val="0"/>
        <w:spacing w:before="0" w:after="0"/>
        <w:jc w:val="left"/>
        <w:rPr>
          <w:rFonts w:ascii="Times New Roman" w:hAnsi="Times New Roman"/>
          <w:color w:val="0C0C0C"/>
          <w:sz w:val="23"/>
        </w:rPr>
      </w:pPr>
      <w:r>
        <w:rPr>
          <w:rFonts w:ascii="Times New Roman" w:hAnsi="Times New Roman"/>
          <w:color w:val="0C0C0C"/>
          <w:sz w:val="23"/>
        </w:rPr>
        <w:t>1.2</w:t>
      </w:r>
    </w:p>
    <w:p>
      <w:pPr>
        <w:pStyle w:val="TextBody"/>
        <w:bidi w:val="0"/>
        <w:jc w:val="left"/>
        <w:rPr>
          <w:rFonts w:ascii="Times New Roman" w:hAnsi="Times New Roman"/>
          <w:color w:val="0C0C0C"/>
          <w:sz w:val="23"/>
        </w:rPr>
      </w:pPr>
      <w:r>
        <w:rPr>
          <w:rFonts w:ascii="Times New Roman" w:hAnsi="Times New Roman"/>
          <w:color w:val="0C0C0C"/>
          <w:sz w:val="23"/>
        </w:rPr>
        <w:t>Paragraph 1.3 of the Lease is hereby amended and restated in its entirety as follows:</w:t>
      </w:r>
    </w:p>
    <w:p>
      <w:pPr>
        <w:pStyle w:val="TextBody"/>
        <w:bidi w:val="0"/>
        <w:spacing w:before="24" w:after="283"/>
        <w:jc w:val="left"/>
        <w:rPr/>
      </w:pPr>
      <w:r>
        <w:rPr/>
        <w:t> </w:t>
      </w:r>
    </w:p>
    <w:p>
      <w:pPr>
        <w:pStyle w:val="TextBody"/>
        <w:bidi w:val="0"/>
        <w:jc w:val="both"/>
        <w:rPr>
          <w:rFonts w:ascii="Times New Roman" w:hAnsi="Times New Roman"/>
          <w:sz w:val="20"/>
        </w:rPr>
      </w:pPr>
      <w:r>
        <w:rPr>
          <w:rFonts w:ascii="Times New Roman" w:hAnsi="Times New Roman"/>
          <w:color w:val="2B2B2B"/>
          <w:sz w:val="23"/>
        </w:rPr>
        <w:t xml:space="preserve">"1.3 </w:t>
      </w:r>
      <w:r>
        <w:rPr>
          <w:rFonts w:ascii="Times New Roman" w:hAnsi="Times New Roman"/>
          <w:color w:val="0C0C0C"/>
          <w:sz w:val="23"/>
        </w:rPr>
        <w:t xml:space="preserve">Term: The Lease Term shall be five (5) years and ten (10) months plus an additional sixty (60) calendar month extension pursuant to the First Amendment (the </w:t>
      </w:r>
      <w:r>
        <w:rPr>
          <w:rFonts w:ascii="Times New Roman" w:hAnsi="Times New Roman"/>
          <w:b/>
          <w:color w:val="2B2B2B"/>
          <w:sz w:val="23"/>
        </w:rPr>
        <w:t xml:space="preserve">"Term"), </w:t>
      </w:r>
      <w:r>
        <w:rPr>
          <w:rFonts w:ascii="Times New Roman" w:hAnsi="Times New Roman"/>
          <w:color w:val="0C0C0C"/>
          <w:sz w:val="23"/>
        </w:rPr>
        <w:t xml:space="preserve">commencing April 1, 2020 </w:t>
      </w:r>
      <w:r>
        <w:rPr>
          <w:rFonts w:ascii="Times New Roman" w:hAnsi="Times New Roman"/>
          <w:b/>
          <w:color w:val="0C0C0C"/>
          <w:sz w:val="23"/>
        </w:rPr>
        <w:t xml:space="preserve">("Commencement Date") </w:t>
      </w:r>
      <w:r>
        <w:rPr>
          <w:rFonts w:ascii="Times New Roman" w:hAnsi="Times New Roman"/>
          <w:color w:val="0C0C0C"/>
          <w:sz w:val="23"/>
        </w:rPr>
        <w:t xml:space="preserve">and ending January 31, 2031 </w:t>
      </w:r>
      <w:r>
        <w:rPr>
          <w:rFonts w:ascii="Times New Roman" w:hAnsi="Times New Roman"/>
          <w:b/>
          <w:color w:val="0C0C0C"/>
          <w:sz w:val="23"/>
        </w:rPr>
        <w:t xml:space="preserve">("Expiration Date"). </w:t>
      </w:r>
      <w:r>
        <w:rPr>
          <w:rFonts w:ascii="Times New Roman" w:hAnsi="Times New Roman"/>
          <w:color w:val="0C0C0C"/>
          <w:sz w:val="23"/>
        </w:rPr>
        <w:t>(See</w:t>
      </w:r>
    </w:p>
    <w:p>
      <w:pPr>
        <w:pStyle w:val="TextBody"/>
        <w:bidi w:val="0"/>
        <w:spacing w:before="1" w:after="283"/>
        <w:jc w:val="both"/>
        <w:rPr>
          <w:rFonts w:ascii="Times New Roman" w:hAnsi="Times New Roman"/>
          <w:color w:val="0C0C0C"/>
          <w:sz w:val="23"/>
        </w:rPr>
      </w:pPr>
      <w:r>
        <w:rPr>
          <w:rFonts w:ascii="Times New Roman" w:hAnsi="Times New Roman"/>
          <w:color w:val="0C0C0C"/>
          <w:sz w:val="23"/>
        </w:rPr>
        <w:t>also Paragraph 3)"</w:t>
      </w:r>
    </w:p>
    <w:p>
      <w:pPr>
        <w:pStyle w:val="TextBody"/>
        <w:bidi w:val="0"/>
        <w:jc w:val="left"/>
        <w:rPr/>
      </w:pPr>
      <w:r>
        <w:rPr/>
        <w:t> </w:t>
      </w:r>
    </w:p>
    <w:p>
      <w:pPr>
        <w:pStyle w:val="TextBody"/>
        <w:bidi w:val="0"/>
        <w:spacing w:before="38" w:after="283"/>
        <w:jc w:val="left"/>
        <w:rPr>
          <w:rFonts w:ascii="Arial" w:hAnsi="Arial"/>
          <w:color w:val="0C0C0C"/>
          <w:sz w:val="19"/>
        </w:rPr>
      </w:pPr>
      <w:r>
        <w:rPr>
          <w:rFonts w:ascii="Arial" w:hAnsi="Arial"/>
          <w:color w:val="0C0C0C"/>
          <w:sz w:val="19"/>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 w:after="283"/>
        <w:jc w:val="left"/>
        <w:rPr/>
      </w:pPr>
      <w:r>
        <w:rPr/>
        <w:t> </w:t>
      </w:r>
    </w:p>
    <w:p>
      <w:pPr>
        <w:pStyle w:val="Heading1"/>
        <w:bidi w:val="0"/>
        <w:spacing w:before="85" w:after="283"/>
        <w:jc w:val="center"/>
        <w:rPr>
          <w:rFonts w:ascii="Times New Roman" w:hAnsi="Times New Roman"/>
          <w:color w:val="0C0C0C"/>
          <w:sz w:val="23"/>
        </w:rPr>
      </w:pPr>
      <w:r>
        <w:rPr>
          <w:rFonts w:ascii="Times New Roman" w:hAnsi="Times New Roman"/>
          <w:color w:val="0C0C0C"/>
          <w:sz w:val="23"/>
        </w:rPr>
        <w:t>ARTICLE 2 MISCELLANEOUS</w:t>
      </w:r>
    </w:p>
    <w:p>
      <w:pPr>
        <w:pStyle w:val="TextBody"/>
        <w:bidi w:val="0"/>
        <w:spacing w:before="2" w:after="283"/>
        <w:jc w:val="both"/>
        <w:rPr>
          <w:rFonts w:ascii="Times New Roman" w:hAnsi="Times New Roman"/>
          <w:color w:val="0C0C0C"/>
          <w:sz w:val="23"/>
        </w:rPr>
      </w:pPr>
      <w:r>
        <w:rPr>
          <w:rFonts w:ascii="Times New Roman" w:hAnsi="Times New Roman"/>
          <w:color w:val="0C0C0C"/>
          <w:sz w:val="23"/>
        </w:rPr>
        <w:t>2.1</w:t>
      </w:r>
    </w:p>
    <w:p>
      <w:pPr>
        <w:pStyle w:val="TextBody"/>
        <w:bidi w:val="0"/>
        <w:spacing w:before="2" w:after="283"/>
        <w:jc w:val="both"/>
        <w:rPr>
          <w:rFonts w:ascii="Times New Roman" w:hAnsi="Times New Roman"/>
          <w:color w:val="0C0C0C"/>
          <w:sz w:val="23"/>
        </w:rPr>
      </w:pPr>
      <w:r>
        <w:rPr>
          <w:rFonts w:ascii="Times New Roman" w:hAnsi="Times New Roman"/>
          <w:color w:val="0C0C0C"/>
          <w:sz w:val="23"/>
        </w:rPr>
        <w:t>Except as expressly provided for in this Amendment, all of the terms, conditions, and provisions of the Lease remain unaltered and are in full force and effect. The Lease and this Amendment shall be read and construed as one agreement.</w:t>
      </w:r>
    </w:p>
    <w:p>
      <w:pPr>
        <w:pStyle w:val="TextBody"/>
        <w:bidi w:val="0"/>
        <w:spacing w:before="234" w:after="283"/>
        <w:jc w:val="both"/>
        <w:rPr>
          <w:rFonts w:ascii="Times New Roman" w:hAnsi="Times New Roman"/>
          <w:color w:val="0C0C0C"/>
          <w:sz w:val="23"/>
        </w:rPr>
      </w:pPr>
      <w:r>
        <w:rPr>
          <w:rFonts w:ascii="Times New Roman" w:hAnsi="Times New Roman"/>
          <w:color w:val="0C0C0C"/>
          <w:sz w:val="23"/>
        </w:rPr>
        <w:t>2.2</w:t>
      </w:r>
    </w:p>
    <w:p>
      <w:pPr>
        <w:pStyle w:val="TextBody"/>
        <w:bidi w:val="0"/>
        <w:spacing w:before="234" w:after="283"/>
        <w:jc w:val="both"/>
        <w:rPr>
          <w:rFonts w:ascii="Times New Roman" w:hAnsi="Times New Roman"/>
          <w:color w:val="0C0C0C"/>
          <w:sz w:val="23"/>
        </w:rPr>
      </w:pPr>
      <w:r>
        <w:rPr>
          <w:rFonts w:ascii="Times New Roman" w:hAnsi="Times New Roman"/>
          <w:color w:val="0C0C0C"/>
          <w:sz w:val="23"/>
        </w:rPr>
        <w:t>If any provision of this Amendment is construed to be invalid, illegal, or unenforceable by a court of competent jurisdiction, then the remaining provisions hereof shall not be affected thereby and shall be enforceable without regard thereto.</w:t>
      </w:r>
    </w:p>
    <w:p>
      <w:pPr>
        <w:pStyle w:val="TextBody"/>
        <w:bidi w:val="0"/>
        <w:spacing w:before="239" w:after="283"/>
        <w:jc w:val="both"/>
        <w:rPr>
          <w:rFonts w:ascii="Times New Roman" w:hAnsi="Times New Roman"/>
          <w:color w:val="0C0C0C"/>
          <w:sz w:val="23"/>
        </w:rPr>
      </w:pPr>
      <w:r>
        <w:rPr>
          <w:rFonts w:ascii="Times New Roman" w:hAnsi="Times New Roman"/>
          <w:color w:val="0C0C0C"/>
          <w:sz w:val="23"/>
        </w:rPr>
        <w:t>2.3</w:t>
      </w:r>
    </w:p>
    <w:p>
      <w:pPr>
        <w:pStyle w:val="TextBody"/>
        <w:bidi w:val="0"/>
        <w:spacing w:before="239" w:after="283"/>
        <w:jc w:val="both"/>
        <w:rPr>
          <w:rFonts w:ascii="Times New Roman" w:hAnsi="Times New Roman"/>
          <w:color w:val="0C0C0C"/>
          <w:sz w:val="23"/>
        </w:rPr>
      </w:pPr>
      <w:r>
        <w:rPr>
          <w:rFonts w:ascii="Times New Roman" w:hAnsi="Times New Roman"/>
          <w:color w:val="0C0C0C"/>
          <w:sz w:val="23"/>
        </w:rPr>
        <w:t>All words used in this Amendment shall be construed to be of such number and gender as the context requires or permits.</w:t>
      </w:r>
    </w:p>
    <w:p>
      <w:pPr>
        <w:pStyle w:val="TextBody"/>
        <w:bidi w:val="0"/>
        <w:spacing w:before="237" w:after="283"/>
        <w:jc w:val="both"/>
        <w:rPr>
          <w:rFonts w:ascii="Times New Roman" w:hAnsi="Times New Roman"/>
          <w:color w:val="0C0C0C"/>
          <w:sz w:val="23"/>
        </w:rPr>
      </w:pPr>
      <w:r>
        <w:rPr>
          <w:rFonts w:ascii="Times New Roman" w:hAnsi="Times New Roman"/>
          <w:color w:val="0C0C0C"/>
          <w:sz w:val="23"/>
        </w:rPr>
        <w:t>2.4</w:t>
      </w:r>
    </w:p>
    <w:p>
      <w:pPr>
        <w:pStyle w:val="TextBody"/>
        <w:bidi w:val="0"/>
        <w:spacing w:before="237" w:after="283"/>
        <w:jc w:val="both"/>
        <w:rPr>
          <w:rFonts w:ascii="Times New Roman" w:hAnsi="Times New Roman"/>
          <w:color w:val="0C0C0C"/>
          <w:sz w:val="23"/>
        </w:rPr>
      </w:pPr>
      <w:r>
        <w:rPr>
          <w:rFonts w:ascii="Times New Roman" w:hAnsi="Times New Roman"/>
          <w:color w:val="0C0C0C"/>
          <w:sz w:val="23"/>
        </w:rPr>
        <w:t>For the convenience of Landlord and Tenant, any number of counterparts hereof may be executed, each such executed counterpart shall be deemed an original, and all such counterparts together shall constitute one and the same instrument. Facsimile or electronic mail transmission of any signed original counterpart and/or retransmission of any signed facsimile or electronic mail transmission shall be deemed the same as the delivery of an original, manually signed counterpart for all purposes.</w:t>
      </w:r>
    </w:p>
    <w:p>
      <w:pPr>
        <w:pStyle w:val="TextBody"/>
        <w:bidi w:val="0"/>
        <w:spacing w:before="232" w:after="283"/>
        <w:jc w:val="both"/>
        <w:rPr>
          <w:rFonts w:ascii="Times New Roman" w:hAnsi="Times New Roman"/>
          <w:color w:val="0C0C0C"/>
          <w:sz w:val="23"/>
        </w:rPr>
      </w:pPr>
      <w:r>
        <w:rPr>
          <w:rFonts w:ascii="Times New Roman" w:hAnsi="Times New Roman"/>
          <w:color w:val="0C0C0C"/>
          <w:sz w:val="23"/>
        </w:rPr>
        <w:t>2.5</w:t>
      </w:r>
    </w:p>
    <w:p>
      <w:pPr>
        <w:pStyle w:val="TextBody"/>
        <w:bidi w:val="0"/>
        <w:spacing w:before="232" w:after="283"/>
        <w:jc w:val="both"/>
        <w:rPr>
          <w:rFonts w:ascii="Times New Roman" w:hAnsi="Times New Roman"/>
          <w:color w:val="0C0C0C"/>
          <w:sz w:val="23"/>
        </w:rPr>
      </w:pPr>
      <w:r>
        <w:rPr>
          <w:rFonts w:ascii="Times New Roman" w:hAnsi="Times New Roman"/>
          <w:color w:val="0C0C0C"/>
          <w:sz w:val="23"/>
        </w:rPr>
        <w:t>THIS AMENDMENT IS MADE UNDER, AND SHALL BE CONSTRUED AND ENFORCED IN ACCORDANCE WITH, THE LAWS OF THE STATE OF CALIFORNIA APPLICABLE TO AGREEMENTS MADE AND TO BE PERFORMED SOLELY THEREIN, WITHOUT GIVING EFFECT TO PRINCIPLES OF CONFLICTS OF LAW.</w:t>
      </w:r>
    </w:p>
    <w:p>
      <w:pPr>
        <w:pStyle w:val="TextBody"/>
        <w:bidi w:val="0"/>
        <w:spacing w:before="244" w:after="283"/>
        <w:jc w:val="left"/>
        <w:rPr/>
      </w:pPr>
      <w:r>
        <w:rPr/>
        <w:t> </w:t>
      </w:r>
    </w:p>
    <w:p>
      <w:pPr>
        <w:pStyle w:val="TextBody"/>
        <w:bidi w:val="0"/>
        <w:spacing w:before="1" w:after="283"/>
        <w:jc w:val="center"/>
        <w:rPr>
          <w:rFonts w:ascii="Times New Roman" w:hAnsi="Times New Roman"/>
          <w:color w:val="0C0C0C"/>
          <w:sz w:val="23"/>
        </w:rPr>
      </w:pPr>
      <w:r>
        <w:rPr>
          <w:rFonts w:ascii="Times New Roman" w:hAnsi="Times New Roman"/>
          <w:color w:val="0C0C0C"/>
          <w:sz w:val="23"/>
        </w:rPr>
        <w:t>[REMAINDER OF PAGE LEFT INTENTIONALLY BLANK]</w:t>
      </w:r>
    </w:p>
    <w:p>
      <w:pPr>
        <w:pStyle w:val="TextBody"/>
        <w:bidi w:val="0"/>
        <w:jc w:val="left"/>
        <w:rPr/>
      </w:pPr>
      <w:r>
        <w:rPr/>
        <w:t> </w:t>
      </w:r>
    </w:p>
    <w:p>
      <w:pPr>
        <w:pStyle w:val="TextBody"/>
        <w:bidi w:val="0"/>
        <w:spacing w:before="38" w:after="283"/>
        <w:jc w:val="left"/>
        <w:rPr>
          <w:rFonts w:ascii="Arial" w:hAnsi="Arial"/>
          <w:color w:val="0C0C0C"/>
          <w:sz w:val="19"/>
        </w:rPr>
      </w:pPr>
      <w:r>
        <w:rPr>
          <w:rFonts w:ascii="Arial" w:hAnsi="Arial"/>
          <w:color w:val="0C0C0C"/>
          <w:sz w:val="19"/>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 w:after="283"/>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C0C0C"/>
          <w:sz w:val="23"/>
        </w:rPr>
        <w:t xml:space="preserve">IN WITNESS WHEREOF, </w:t>
      </w:r>
      <w:r>
        <w:rPr>
          <w:rFonts w:ascii="Times New Roman" w:hAnsi="Times New Roman"/>
          <w:color w:val="0C0C0C"/>
          <w:sz w:val="23"/>
        </w:rPr>
        <w:t>Landlord and Tenant have executed this FIRST AMENDMENT TO LEASE AGREEMENT (INDUSTRIAL/COMMERCIAL SINGLE- TENANT) as of the date first set forth above.</w:t>
      </w:r>
    </w:p>
    <w:p>
      <w:pPr>
        <w:pStyle w:val="TextBody"/>
        <w:bidi w:val="0"/>
        <w:jc w:val="left"/>
        <w:rPr/>
      </w:pPr>
      <w:r>
        <w:rPr/>
        <w:t> </w:t>
      </w:r>
    </w:p>
    <w:p>
      <w:pPr>
        <w:pStyle w:val="TextBody"/>
        <w:bidi w:val="0"/>
        <w:spacing w:before="33" w:after="283"/>
        <w:jc w:val="left"/>
        <w:rPr/>
      </w:pPr>
      <w:r>
        <w:rPr/>
        <w:t> </w:t>
      </w:r>
    </w:p>
    <w:p>
      <w:pPr>
        <w:pStyle w:val="Heading1"/>
        <w:bidi w:val="0"/>
        <w:jc w:val="left"/>
        <w:rPr>
          <w:rFonts w:ascii="Times New Roman" w:hAnsi="Times New Roman"/>
          <w:color w:val="0C0C0C"/>
          <w:sz w:val="23"/>
        </w:rPr>
      </w:pPr>
      <w:r>
        <w:rPr>
          <w:rFonts w:ascii="Times New Roman" w:hAnsi="Times New Roman"/>
          <w:color w:val="0C0C0C"/>
          <w:sz w:val="23"/>
        </w:rPr>
        <w:t>Pacific Park Investments, Inc.</w:t>
      </w:r>
    </w:p>
    <w:p>
      <w:pPr>
        <w:pStyle w:val="TextBody"/>
        <w:bidi w:val="0"/>
        <w:jc w:val="left"/>
        <w:rPr/>
      </w:pPr>
      <w:r>
        <w:rPr/>
        <w:t> </w:t>
      </w:r>
    </w:p>
    <w:p>
      <w:pPr>
        <w:pStyle w:val="TextBody"/>
        <w:bidi w:val="0"/>
        <w:spacing w:before="38" w:after="283"/>
        <w:jc w:val="left"/>
        <w:rPr/>
      </w:pPr>
      <w:r>
        <w:rPr/>
        <w:t> </w:t>
      </w:r>
    </w:p>
    <w:p>
      <w:pPr>
        <w:pStyle w:val="TextBody"/>
        <w:bidi w:val="0"/>
        <w:jc w:val="left"/>
        <w:rPr>
          <w:rFonts w:ascii="Times New Roman" w:hAnsi="Times New Roman"/>
          <w:sz w:val="20"/>
        </w:rPr>
      </w:pPr>
      <w:r>
        <w:rPr>
          <w:rFonts w:ascii="Times New Roman" w:hAnsi="Times New Roman"/>
          <w:color w:val="0C0C0C"/>
          <w:sz w:val="23"/>
        </w:rPr>
        <w:t>By:/</w:t>
      </w:r>
      <w:r>
        <w:rPr>
          <w:rFonts w:ascii="Times New Roman" w:hAnsi="Times New Roman"/>
          <w:color w:val="0C0C0C"/>
          <w:sz w:val="23"/>
          <w:u w:val="single"/>
        </w:rPr>
        <w:t>s/ Flint Mavis</w:t>
      </w:r>
    </w:p>
    <w:p>
      <w:pPr>
        <w:pStyle w:val="TextBody"/>
        <w:bidi w:val="0"/>
        <w:spacing w:before="9" w:after="283"/>
        <w:jc w:val="left"/>
        <w:rPr>
          <w:rFonts w:ascii="Times New Roman" w:hAnsi="Times New Roman"/>
          <w:color w:val="0C0C0C"/>
          <w:sz w:val="23"/>
        </w:rPr>
      </w:pPr>
      <w:r>
        <w:rPr>
          <w:rFonts w:ascii="Times New Roman" w:hAnsi="Times New Roman"/>
          <w:color w:val="0C0C0C"/>
          <w:sz w:val="23"/>
        </w:rPr>
        <w:t>Name: Flint Mavis</w:t>
      </w:r>
    </w:p>
    <w:p>
      <w:pPr>
        <w:pStyle w:val="TextBody"/>
        <w:bidi w:val="0"/>
        <w:spacing w:before="15" w:after="283"/>
        <w:jc w:val="left"/>
        <w:rPr>
          <w:rFonts w:ascii="Times New Roman" w:hAnsi="Times New Roman"/>
          <w:color w:val="0C0C0C"/>
          <w:sz w:val="23"/>
        </w:rPr>
      </w:pPr>
      <w:r>
        <w:rPr>
          <w:rFonts w:ascii="Times New Roman" w:hAnsi="Times New Roman"/>
          <w:color w:val="0C0C0C"/>
          <w:sz w:val="23"/>
        </w:rPr>
        <w:t>Title: Chief Executive Officer</w:t>
      </w:r>
    </w:p>
    <w:p>
      <w:pPr>
        <w:pStyle w:val="TextBody"/>
        <w:bidi w:val="0"/>
        <w:jc w:val="left"/>
        <w:rPr/>
      </w:pPr>
      <w:r>
        <w:rPr/>
        <w:t> </w:t>
      </w:r>
    </w:p>
    <w:p>
      <w:pPr>
        <w:pStyle w:val="TextBody"/>
        <w:bidi w:val="0"/>
        <w:spacing w:before="33" w:after="283"/>
        <w:jc w:val="left"/>
        <w:rPr/>
      </w:pPr>
      <w:r>
        <w:rPr/>
        <w:t> </w:t>
      </w:r>
    </w:p>
    <w:p>
      <w:pPr>
        <w:pStyle w:val="Heading1"/>
        <w:bidi w:val="0"/>
        <w:jc w:val="left"/>
        <w:rPr>
          <w:rFonts w:ascii="Times New Roman" w:hAnsi="Times New Roman"/>
          <w:color w:val="0C0C0C"/>
          <w:sz w:val="23"/>
        </w:rPr>
      </w:pPr>
      <w:r>
        <w:rPr>
          <w:rFonts w:ascii="Times New Roman" w:hAnsi="Times New Roman"/>
          <w:color w:val="0C0C0C"/>
          <w:sz w:val="23"/>
        </w:rPr>
        <w:t>RxSight, Inc.</w:t>
      </w:r>
    </w:p>
    <w:p>
      <w:pPr>
        <w:pStyle w:val="TextBody"/>
        <w:bidi w:val="0"/>
        <w:jc w:val="left"/>
        <w:rPr/>
      </w:pPr>
      <w:r>
        <w:rPr/>
        <w:t> </w:t>
      </w:r>
    </w:p>
    <w:p>
      <w:pPr>
        <w:pStyle w:val="TextBody"/>
        <w:bidi w:val="0"/>
        <w:spacing w:before="38" w:after="283"/>
        <w:jc w:val="left"/>
        <w:rPr/>
      </w:pPr>
      <w:r>
        <w:rPr/>
        <w:t> </w:t>
      </w:r>
    </w:p>
    <w:p>
      <w:pPr>
        <w:pStyle w:val="TextBody"/>
        <w:bidi w:val="0"/>
        <w:jc w:val="left"/>
        <w:rPr>
          <w:rFonts w:ascii="Times New Roman" w:hAnsi="Times New Roman"/>
          <w:sz w:val="20"/>
        </w:rPr>
      </w:pPr>
      <w:r>
        <w:rPr>
          <w:rFonts w:ascii="Times New Roman" w:hAnsi="Times New Roman"/>
          <w:color w:val="0C0C0C"/>
          <w:sz w:val="23"/>
        </w:rPr>
        <w:t>By:</w:t>
      </w:r>
      <w:r>
        <w:rPr>
          <w:rFonts w:ascii="Times New Roman" w:hAnsi="Times New Roman"/>
          <w:color w:val="0C0C0C"/>
          <w:sz w:val="23"/>
          <w:u w:val="single"/>
        </w:rPr>
        <w:t>/s/ Ron Kurtz</w:t>
      </w:r>
    </w:p>
    <w:p>
      <w:pPr>
        <w:pStyle w:val="TextBody"/>
        <w:bidi w:val="0"/>
        <w:jc w:val="left"/>
        <w:rPr>
          <w:rFonts w:ascii="Times New Roman" w:hAnsi="Times New Roman"/>
          <w:color w:val="0C0C0C"/>
          <w:sz w:val="23"/>
        </w:rPr>
      </w:pPr>
      <w:r>
        <w:rPr>
          <w:rFonts w:ascii="Times New Roman" w:hAnsi="Times New Roman"/>
          <w:color w:val="0C0C0C"/>
          <w:sz w:val="23"/>
        </w:rPr>
        <w:t>Name: Ron Kurtz</w:t>
      </w:r>
    </w:p>
    <w:p>
      <w:pPr>
        <w:pStyle w:val="TextBody"/>
        <w:bidi w:val="0"/>
        <w:spacing w:before="2" w:after="283"/>
        <w:jc w:val="left"/>
        <w:rPr>
          <w:rFonts w:ascii="Times New Roman" w:hAnsi="Times New Roman"/>
          <w:color w:val="0C0C0C"/>
          <w:sz w:val="23"/>
        </w:rPr>
      </w:pPr>
      <w:r>
        <w:rPr>
          <w:rFonts w:ascii="Times New Roman" w:hAnsi="Times New Roman"/>
          <w:color w:val="0C0C0C"/>
          <w:sz w:val="23"/>
        </w:rPr>
        <w:t>Title: Chief Executive Officer</w:t>
      </w:r>
    </w:p>
    <w:p>
      <w:pPr>
        <w:pStyle w:val="TextBody"/>
        <w:bidi w:val="0"/>
        <w:jc w:val="left"/>
        <w:rPr/>
      </w:pPr>
      <w:r>
        <w:rPr/>
        <w:t> </w:t>
      </w:r>
    </w:p>
    <w:p>
      <w:pPr>
        <w:pStyle w:val="TextBody"/>
        <w:bidi w:val="0"/>
        <w:spacing w:before="38" w:after="283"/>
        <w:jc w:val="left"/>
        <w:rPr>
          <w:rFonts w:ascii="Arial" w:hAnsi="Arial"/>
          <w:color w:val="0C0C0C"/>
          <w:sz w:val="19"/>
        </w:rPr>
      </w:pPr>
      <w:r>
        <w:rPr>
          <w:rFonts w:ascii="Arial" w:hAnsi="Arial"/>
          <w:color w:val="0C0C0C"/>
          <w:sz w:val="19"/>
        </w:rPr>
        <w:t>3</w:t>
      </w:r>
    </w:p>
    <w:p>
      <w:pPr>
        <w:pStyle w:val="HorizontalLine"/>
        <w:pBdr>
          <w:bottom w:val="double" w:sz="2" w:space="0" w:color="808080"/>
        </w:pBdr>
        <w:bidi w:val="0"/>
        <w:spacing w:before="0" w:after="283"/>
        <w:jc w:val="left"/>
        <w:rPr/>
      </w:pPr>
      <w:r>
        <w:rPr/>
      </w:r>
    </w:p>
    <w:p>
      <w:pPr>
        <w:pStyle w:val="TextBody"/>
        <w:bidi w:val="0"/>
        <w:jc w:val="left"/>
        <w:rPr/>
      </w:pPr>
      <w:bookmarkStart w:id="33" w:name="rxst-ex10_24.htm"/>
      <w:bookmarkStart w:id="34" w:name="ksrxstex10_24"/>
      <w:bookmarkEnd w:id="33"/>
      <w:bookmarkEnd w:id="34"/>
      <w:r>
        <w:rPr/>
        <w:drawing>
          <wp:inline distT="0" distB="0" distL="0" distR="0">
            <wp:extent cx="619125" cy="542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8"/>
                    <a:stretch>
                      <a:fillRect/>
                    </a:stretch>
                  </pic:blipFill>
                  <pic:spPr bwMode="auto">
                    <a:xfrm>
                      <a:off x="0" y="0"/>
                      <a:ext cx="619125" cy="542925"/>
                    </a:xfrm>
                    <a:prstGeom prst="rect">
                      <a:avLst/>
                    </a:prstGeom>
                  </pic:spPr>
                </pic:pic>
              </a:graphicData>
            </a:graphic>
          </wp:inline>
        </w:drawing>
      </w:r>
      <w:r>
        <w:rPr>
          <w:color w:val="000000"/>
        </w:rPr>
        <w:t xml:space="preserve"> </w:t>
      </w:r>
      <w:r>
        <w:rPr>
          <w:rFonts w:ascii="Times New Roman" w:hAnsi="Times New Roman"/>
          <w:b/>
          <w:color w:val="000000"/>
          <w:sz w:val="20"/>
        </w:rPr>
        <w:t>EXHIBIT 10.24</w:t>
      </w:r>
      <w:r>
        <w:br w:type="page"/>
      </w:r>
    </w:p>
    <w:p>
      <w:pPr>
        <w:pStyle w:val="TextBody"/>
        <w:bidi w:val="0"/>
        <w:spacing w:before="170" w:after="283"/>
        <w:jc w:val="left"/>
        <w:rPr>
          <w:rFonts w:ascii="Times New Roman" w:hAnsi="Times New Roman"/>
          <w:sz w:val="20"/>
        </w:rPr>
      </w:pPr>
      <w:r>
        <w:rPr>
          <w:rFonts w:ascii="Arial" w:hAnsi="Arial"/>
          <w:color w:val="545454"/>
          <w:sz w:val="32"/>
        </w:rPr>
        <w:t xml:space="preserve">Calhoun </w:t>
      </w:r>
      <w:r>
        <w:rPr>
          <w:rFonts w:ascii="Arial" w:hAnsi="Arial"/>
          <w:color w:val="838383"/>
          <w:sz w:val="32"/>
        </w:rPr>
        <w:t>Vision</w:t>
      </w:r>
    </w:p>
    <w:p>
      <w:pPr>
        <w:pStyle w:val="TextBody"/>
        <w:bidi w:val="0"/>
        <w:spacing w:before="51" w:after="283"/>
        <w:jc w:val="left"/>
        <w:rPr/>
      </w:pPr>
      <w:r>
        <w:rPr/>
        <w:t> </w:t>
      </w:r>
    </w:p>
    <w:p>
      <w:pPr>
        <w:pStyle w:val="TextBody"/>
        <w:bidi w:val="0"/>
        <w:jc w:val="left"/>
        <w:rPr>
          <w:rFonts w:ascii="Times New Roman" w:hAnsi="Times New Roman"/>
          <w:sz w:val="20"/>
        </w:rPr>
      </w:pPr>
      <w:r>
        <w:rPr>
          <w:rFonts w:ascii="Times New Roman" w:hAnsi="Times New Roman"/>
          <w:color w:val="383838"/>
          <w:sz w:val="24"/>
        </w:rPr>
        <w:t>October 28</w:t>
      </w:r>
      <w:r>
        <w:rPr>
          <w:rFonts w:ascii="Times New Roman" w:hAnsi="Times New Roman"/>
          <w:color w:val="383838"/>
          <w:sz w:val="16"/>
        </w:rPr>
        <w:t>th</w:t>
      </w:r>
      <w:r>
        <w:rPr>
          <w:rFonts w:ascii="Times New Roman" w:hAnsi="Times New Roman"/>
          <w:color w:val="383838"/>
          <w:sz w:val="24"/>
        </w:rPr>
        <w:t>, 2015 Scott Gaines</w:t>
      </w:r>
    </w:p>
    <w:p>
      <w:pPr>
        <w:pStyle w:val="TextBody"/>
        <w:bidi w:val="0"/>
        <w:spacing w:before="11" w:after="283"/>
        <w:jc w:val="left"/>
        <w:rPr/>
      </w:pPr>
      <w:r>
        <w:rPr/>
        <w:t> </w:t>
      </w:r>
    </w:p>
    <w:p>
      <w:pPr>
        <w:pStyle w:val="TextBody"/>
        <w:bidi w:val="0"/>
        <w:jc w:val="left"/>
        <w:rPr>
          <w:rFonts w:ascii="Times New Roman" w:hAnsi="Times New Roman"/>
          <w:b/>
          <w:color w:val="383838"/>
          <w:sz w:val="23"/>
        </w:rPr>
      </w:pPr>
      <w:r>
        <w:rPr>
          <w:rFonts w:ascii="Times New Roman" w:hAnsi="Times New Roman"/>
          <w:b/>
          <w:color w:val="383838"/>
          <w:sz w:val="23"/>
        </w:rPr>
        <w:t>Re: Offer of Employment</w:t>
      </w:r>
    </w:p>
    <w:p>
      <w:pPr>
        <w:pStyle w:val="TextBody"/>
        <w:bidi w:val="0"/>
        <w:spacing w:before="14" w:after="283"/>
        <w:jc w:val="left"/>
        <w:rPr/>
      </w:pPr>
      <w:r>
        <w:rPr/>
        <w:t> </w:t>
      </w:r>
    </w:p>
    <w:p>
      <w:pPr>
        <w:pStyle w:val="TextBody"/>
        <w:bidi w:val="0"/>
        <w:spacing w:before="1" w:after="283"/>
        <w:jc w:val="left"/>
        <w:rPr>
          <w:rFonts w:ascii="Times New Roman" w:hAnsi="Times New Roman"/>
          <w:color w:val="383838"/>
          <w:sz w:val="24"/>
        </w:rPr>
      </w:pPr>
      <w:r>
        <w:rPr>
          <w:rFonts w:ascii="Times New Roman" w:hAnsi="Times New Roman"/>
          <w:color w:val="383838"/>
          <w:sz w:val="24"/>
        </w:rPr>
        <w:t>Dear Scott,</w:t>
      </w:r>
    </w:p>
    <w:p>
      <w:pPr>
        <w:pStyle w:val="TextBody"/>
        <w:bidi w:val="0"/>
        <w:jc w:val="left"/>
        <w:rPr/>
      </w:pPr>
      <w:r>
        <w:rPr/>
        <w:t> </w:t>
      </w:r>
    </w:p>
    <w:p>
      <w:pPr>
        <w:pStyle w:val="TextBody"/>
        <w:bidi w:val="0"/>
        <w:jc w:val="both"/>
        <w:rPr>
          <w:rFonts w:ascii="Times New Roman" w:hAnsi="Times New Roman"/>
          <w:color w:val="383838"/>
          <w:sz w:val="24"/>
        </w:rPr>
      </w:pPr>
      <w:r>
        <w:rPr>
          <w:rFonts w:ascii="Times New Roman" w:hAnsi="Times New Roman"/>
          <w:color w:val="383838"/>
          <w:sz w:val="24"/>
        </w:rPr>
        <w:t>I am very pleased to offer you the position of Senior Director Commercial Operations and Business Processes at Calhoun Vision, Inc., ("the Company"), reporting directly to our Chief Commercial Officer. I am confident that you will be a key contributor to the future success of the Company and I look forward to your acceptance. If you have any questions about your offer, feel free to contact Caroline Vaughn (***) or me.</w:t>
      </w:r>
    </w:p>
    <w:p>
      <w:pPr>
        <w:pStyle w:val="TextBody"/>
        <w:bidi w:val="0"/>
        <w:spacing w:before="268" w:after="283"/>
        <w:jc w:val="both"/>
        <w:rPr>
          <w:rFonts w:ascii="Times New Roman" w:hAnsi="Times New Roman"/>
          <w:color w:val="383838"/>
          <w:sz w:val="24"/>
        </w:rPr>
      </w:pPr>
      <w:r>
        <w:rPr>
          <w:rFonts w:ascii="Times New Roman" w:hAnsi="Times New Roman"/>
          <w:color w:val="383838"/>
          <w:sz w:val="24"/>
        </w:rPr>
        <w:t>The duties for the position are outlined in the attached position description. You will work in the Calhoun locations in Orange County and Pasadena with the understanding that you will be based in Orange County long-term.</w:t>
      </w:r>
    </w:p>
    <w:p>
      <w:pPr>
        <w:pStyle w:val="TextBody"/>
        <w:bidi w:val="0"/>
        <w:spacing w:before="1" w:after="283"/>
        <w:jc w:val="left"/>
        <w:rPr/>
      </w:pPr>
      <w:r>
        <w:rPr/>
        <w:t> </w:t>
      </w:r>
    </w:p>
    <w:p>
      <w:pPr>
        <w:pStyle w:val="TextBody"/>
        <w:bidi w:val="0"/>
        <w:jc w:val="both"/>
        <w:rPr>
          <w:rFonts w:ascii="Times New Roman" w:hAnsi="Times New Roman"/>
          <w:color w:val="383838"/>
          <w:sz w:val="24"/>
        </w:rPr>
      </w:pPr>
      <w:r>
        <w:rPr>
          <w:rFonts w:ascii="Times New Roman" w:hAnsi="Times New Roman"/>
          <w:color w:val="383838"/>
          <w:sz w:val="24"/>
        </w:rPr>
        <w:t>Your base compensation will be two hundred thousand dollars ($200,000) per year, less payroll deductions and other required withholdings. Your regular salary will be paid semi-monthly.</w:t>
      </w:r>
    </w:p>
    <w:p>
      <w:pPr>
        <w:pStyle w:val="TextBody"/>
        <w:bidi w:val="0"/>
        <w:spacing w:before="273" w:after="283"/>
        <w:jc w:val="both"/>
        <w:rPr>
          <w:rFonts w:ascii="Times New Roman" w:hAnsi="Times New Roman"/>
          <w:color w:val="383838"/>
          <w:sz w:val="24"/>
        </w:rPr>
      </w:pPr>
      <w:r>
        <w:rPr>
          <w:rFonts w:ascii="Times New Roman" w:hAnsi="Times New Roman"/>
          <w:color w:val="383838"/>
          <w:sz w:val="24"/>
        </w:rPr>
        <w:t>You will be eligible for the following standard Company benefits: medical, dental and vision insurance, 401(k) Plan, and group life insurance. You will also be eligible for Paid Time Off (PTO) that will be initially accrued at 1.33 days per month (16 days per year) starting with your first day of work, and company paid holidays. Details of these benefit plans are available for your review.</w:t>
      </w:r>
    </w:p>
    <w:p>
      <w:pPr>
        <w:pStyle w:val="TextBody"/>
        <w:bidi w:val="0"/>
        <w:spacing w:before="6" w:after="283"/>
        <w:jc w:val="left"/>
        <w:rPr/>
      </w:pPr>
      <w:r>
        <w:rPr/>
        <w:t> </w:t>
      </w:r>
    </w:p>
    <w:p>
      <w:pPr>
        <w:pStyle w:val="TextBody"/>
        <w:bidi w:val="0"/>
        <w:jc w:val="both"/>
        <w:rPr>
          <w:rFonts w:ascii="Times New Roman" w:hAnsi="Times New Roman"/>
          <w:color w:val="383838"/>
          <w:sz w:val="24"/>
        </w:rPr>
      </w:pPr>
      <w:r>
        <w:rPr>
          <w:rFonts w:ascii="Times New Roman" w:hAnsi="Times New Roman"/>
          <w:color w:val="383838"/>
          <w:sz w:val="24"/>
        </w:rPr>
        <w:t>As equity compensation, you will be given options to purchase two hundred thousand (200,000) shares of the Company's Common Stock. Formal approval of this grant and confirmation of the exercise price of such options shall be secured at the next meeting of the Company's Board of Directors, currently scheduled for February 2016. Your options to purchase shares of the Company will be subject to vesting on the following terms: 25% shall vest after one year, with the balance vesting equally on a monthly basis over the</w:t>
      </w:r>
    </w:p>
    <w:p>
      <w:pPr>
        <w:pStyle w:val="TextBody"/>
        <w:bidi w:val="0"/>
        <w:jc w:val="both"/>
        <w:rPr>
          <w:rFonts w:ascii="Times New Roman" w:hAnsi="Times New Roman"/>
          <w:color w:val="383838"/>
          <w:sz w:val="24"/>
        </w:rPr>
      </w:pPr>
      <w:r>
        <w:rPr>
          <w:rFonts w:ascii="Times New Roman" w:hAnsi="Times New Roman"/>
          <w:color w:val="383838"/>
          <w:sz w:val="24"/>
        </w:rPr>
        <w:t>Following three years.</w:t>
      </w:r>
    </w:p>
    <w:p>
      <w:pPr>
        <w:pStyle w:val="TextBody"/>
        <w:bidi w:val="0"/>
        <w:jc w:val="right"/>
        <w:rPr>
          <w:rFonts w:ascii="Times New Roman" w:hAnsi="Times New Roman"/>
          <w:color w:val="383838"/>
          <w:sz w:val="28"/>
          <w:u w:val="single"/>
        </w:rPr>
      </w:pPr>
      <w:r>
        <w:rPr>
          <w:rFonts w:ascii="Times New Roman" w:hAnsi="Times New Roman"/>
          <w:color w:val="383838"/>
          <w:sz w:val="28"/>
          <w:u w:val="single"/>
        </w:rPr>
        <w:t>Initials /s/ SG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 w:after="283"/>
        <w:jc w:val="left"/>
        <w:rPr/>
      </w:pPr>
      <w:r>
        <w:rPr/>
        <w:t> </w:t>
      </w:r>
    </w:p>
    <w:p>
      <w:pPr>
        <w:pStyle w:val="TextBody"/>
        <w:bidi w:val="0"/>
        <w:spacing w:before="1" w:after="283"/>
        <w:jc w:val="left"/>
        <w:rPr>
          <w:rFonts w:ascii="Times New Roman" w:hAnsi="Times New Roman"/>
          <w:color w:val="383838"/>
          <w:sz w:val="24"/>
        </w:rPr>
      </w:pPr>
      <w:r>
        <w:rPr>
          <w:rFonts w:ascii="Times New Roman" w:hAnsi="Times New Roman"/>
          <w:color w:val="383838"/>
          <w:sz w:val="24"/>
        </w:rPr>
        <w:t>Calhoun Vision, Inc</w:t>
      </w:r>
    </w:p>
    <w:p>
      <w:pPr>
        <w:pStyle w:val="TextBody"/>
        <w:bidi w:val="0"/>
        <w:spacing w:before="7" w:after="283"/>
        <w:jc w:val="left"/>
        <w:rPr>
          <w:rFonts w:ascii="Times New Roman" w:hAnsi="Times New Roman"/>
          <w:color w:val="383838"/>
          <w:sz w:val="24"/>
        </w:rPr>
      </w:pPr>
      <w:r>
        <w:rPr>
          <w:rFonts w:ascii="Times New Roman" w:hAnsi="Times New Roman"/>
          <w:color w:val="383838"/>
          <w:sz w:val="24"/>
        </w:rPr>
        <w:t>171 N. Altadena Drive, Suite 201, Pasadena, CA 91107</w:t>
      </w:r>
    </w:p>
    <w:p>
      <w:pPr>
        <w:pStyle w:val="TextBody"/>
        <w:bidi w:val="0"/>
        <w:spacing w:before="7" w:after="283"/>
        <w:jc w:val="left"/>
        <w:rPr>
          <w:rFonts w:ascii="Times New Roman" w:hAnsi="Times New Roman"/>
          <w:color w:val="383838"/>
          <w:sz w:val="24"/>
        </w:rPr>
      </w:pPr>
      <w:r>
        <w:rPr>
          <w:rFonts w:ascii="Times New Roman" w:hAnsi="Times New Roman"/>
          <w:color w:val="383838"/>
          <w:sz w:val="24"/>
        </w:rPr>
        <w:t>(626) 685-2000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7" w:after="283"/>
        <w:jc w:val="left"/>
        <w:rPr>
          <w:rFonts w:ascii="Times New Roman" w:hAnsi="Times New Roman"/>
          <w:sz w:val="20"/>
        </w:rPr>
      </w:pPr>
      <w:r>
        <w:rPr>
          <w:rFonts w:ascii="Times New Roman" w:hAnsi="Times New Roman"/>
          <w:color w:val="363636"/>
          <w:sz w:val="24"/>
        </w:rPr>
        <w:t>Scott Gaines October 28</w:t>
      </w:r>
      <w:r>
        <w:rPr>
          <w:rFonts w:ascii="Times New Roman" w:hAnsi="Times New Roman"/>
          <w:color w:val="363636"/>
          <w:sz w:val="16"/>
        </w:rPr>
        <w:t>th</w:t>
      </w:r>
      <w:r>
        <w:rPr>
          <w:rFonts w:ascii="Times New Roman" w:hAnsi="Times New Roman"/>
          <w:color w:val="363636"/>
          <w:sz w:val="24"/>
        </w:rPr>
        <w:t>, 2015</w:t>
      </w:r>
    </w:p>
    <w:p>
      <w:pPr>
        <w:pStyle w:val="TextBody"/>
        <w:bidi w:val="0"/>
        <w:jc w:val="left"/>
        <w:rPr>
          <w:rFonts w:ascii="Times New Roman" w:hAnsi="Times New Roman"/>
          <w:color w:val="363636"/>
          <w:sz w:val="22"/>
        </w:rPr>
      </w:pPr>
      <w:r>
        <w:rPr>
          <w:rFonts w:ascii="Times New Roman" w:hAnsi="Times New Roman"/>
          <w:color w:val="363636"/>
          <w:sz w:val="22"/>
        </w:rPr>
        <w:t>2</w:t>
      </w:r>
    </w:p>
    <w:p>
      <w:pPr>
        <w:pStyle w:val="TextBody"/>
        <w:bidi w:val="0"/>
        <w:spacing w:before="144" w:after="283"/>
        <w:jc w:val="left"/>
        <w:rPr/>
      </w:pPr>
      <w:r>
        <w:rPr/>
        <w:t> </w:t>
      </w:r>
    </w:p>
    <w:p>
      <w:pPr>
        <w:pStyle w:val="TextBody"/>
        <w:bidi w:val="0"/>
        <w:jc w:val="both"/>
        <w:rPr>
          <w:rFonts w:ascii="Times New Roman" w:hAnsi="Times New Roman"/>
          <w:color w:val="363636"/>
          <w:sz w:val="24"/>
        </w:rPr>
      </w:pPr>
      <w:r>
        <w:rPr>
          <w:rFonts w:ascii="Times New Roman" w:hAnsi="Times New Roman"/>
          <w:color w:val="363636"/>
          <w:sz w:val="24"/>
        </w:rPr>
        <w:t>As a Company employee, you will be expected to abide by Company rules and regulations, and to sign and comply with a Proprietary Information and Inventions Agreement that prohibits unauthorized use or disclosure of the Company's proprietary information. During the period of your employment, you will not engage in any employment or business activity other than for the Company without the express written consent of the Company.</w:t>
      </w:r>
    </w:p>
    <w:p>
      <w:pPr>
        <w:pStyle w:val="TextBody"/>
        <w:bidi w:val="0"/>
        <w:spacing w:before="275" w:after="283"/>
        <w:jc w:val="both"/>
        <w:rPr>
          <w:rFonts w:ascii="Times New Roman" w:hAnsi="Times New Roman"/>
          <w:sz w:val="20"/>
        </w:rPr>
      </w:pPr>
      <w:r>
        <w:rPr>
          <w:rFonts w:ascii="Times New Roman" w:hAnsi="Times New Roman"/>
          <w:color w:val="363636"/>
          <w:sz w:val="24"/>
        </w:rPr>
        <w:t xml:space="preserve">You may terminate your employment with the Company at any time and for any reason whatsoever simply by notifying the Company. Likewise, the Company may terminate your employment at any time and for any reason whatsoever, with or without cause or advance notice. This </w:t>
      </w:r>
      <w:r>
        <w:rPr>
          <w:rFonts w:ascii="Times New Roman" w:hAnsi="Times New Roman"/>
          <w:color w:val="4F4F4F"/>
          <w:sz w:val="24"/>
        </w:rPr>
        <w:t xml:space="preserve">"at-will" </w:t>
      </w:r>
      <w:r>
        <w:rPr>
          <w:rFonts w:ascii="Times New Roman" w:hAnsi="Times New Roman"/>
          <w:color w:val="363636"/>
          <w:sz w:val="24"/>
        </w:rPr>
        <w:t>employment relationship cannot be changed except in writing and signed by the Company's Chief Executive Officer. The first three (3) months of your employment are a probationary period. The Company may extend the probationary period if it desires. Completion of the probationary period does not alter your at-will employment status.</w:t>
      </w:r>
    </w:p>
    <w:p>
      <w:pPr>
        <w:pStyle w:val="TextBody"/>
        <w:bidi w:val="0"/>
        <w:spacing w:before="276" w:after="283"/>
        <w:jc w:val="both"/>
        <w:rPr>
          <w:rFonts w:ascii="Times New Roman" w:hAnsi="Times New Roman"/>
          <w:color w:val="363636"/>
          <w:sz w:val="24"/>
        </w:rPr>
      </w:pPr>
      <w:r>
        <w:rPr>
          <w:rFonts w:ascii="Times New Roman" w:hAnsi="Times New Roman"/>
          <w:color w:val="363636"/>
          <w:sz w:val="24"/>
        </w:rPr>
        <w:t>Any employment-related disputes, including any dispute regarding a statutory claim, shall be resolved through final and binding arbitration pursuant to the applicable rules of the American Arbitration Association. In the event a breach by either party is alleged that could result in irreparable injury such as a failure to pay wages when due or a breach of the employee's obligations concerning Proprietary Information, the moving party may seek provisional relief in a court of competent jurisdiction pending resolution of the matter through arbitration.</w:t>
      </w:r>
    </w:p>
    <w:p>
      <w:pPr>
        <w:pStyle w:val="TextBody"/>
        <w:bidi w:val="0"/>
        <w:spacing w:before="1" w:after="283"/>
        <w:jc w:val="left"/>
        <w:rPr/>
      </w:pPr>
      <w:r>
        <w:rPr/>
        <w:t> </w:t>
      </w:r>
    </w:p>
    <w:p>
      <w:pPr>
        <w:pStyle w:val="TextBody"/>
        <w:bidi w:val="0"/>
        <w:jc w:val="both"/>
        <w:rPr>
          <w:rFonts w:ascii="Times New Roman" w:hAnsi="Times New Roman"/>
          <w:color w:val="363636"/>
          <w:sz w:val="24"/>
        </w:rPr>
      </w:pPr>
      <w:r>
        <w:rPr>
          <w:rFonts w:ascii="Times New Roman" w:hAnsi="Times New Roman"/>
          <w:color w:val="363636"/>
          <w:sz w:val="24"/>
        </w:rPr>
        <w:t>The employment terms in this letter supersede any other agreements or promises made to you by anyone, whether oral or written. This offer of employment and any grant or award under any of the Company's benefit plans, including without limitation, the Company's Stock Option Plan, are expressly conditioned upon, and shall not be effective in the absence of, your agreement and consent. This offer is subject to completion of an employment application, satisfactory background check, reference checks and, as required by law, proof of your right to work in the United States.</w:t>
      </w:r>
    </w:p>
    <w:p>
      <w:pPr>
        <w:pStyle w:val="TextBody"/>
        <w:bidi w:val="0"/>
        <w:spacing w:before="6"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363636"/>
          <w:sz w:val="24"/>
        </w:rPr>
        <w:t xml:space="preserve">To indicate acceptance of the Company's offer under the terms described above, please print a copy of this letter, initial each page at the bottom-right corner, sign and date this letter in the space below, and return it to me by no later than </w:t>
      </w:r>
      <w:r>
        <w:rPr>
          <w:rFonts w:ascii="Times New Roman" w:hAnsi="Times New Roman"/>
          <w:b/>
          <w:color w:val="363636"/>
          <w:sz w:val="23"/>
        </w:rPr>
        <w:t xml:space="preserve">October </w:t>
      </w:r>
      <w:r>
        <w:rPr>
          <w:rFonts w:ascii="Times New Roman" w:hAnsi="Times New Roman"/>
          <w:b/>
          <w:color w:val="363636"/>
          <w:sz w:val="24"/>
        </w:rPr>
        <w:t>30</w:t>
      </w:r>
      <w:r>
        <w:rPr>
          <w:rFonts w:ascii="Times New Roman" w:hAnsi="Times New Roman"/>
          <w:b/>
          <w:color w:val="363636"/>
          <w:sz w:val="16"/>
        </w:rPr>
        <w:t>th</w:t>
      </w:r>
      <w:r>
        <w:rPr>
          <w:rFonts w:ascii="Times New Roman" w:hAnsi="Times New Roman"/>
          <w:b/>
          <w:color w:val="363636"/>
          <w:sz w:val="24"/>
        </w:rPr>
        <w:t xml:space="preserve">, 2015. </w:t>
      </w:r>
      <w:r>
        <w:rPr>
          <w:rFonts w:ascii="Times New Roman" w:hAnsi="Times New Roman"/>
          <w:color w:val="363636"/>
          <w:sz w:val="24"/>
        </w:rPr>
        <w:t xml:space="preserve">If you accept our offer, we would like you to begin work no later than </w:t>
      </w:r>
      <w:r>
        <w:rPr>
          <w:rFonts w:ascii="Times New Roman" w:hAnsi="Times New Roman"/>
          <w:b/>
          <w:color w:val="000000"/>
          <w:sz w:val="23"/>
        </w:rPr>
        <w:t>November_10</w:t>
      </w:r>
      <w:r>
        <w:rPr>
          <w:rFonts w:ascii="Times New Roman" w:hAnsi="Times New Roman"/>
          <w:b/>
          <w:color w:val="000000"/>
          <w:sz w:val="15"/>
        </w:rPr>
        <w:t>th</w:t>
      </w:r>
      <w:r>
        <w:rPr>
          <w:rFonts w:ascii="Times New Roman" w:hAnsi="Times New Roman"/>
          <w:color w:val="000000"/>
          <w:sz w:val="20"/>
        </w:rPr>
        <w:t xml:space="preserve"> </w:t>
      </w:r>
      <w:r>
        <w:rPr>
          <w:rFonts w:ascii="Times New Roman" w:hAnsi="Times New Roman"/>
          <w:b/>
          <w:color w:val="000000"/>
          <w:sz w:val="23"/>
        </w:rPr>
        <w:t>201</w:t>
      </w:r>
      <w:r>
        <w:rPr>
          <w:rFonts w:ascii="Times New Roman" w:hAnsi="Times New Roman"/>
          <w:b/>
          <w:color w:val="000000"/>
          <w:sz w:val="24"/>
        </w:rPr>
        <w:t>5.</w:t>
      </w:r>
    </w:p>
    <w:p>
      <w:pPr>
        <w:pStyle w:val="TextBody"/>
        <w:bidi w:val="0"/>
        <w:jc w:val="left"/>
        <w:rPr/>
      </w:pPr>
      <w:r>
        <w:rPr/>
        <w:t> </w:t>
      </w:r>
    </w:p>
    <w:p>
      <w:pPr>
        <w:pStyle w:val="TextBody"/>
        <w:bidi w:val="0"/>
        <w:jc w:val="left"/>
        <w:rPr/>
      </w:pPr>
      <w:r>
        <w:rPr/>
        <w:t> </w:t>
      </w:r>
    </w:p>
    <w:p>
      <w:pPr>
        <w:pStyle w:val="TextBody"/>
        <w:bidi w:val="0"/>
        <w:spacing w:before="21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Initials /s/ SG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2" w:after="283"/>
        <w:jc w:val="left"/>
        <w:rPr/>
      </w:pPr>
      <w:r>
        <w:rPr/>
        <w:t> </w:t>
      </w:r>
    </w:p>
    <w:p>
      <w:pPr>
        <w:pStyle w:val="TextBody"/>
        <w:bidi w:val="0"/>
        <w:spacing w:before="92" w:after="283"/>
        <w:jc w:val="left"/>
        <w:rPr/>
      </w:pPr>
      <w:r>
        <w:rPr/>
        <w:t> </w:t>
      </w:r>
    </w:p>
    <w:p>
      <w:pPr>
        <w:pStyle w:val="TextBody"/>
        <w:bidi w:val="0"/>
        <w:spacing w:before="92" w:after="283"/>
        <w:jc w:val="left"/>
        <w:rPr>
          <w:rFonts w:ascii="Times New Roman" w:hAnsi="Times New Roman"/>
          <w:color w:val="383838"/>
          <w:sz w:val="23"/>
        </w:rPr>
      </w:pPr>
      <w:r>
        <w:rPr>
          <w:rFonts w:ascii="Times New Roman" w:hAnsi="Times New Roman"/>
          <w:color w:val="383838"/>
          <w:sz w:val="23"/>
        </w:rPr>
        <w:t>Scott Gaines October 28th, 2015</w:t>
      </w:r>
    </w:p>
    <w:p>
      <w:pPr>
        <w:pStyle w:val="TextBody"/>
        <w:bidi w:val="0"/>
        <w:jc w:val="left"/>
        <w:rPr>
          <w:rFonts w:ascii="Times New Roman" w:hAnsi="Times New Roman"/>
          <w:color w:val="383838"/>
          <w:sz w:val="23"/>
        </w:rPr>
      </w:pPr>
      <w:r>
        <w:rPr>
          <w:rFonts w:ascii="Times New Roman" w:hAnsi="Times New Roman"/>
          <w:color w:val="383838"/>
          <w:sz w:val="23"/>
        </w:rPr>
        <w:t>3</w:t>
      </w:r>
    </w:p>
    <w:p>
      <w:pPr>
        <w:pStyle w:val="TextBody"/>
        <w:bidi w:val="0"/>
        <w:jc w:val="left"/>
        <w:rPr/>
      </w:pPr>
      <w:r>
        <w:rPr/>
        <w:t> </w:t>
      </w:r>
    </w:p>
    <w:p>
      <w:pPr>
        <w:pStyle w:val="TextBody"/>
        <w:bidi w:val="0"/>
        <w:spacing w:before="186" w:after="283"/>
        <w:jc w:val="left"/>
        <w:rPr/>
      </w:pPr>
      <w:r>
        <w:rPr/>
        <w:t> </w:t>
      </w:r>
    </w:p>
    <w:p>
      <w:pPr>
        <w:pStyle w:val="TextBody"/>
        <w:bidi w:val="0"/>
        <w:jc w:val="left"/>
        <w:rPr>
          <w:rFonts w:ascii="Times New Roman" w:hAnsi="Times New Roman"/>
          <w:color w:val="383838"/>
          <w:sz w:val="23"/>
        </w:rPr>
      </w:pPr>
      <w:r>
        <w:rPr>
          <w:rFonts w:ascii="Times New Roman" w:hAnsi="Times New Roman"/>
          <w:color w:val="383838"/>
          <w:sz w:val="23"/>
        </w:rPr>
        <w:t>We thank you once again for your interest in the Company and our novel technology, and very much look forward to your favorable reply and to a productive and mutually rewarding working relationship.</w:t>
      </w:r>
    </w:p>
    <w:p>
      <w:pPr>
        <w:pStyle w:val="TextBody"/>
        <w:bidi w:val="0"/>
        <w:jc w:val="left"/>
        <w:rPr/>
      </w:pPr>
      <w:r>
        <w:rPr/>
        <w:t> </w:t>
      </w:r>
    </w:p>
    <w:p>
      <w:pPr>
        <w:pStyle w:val="TextBody"/>
        <w:bidi w:val="0"/>
        <w:spacing w:before="29"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383838"/>
          <w:sz w:val="23"/>
        </w:rPr>
        <w:t>Sincerely,</w:t>
      </w:r>
      <w:r>
        <w:rPr>
          <w:rFonts w:ascii="Times New Roman" w:hAnsi="Times New Roman"/>
          <w:color w:val="000000"/>
          <w:sz w:val="20"/>
        </w:rPr>
        <w:t xml:space="preserve"> </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i/>
          <w:color w:val="000000"/>
          <w:sz w:val="24"/>
          <w:u w:val="single"/>
        </w:rPr>
        <w:t>/s/ Ron Kurtz /s/ Scott Gaines</w:t>
      </w:r>
      <w:r>
        <w:rPr>
          <w:rFonts w:ascii="Times New Roman" w:hAnsi="Times New Roman"/>
          <w:color w:val="000000"/>
          <w:sz w:val="24"/>
          <w:u w:val="single"/>
        </w:rPr>
        <w:br/>
      </w:r>
      <w:r>
        <w:rPr>
          <w:rFonts w:ascii="Times New Roman" w:hAnsi="Times New Roman"/>
          <w:color w:val="383838"/>
          <w:sz w:val="23"/>
        </w:rPr>
        <w:t>Chief Operations Officer</w:t>
      </w:r>
    </w:p>
    <w:p>
      <w:pPr>
        <w:pStyle w:val="TextBody"/>
        <w:bidi w:val="0"/>
        <w:jc w:val="left"/>
        <w:rPr/>
      </w:pPr>
      <w:r>
        <w:rPr/>
        <w:t> </w:t>
      </w:r>
    </w:p>
    <w:p>
      <w:pPr>
        <w:pStyle w:val="TextBody"/>
        <w:bidi w:val="0"/>
        <w:spacing w:before="32" w:after="283"/>
        <w:jc w:val="left"/>
        <w:rPr/>
      </w:pPr>
      <w:r>
        <w:rPr/>
        <w:t> </w:t>
      </w:r>
    </w:p>
    <w:p>
      <w:pPr>
        <w:pStyle w:val="TextBody"/>
        <w:bidi w:val="0"/>
        <w:spacing w:before="1" w:after="283"/>
        <w:jc w:val="left"/>
        <w:rPr>
          <w:rFonts w:ascii="Times New Roman" w:hAnsi="Times New Roman"/>
          <w:sz w:val="20"/>
        </w:rPr>
      </w:pPr>
      <w:r>
        <w:rPr>
          <w:rFonts w:ascii="Times New Roman" w:hAnsi="Times New Roman"/>
          <w:i/>
          <w:color w:val="383838"/>
          <w:sz w:val="23"/>
          <w:u w:val="single"/>
        </w:rPr>
        <w:t>October 28</w:t>
      </w:r>
      <w:r>
        <w:rPr>
          <w:rFonts w:ascii="Times New Roman" w:hAnsi="Times New Roman"/>
          <w:color w:val="383838"/>
          <w:sz w:val="20"/>
          <w:u w:val="single"/>
        </w:rPr>
        <w:t xml:space="preserve"> </w:t>
      </w:r>
      <w:r>
        <w:rPr>
          <w:rFonts w:ascii="Times New Roman" w:hAnsi="Times New Roman"/>
          <w:i/>
          <w:color w:val="383838"/>
          <w:sz w:val="16"/>
          <w:u w:val="single"/>
        </w:rPr>
        <w:t xml:space="preserve">, </w:t>
      </w:r>
      <w:r>
        <w:rPr>
          <w:rFonts w:ascii="Times New Roman" w:hAnsi="Times New Roman"/>
          <w:i/>
          <w:color w:val="383838"/>
          <w:sz w:val="23"/>
          <w:u w:val="single"/>
        </w:rPr>
        <w:t>2015 October 28, 2015</w:t>
      </w:r>
    </w:p>
    <w:p>
      <w:pPr>
        <w:pStyle w:val="TextBody"/>
        <w:bidi w:val="0"/>
        <w:jc w:val="left"/>
        <w:rPr>
          <w:rFonts w:ascii="Times New Roman" w:hAnsi="Times New Roman"/>
          <w:color w:val="383838"/>
          <w:sz w:val="23"/>
        </w:rPr>
      </w:pPr>
      <w:r>
        <w:rPr>
          <w:rFonts w:ascii="Times New Roman" w:hAnsi="Times New Roman"/>
          <w:color w:val="383838"/>
          <w:sz w:val="23"/>
        </w:rPr>
        <w:t>Date 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98" w:after="283"/>
        <w:jc w:val="center"/>
        <w:rPr/>
      </w:pPr>
      <w:r>
        <w:rPr/>
        <w:t> </w:t>
      </w:r>
    </w:p>
    <w:p>
      <w:pPr>
        <w:pStyle w:val="Heading1"/>
        <w:bidi w:val="0"/>
        <w:spacing w:before="98" w:after="283"/>
        <w:jc w:val="center"/>
        <w:rPr/>
      </w:pPr>
      <w:r>
        <w:rPr/>
        <w:t> </w:t>
      </w:r>
    </w:p>
    <w:p>
      <w:pPr>
        <w:pStyle w:val="Heading1"/>
        <w:bidi w:val="0"/>
        <w:spacing w:before="98" w:after="283"/>
        <w:jc w:val="center"/>
        <w:rPr>
          <w:rFonts w:ascii="Times New Roman" w:hAnsi="Times New Roman"/>
          <w:b w:val="false"/>
          <w:color w:val="000000"/>
          <w:sz w:val="24"/>
          <w:u w:val="single"/>
        </w:rPr>
      </w:pPr>
      <w:r>
        <w:rPr>
          <w:rFonts w:ascii="Times New Roman" w:hAnsi="Times New Roman"/>
          <w:b w:val="false"/>
          <w:color w:val="000000"/>
          <w:sz w:val="24"/>
          <w:u w:val="single"/>
        </w:rPr>
        <w:t>Amendment to Offer of Employment</w:t>
      </w:r>
    </w:p>
    <w:p>
      <w:pPr>
        <w:pStyle w:val="TextBody"/>
        <w:bidi w:val="0"/>
        <w:spacing w:before="57"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Dear Scott,</w:t>
      </w:r>
    </w:p>
    <w:p>
      <w:pPr>
        <w:pStyle w:val="TextBody"/>
        <w:bidi w:val="0"/>
        <w:spacing w:before="80"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3"/>
        </w:rPr>
        <w:t>We are pleased to note the following changes to your employment at RxSight, Inc. effective July 16, 2025</w:t>
      </w:r>
      <w:r>
        <w:rPr>
          <w:rFonts w:ascii="Times New Roman" w:hAnsi="Times New Roman"/>
          <w:b/>
          <w:color w:val="000000"/>
          <w:sz w:val="23"/>
        </w:rPr>
        <w:t>:</w:t>
      </w:r>
    </w:p>
    <w:p>
      <w:pPr>
        <w:pStyle w:val="TextBody"/>
        <w:bidi w:val="0"/>
        <w:spacing w:before="263" w:after="283"/>
        <w:jc w:val="left"/>
        <w:rPr>
          <w:rFonts w:ascii="Times New Roman" w:hAnsi="Times New Roman"/>
          <w:color w:val="000000"/>
          <w:sz w:val="23"/>
        </w:rPr>
      </w:pPr>
      <w:r>
        <w:rPr>
          <w:rFonts w:ascii="Times New Roman" w:hAnsi="Times New Roman"/>
          <w:color w:val="000000"/>
          <w:sz w:val="23"/>
        </w:rPr>
        <w:t>1.</w:t>
      </w:r>
    </w:p>
    <w:p>
      <w:pPr>
        <w:pStyle w:val="TextBody"/>
        <w:bidi w:val="0"/>
        <w:spacing w:before="263" w:after="283"/>
        <w:jc w:val="left"/>
        <w:rPr/>
      </w:pPr>
      <w:r>
        <w:rPr>
          <w:rFonts w:ascii="Times New Roman" w:hAnsi="Times New Roman"/>
          <w:color w:val="000000"/>
          <w:sz w:val="23"/>
        </w:rPr>
        <w:t xml:space="preserve">You will be promoted to </w:t>
      </w:r>
      <w:r>
        <w:rPr>
          <w:rFonts w:ascii="Times New Roman" w:hAnsi="Times New Roman"/>
          <w:b/>
          <w:color w:val="000000"/>
          <w:sz w:val="23"/>
        </w:rPr>
        <w:t>Chief Customer Officer;</w:t>
      </w:r>
    </w:p>
    <w:p>
      <w:pPr>
        <w:pStyle w:val="TextBody"/>
        <w:bidi w:val="0"/>
        <w:spacing w:before="2" w:after="283"/>
        <w:jc w:val="left"/>
        <w:rPr>
          <w:rFonts w:ascii="Times New Roman" w:hAnsi="Times New Roman"/>
          <w:color w:val="000000"/>
          <w:sz w:val="23"/>
        </w:rPr>
      </w:pPr>
      <w:r>
        <w:rPr>
          <w:rFonts w:ascii="Times New Roman" w:hAnsi="Times New Roman"/>
          <w:color w:val="000000"/>
          <w:sz w:val="23"/>
        </w:rPr>
        <w:t>2.</w:t>
      </w:r>
    </w:p>
    <w:p>
      <w:pPr>
        <w:pStyle w:val="TextBody"/>
        <w:bidi w:val="0"/>
        <w:spacing w:before="2" w:after="283"/>
        <w:jc w:val="left"/>
        <w:rPr/>
      </w:pPr>
      <w:r>
        <w:rPr>
          <w:rFonts w:ascii="Times New Roman" w:hAnsi="Times New Roman"/>
          <w:color w:val="000000"/>
          <w:sz w:val="23"/>
        </w:rPr>
        <w:t xml:space="preserve">You will report to the </w:t>
      </w:r>
      <w:r>
        <w:rPr>
          <w:rFonts w:ascii="Times New Roman" w:hAnsi="Times New Roman"/>
          <w:b/>
          <w:color w:val="000000"/>
          <w:sz w:val="23"/>
        </w:rPr>
        <w:t xml:space="preserve">President &amp; Chief Executive Officer </w:t>
      </w:r>
      <w:r>
        <w:rPr>
          <w:rFonts w:ascii="Times New Roman" w:hAnsi="Times New Roman"/>
          <w:color w:val="000000"/>
          <w:sz w:val="23"/>
        </w:rPr>
        <w:t xml:space="preserve">with a dotted line reporting to the </w:t>
      </w:r>
      <w:r>
        <w:rPr>
          <w:rFonts w:ascii="Times New Roman" w:hAnsi="Times New Roman"/>
          <w:b/>
          <w:color w:val="000000"/>
          <w:sz w:val="23"/>
        </w:rPr>
        <w:t>Co-President &amp; Chief Commercial Officer</w:t>
      </w:r>
      <w:r>
        <w:rPr>
          <w:rFonts w:ascii="Times New Roman" w:hAnsi="Times New Roman"/>
          <w:color w:val="000000"/>
          <w:sz w:val="23"/>
        </w:rPr>
        <w:t>;</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3.</w:t>
      </w:r>
    </w:p>
    <w:p>
      <w:pPr>
        <w:pStyle w:val="TextBody"/>
        <w:bidi w:val="0"/>
        <w:spacing w:before="0" w:after="0"/>
        <w:jc w:val="left"/>
        <w:rPr/>
      </w:pPr>
      <w:r>
        <w:rPr>
          <w:rFonts w:ascii="Times New Roman" w:hAnsi="Times New Roman"/>
          <w:color w:val="000000"/>
          <w:sz w:val="23"/>
        </w:rPr>
        <w:t xml:space="preserve">Your salary will be increased to </w:t>
      </w:r>
      <w:r>
        <w:rPr>
          <w:rFonts w:ascii="Times New Roman" w:hAnsi="Times New Roman"/>
          <w:b/>
          <w:color w:val="000000"/>
          <w:sz w:val="23"/>
        </w:rPr>
        <w:t xml:space="preserve">$400,000.00 </w:t>
      </w:r>
      <w:r>
        <w:rPr>
          <w:rFonts w:ascii="Times New Roman" w:hAnsi="Times New Roman"/>
          <w:color w:val="000000"/>
          <w:sz w:val="23"/>
        </w:rPr>
        <w:t>per year;</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4.</w:t>
      </w:r>
    </w:p>
    <w:p>
      <w:pPr>
        <w:pStyle w:val="TextBody"/>
        <w:bidi w:val="0"/>
        <w:spacing w:before="0" w:after="0"/>
        <w:jc w:val="left"/>
        <w:rPr/>
      </w:pPr>
      <w:r>
        <w:rPr>
          <w:rFonts w:ascii="Times New Roman" w:hAnsi="Times New Roman"/>
          <w:color w:val="000000"/>
          <w:sz w:val="23"/>
        </w:rPr>
        <w:t xml:space="preserve">Pending the Board of Directors’ approval, your annual discretionary bonus will be up to </w:t>
      </w:r>
      <w:r>
        <w:rPr>
          <w:rFonts w:ascii="Times New Roman" w:hAnsi="Times New Roman"/>
          <w:b/>
          <w:color w:val="000000"/>
          <w:sz w:val="23"/>
        </w:rPr>
        <w:t xml:space="preserve">50% </w:t>
      </w:r>
      <w:r>
        <w:rPr>
          <w:rFonts w:ascii="Times New Roman" w:hAnsi="Times New Roman"/>
          <w:color w:val="000000"/>
          <w:sz w:val="23"/>
        </w:rPr>
        <w:t>of your actual earned wages but excluding relocation and bonuses of any type including bonuses under this plan or other plan. Any bonus paid will be at the discretion of Management in accordance with the most current RxSight, Inc. Employee Incentive Plan. The bonus will be contingent on the Company’s overall performance and your personal performance, including individual goals. The Board of Directors reserves the right to terminate, amend, or withdraw the Incentive Plan, at its absolute discretion.</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5.</w:t>
      </w:r>
    </w:p>
    <w:p>
      <w:pPr>
        <w:pStyle w:val="TextBody"/>
        <w:bidi w:val="0"/>
        <w:jc w:val="left"/>
        <w:rPr/>
      </w:pPr>
      <w:r>
        <w:rPr>
          <w:rFonts w:ascii="Times New Roman" w:hAnsi="Times New Roman"/>
          <w:color w:val="000000"/>
          <w:sz w:val="22"/>
        </w:rPr>
        <w:t>You will be granted common stock options to purchase twenty-five thousand (</w:t>
      </w:r>
      <w:r>
        <w:rPr>
          <w:rFonts w:ascii="Times New Roman" w:hAnsi="Times New Roman"/>
          <w:b/>
          <w:color w:val="000000"/>
          <w:sz w:val="22"/>
        </w:rPr>
        <w:t>25,000</w:t>
      </w:r>
      <w:r>
        <w:rPr>
          <w:rFonts w:ascii="Times New Roman" w:hAnsi="Times New Roman"/>
          <w:color w:val="000000"/>
          <w:sz w:val="22"/>
        </w:rPr>
        <w:t>) shares of the Company’s Common Stock. Your options will be granted and priced at the closing price on the date of the next board meeting. Your options will have an exercise price equal to the closing price of the Company’s Common Stock as reported on the NASDAQ Global Market (NASDAQ: RXST) on the Grant Date. Your options to purchase shares of the Company will be subject to vesting on the following terms: monthly over four years.</w:t>
      </w:r>
    </w:p>
    <w:p>
      <w:pPr>
        <w:pStyle w:val="TextBody"/>
        <w:bidi w:val="0"/>
        <w:jc w:val="left"/>
        <w:rPr/>
      </w:pPr>
      <w:r>
        <w:rPr/>
        <w:t> </w:t>
      </w:r>
    </w:p>
    <w:p>
      <w:pPr>
        <w:pStyle w:val="TextBody"/>
        <w:bidi w:val="0"/>
        <w:spacing w:before="44"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All the other terms of your most recent employment offer remain unchanged.</w:t>
      </w:r>
    </w:p>
    <w:p>
      <w:pPr>
        <w:pStyle w:val="TextBody"/>
        <w:bidi w:val="0"/>
        <w:spacing w:before="263" w:after="283"/>
        <w:jc w:val="left"/>
        <w:rPr>
          <w:rFonts w:ascii="Times New Roman" w:hAnsi="Times New Roman"/>
          <w:color w:val="000000"/>
          <w:sz w:val="23"/>
        </w:rPr>
      </w:pPr>
      <w:r>
        <w:rPr>
          <w:rFonts w:ascii="Times New Roman" w:hAnsi="Times New Roman"/>
          <w:color w:val="000000"/>
          <w:sz w:val="23"/>
        </w:rPr>
        <w:t>To indicate acceptance of the terms described above, please sign and date this letter in the space below.</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Sincerely,</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/s/ Ron Kurtz</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Ron Kurtz</w:t>
      </w:r>
    </w:p>
    <w:p>
      <w:pPr>
        <w:pStyle w:val="TextBody"/>
        <w:bidi w:val="0"/>
        <w:jc w:val="left"/>
        <w:rPr>
          <w:rFonts w:ascii="Times New Roman" w:hAnsi="Times New Roman"/>
          <w:color w:val="000000"/>
          <w:sz w:val="23"/>
        </w:rPr>
      </w:pPr>
      <w:r>
        <w:rPr>
          <w:rFonts w:ascii="Times New Roman" w:hAnsi="Times New Roman"/>
          <w:color w:val="000000"/>
          <w:sz w:val="23"/>
        </w:rPr>
        <w:t>CEO &amp; President</w:t>
      </w:r>
    </w:p>
    <w:p>
      <w:pPr>
        <w:pStyle w:val="TextBody"/>
        <w:bidi w:val="0"/>
        <w:spacing w:before="73" w:after="283"/>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 xml:space="preserve">Understood and Accepted: </w:t>
      </w:r>
      <w:r>
        <w:rPr>
          <w:rFonts w:ascii="Times New Roman" w:hAnsi="Times New Roman"/>
          <w:color w:val="000000"/>
          <w:sz w:val="23"/>
          <w:u w:val="single"/>
        </w:rPr>
        <w:t xml:space="preserve">/s/ </w:t>
      </w:r>
      <w:r>
        <w:rPr>
          <w:rFonts w:ascii="Times New Roman" w:hAnsi="Times New Roman"/>
          <w:color w:val="000000"/>
          <w:sz w:val="22"/>
          <w:u w:val="single"/>
        </w:rPr>
        <w:t xml:space="preserve">Scott Gaines </w:t>
      </w:r>
      <w:r>
        <w:rPr>
          <w:rFonts w:ascii="Times New Roman" w:hAnsi="Times New Roman"/>
          <w:color w:val="000000"/>
          <w:sz w:val="23"/>
          <w:u w:val="single"/>
        </w:rPr>
        <w:t>Date 7/21/2025</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4"/>
          <w:u w:val="single"/>
        </w:rPr>
      </w:pPr>
      <w:r>
        <w:rPr>
          <w:rFonts w:ascii="Times New Roman" w:hAnsi="Times New Roman"/>
          <w:b/>
          <w:color w:val="000000"/>
          <w:sz w:val="24"/>
          <w:u w:val="single"/>
        </w:rPr>
        <w:t>Amendment to Offer of Employment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Dear Scott,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We are pleased to note the following changes to your employment at RxSight, Inc. effective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August 1, 2025:</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 Your salary will be increased to $440,000.00/year.</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All the other terms of your most recent employment offer remain unchanged.</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To indicate acceptance of the terms described above, please sign and date this letter in the space below.</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/s/ Ron Kurtz</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Ron Kurtz</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CEO &amp; President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Understood and Accepted: </w:t>
      </w:r>
    </w:p>
    <w:p>
      <w:pPr>
        <w:pStyle w:val="TextBody"/>
        <w:bidi w:val="0"/>
        <w:spacing w:before="120" w:after="283"/>
        <w:jc w:val="left"/>
        <w:rPr>
          <w:rFonts w:ascii="Times New Roman" w:hAnsi="Times New Roman"/>
          <w:sz w:val="20"/>
        </w:rPr>
      </w:pPr>
      <w:r>
        <w:rPr>
          <w:rFonts w:ascii="Times New Roman" w:hAnsi="Times New Roman"/>
          <w:color w:val="000000"/>
          <w:sz w:val="24"/>
          <w:u w:val="single"/>
        </w:rPr>
        <w:t>/s/ Scott Gaines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Scott Gaines Date 8/6/2025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34" w:after="283"/>
        <w:jc w:val="right"/>
        <w:rPr>
          <w:rFonts w:ascii="Times New Roman" w:hAnsi="Times New Roman"/>
          <w:b/>
          <w:color w:val="000000"/>
          <w:sz w:val="23"/>
        </w:rPr>
      </w:pPr>
      <w:bookmarkStart w:id="35" w:name="rxst-ex10_25.htm"/>
      <w:bookmarkStart w:id="36" w:name="ksrxstex10_25"/>
      <w:bookmarkEnd w:id="35"/>
      <w:bookmarkEnd w:id="36"/>
      <w:r>
        <w:rPr>
          <w:rFonts w:ascii="Times New Roman" w:hAnsi="Times New Roman"/>
          <w:b/>
          <w:color w:val="000000"/>
          <w:sz w:val="23"/>
        </w:rPr>
        <w:t>EXHIBIT 10.25</w:t>
      </w:r>
      <w:r>
        <w:br w:type="page"/>
      </w:r>
    </w:p>
    <w:p>
      <w:pPr>
        <w:pStyle w:val="TextBody"/>
        <w:bidi w:val="0"/>
        <w:spacing w:before="29"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December 10</w:t>
      </w:r>
      <w:r>
        <w:rPr>
          <w:rFonts w:ascii="Times New Roman" w:hAnsi="Times New Roman"/>
          <w:color w:val="000000"/>
          <w:sz w:val="11"/>
        </w:rPr>
        <w:t>th</w:t>
      </w:r>
      <w:r>
        <w:rPr>
          <w:rFonts w:ascii="Times New Roman" w:hAnsi="Times New Roman"/>
          <w:color w:val="000000"/>
          <w:sz w:val="16"/>
        </w:rPr>
        <w:t xml:space="preserve">, </w:t>
      </w:r>
      <w:r>
        <w:rPr>
          <w:rFonts w:ascii="Times New Roman" w:hAnsi="Times New Roman"/>
          <w:color w:val="000000"/>
          <w:sz w:val="24"/>
        </w:rPr>
        <w:t>2025</w:t>
      </w:r>
    </w:p>
    <w:p>
      <w:pPr>
        <w:pStyle w:val="TextBody"/>
        <w:bidi w:val="0"/>
        <w:spacing w:before="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Mark Wilterding</w:t>
      </w:r>
    </w:p>
    <w:p>
      <w:pPr>
        <w:pStyle w:val="TextBody"/>
        <w:bidi w:val="0"/>
        <w:spacing w:before="4" w:after="283"/>
        <w:jc w:val="left"/>
        <w:rPr>
          <w:rFonts w:ascii="Times New Roman" w:hAnsi="Times New Roman"/>
          <w:color w:val="000000"/>
          <w:sz w:val="24"/>
        </w:rPr>
      </w:pPr>
      <w:r>
        <w:rPr>
          <w:rFonts w:ascii="Times New Roman" w:hAnsi="Times New Roman"/>
          <w:color w:val="000000"/>
          <w:sz w:val="24"/>
        </w:rPr>
        <w:t>Laguna Niguel, CA. 92677</w:t>
      </w:r>
    </w:p>
    <w:p>
      <w:pPr>
        <w:pStyle w:val="TextBody"/>
        <w:bidi w:val="0"/>
        <w:jc w:val="left"/>
        <w:rPr/>
      </w:pPr>
      <w:r>
        <w:rPr/>
        <w:t> </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 Confirmatory Employment Letter</w:t>
      </w:r>
    </w:p>
    <w:p>
      <w:pPr>
        <w:pStyle w:val="TextBody"/>
        <w:bidi w:val="0"/>
        <w:spacing w:before="4"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Mark,</w:t>
      </w:r>
    </w:p>
    <w:p>
      <w:pPr>
        <w:pStyle w:val="TextBody"/>
        <w:bidi w:val="0"/>
        <w:spacing w:before="4"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This letter agreement (the </w:t>
      </w:r>
      <w:r>
        <w:rPr>
          <w:rFonts w:ascii="Times New Roman" w:hAnsi="Times New Roman"/>
          <w:color w:val="000000"/>
          <w:sz w:val="20"/>
        </w:rPr>
        <w:t>“</w:t>
      </w:r>
      <w:r>
        <w:rPr>
          <w:rFonts w:ascii="Times New Roman" w:hAnsi="Times New Roman"/>
          <w:b/>
          <w:color w:val="000000"/>
          <w:sz w:val="24"/>
        </w:rPr>
        <w:t xml:space="preserve">Agreement”) </w:t>
      </w:r>
      <w:r>
        <w:rPr>
          <w:rFonts w:ascii="Times New Roman" w:hAnsi="Times New Roman"/>
          <w:color w:val="000000"/>
          <w:sz w:val="24"/>
        </w:rPr>
        <w:t xml:space="preserve">is entered between Mark Wilterding </w:t>
      </w:r>
      <w:r>
        <w:rPr>
          <w:rFonts w:ascii="Times New Roman" w:hAnsi="Times New Roman"/>
          <w:b/>
          <w:color w:val="000000"/>
          <w:sz w:val="24"/>
        </w:rPr>
        <w:t xml:space="preserve">(“you”) </w:t>
      </w:r>
      <w:r>
        <w:rPr>
          <w:rFonts w:ascii="Times New Roman" w:hAnsi="Times New Roman"/>
          <w:color w:val="000000"/>
          <w:sz w:val="24"/>
        </w:rPr>
        <w:t xml:space="preserve">and Rx Sight, Inc. (the </w:t>
      </w:r>
      <w:r>
        <w:rPr>
          <w:rFonts w:ascii="Times New Roman" w:hAnsi="Times New Roman"/>
          <w:color w:val="000000"/>
          <w:sz w:val="20"/>
        </w:rPr>
        <w:t>“</w:t>
      </w:r>
      <w:r>
        <w:rPr>
          <w:rFonts w:ascii="Times New Roman" w:hAnsi="Times New Roman"/>
          <w:b/>
          <w:color w:val="000000"/>
          <w:sz w:val="24"/>
        </w:rPr>
        <w:t xml:space="preserve">Company”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color w:val="000000"/>
          <w:sz w:val="24"/>
        </w:rPr>
        <w:t>we”</w:t>
      </w:r>
      <w:r>
        <w:rPr>
          <w:rFonts w:ascii="Times New Roman" w:hAnsi="Times New Roman"/>
          <w:color w:val="000000"/>
          <w:sz w:val="24"/>
        </w:rPr>
        <w:t xml:space="preserve">). This Agreement is effective upon execution and your employment with the Company will commence on </w:t>
      </w:r>
      <w:r>
        <w:rPr>
          <w:rFonts w:ascii="Times New Roman" w:hAnsi="Times New Roman"/>
          <w:b/>
          <w:color w:val="000000"/>
          <w:sz w:val="24"/>
        </w:rPr>
        <w:t>January 13</w:t>
      </w:r>
      <w:r>
        <w:rPr>
          <w:rFonts w:ascii="Times New Roman" w:hAnsi="Times New Roman"/>
          <w:b/>
          <w:color w:val="000000"/>
          <w:sz w:val="16"/>
        </w:rPr>
        <w:t>th</w:t>
      </w:r>
      <w:r>
        <w:rPr>
          <w:rFonts w:ascii="Times New Roman" w:hAnsi="Times New Roman"/>
          <w:color w:val="000000"/>
          <w:sz w:val="24"/>
        </w:rPr>
        <w:t xml:space="preserve">, </w:t>
      </w:r>
      <w:r>
        <w:rPr>
          <w:rFonts w:ascii="Times New Roman" w:hAnsi="Times New Roman"/>
          <w:b/>
          <w:color w:val="000000"/>
          <w:sz w:val="24"/>
        </w:rPr>
        <w:t xml:space="preserve">2026 </w:t>
      </w:r>
      <w:r>
        <w:rPr>
          <w:rFonts w:ascii="Times New Roman" w:hAnsi="Times New Roman"/>
          <w:color w:val="000000"/>
          <w:sz w:val="24"/>
        </w:rPr>
        <w:t xml:space="preserve">(the </w:t>
      </w:r>
      <w:r>
        <w:rPr>
          <w:rFonts w:ascii="Times New Roman" w:hAnsi="Times New Roman"/>
          <w:color w:val="000000"/>
          <w:sz w:val="20"/>
        </w:rPr>
        <w:t>“</w:t>
      </w:r>
      <w:r>
        <w:rPr>
          <w:rFonts w:ascii="Times New Roman" w:hAnsi="Times New Roman"/>
          <w:b/>
          <w:color w:val="000000"/>
          <w:sz w:val="24"/>
        </w:rPr>
        <w:t xml:space="preserve">Start Date”). </w:t>
      </w:r>
      <w:r>
        <w:rPr>
          <w:rFonts w:ascii="Times New Roman" w:hAnsi="Times New Roman"/>
          <w:color w:val="000000"/>
          <w:sz w:val="24"/>
        </w:rPr>
        <w:t>The purpose of this Agreement is to confirm the terms and conditions of your employment.</w:t>
      </w:r>
    </w:p>
    <w:p>
      <w:pPr>
        <w:pStyle w:val="TextBody"/>
        <w:bidi w:val="0"/>
        <w:spacing w:before="158" w:after="283"/>
        <w:jc w:val="both"/>
        <w:rPr>
          <w:rFonts w:ascii="Times New Roman" w:hAnsi="Times New Roman"/>
          <w:color w:val="000000"/>
          <w:sz w:val="23"/>
        </w:rPr>
      </w:pPr>
      <w:r>
        <w:rPr>
          <w:rFonts w:ascii="Times New Roman" w:hAnsi="Times New Roman"/>
          <w:color w:val="000000"/>
          <w:sz w:val="23"/>
        </w:rPr>
        <w:t>1.</w:t>
      </w:r>
    </w:p>
    <w:p>
      <w:pPr>
        <w:pStyle w:val="TextBody"/>
        <w:bidi w:val="0"/>
        <w:spacing w:before="158" w:after="283"/>
        <w:jc w:val="both"/>
        <w:rPr/>
      </w:pPr>
      <w:r>
        <w:rPr>
          <w:rFonts w:ascii="Times New Roman" w:hAnsi="Times New Roman"/>
          <w:b/>
          <w:color w:val="000000"/>
          <w:sz w:val="24"/>
        </w:rPr>
        <w:t xml:space="preserve">Position. </w:t>
      </w:r>
      <w:r>
        <w:rPr>
          <w:rFonts w:ascii="Times New Roman" w:hAnsi="Times New Roman"/>
          <w:color w:val="000000"/>
          <w:sz w:val="24"/>
        </w:rPr>
        <w:t xml:space="preserve">Your position will be </w:t>
      </w:r>
      <w:r>
        <w:rPr>
          <w:rFonts w:ascii="Times New Roman" w:hAnsi="Times New Roman"/>
          <w:b/>
          <w:color w:val="000000"/>
          <w:sz w:val="24"/>
        </w:rPr>
        <w:t xml:space="preserve">Chief Financial Officer, </w:t>
      </w:r>
      <w:r>
        <w:rPr>
          <w:rFonts w:ascii="Times New Roman" w:hAnsi="Times New Roman"/>
          <w:color w:val="000000"/>
          <w:sz w:val="24"/>
        </w:rPr>
        <w:t>and you will report to Ron Kurtz, the Company's President &amp; Chief Executive Officer or to such other person as the Company subsequently may determine is serving as the Chief Executive Officer. This is a full-time position. You will perform the duties and have the responsibilities and authority customarily performed and held by an employee in your position or as otherwise may be assigned or delegated to you by the Company. While you render services to the Company, you will not engage in any other employment, consulting or other business activity (whether full-time or part-time) that would create a conflict of interest with the Company. By signing this Agreement, you reconfirm to the Company that you have no contractual commitments or other legal obligations that would prohibit you from performing your duties for the Company.</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2.</w:t>
      </w:r>
    </w:p>
    <w:p>
      <w:pPr>
        <w:pStyle w:val="TextBody"/>
        <w:bidi w:val="0"/>
        <w:jc w:val="both"/>
        <w:rPr/>
      </w:pPr>
      <w:r>
        <w:rPr>
          <w:rFonts w:ascii="Times New Roman" w:hAnsi="Times New Roman"/>
          <w:b/>
          <w:color w:val="000000"/>
          <w:sz w:val="24"/>
        </w:rPr>
        <w:t xml:space="preserve">Cash Compensation. </w:t>
      </w:r>
      <w:r>
        <w:rPr>
          <w:rFonts w:ascii="Times New Roman" w:hAnsi="Times New Roman"/>
          <w:color w:val="000000"/>
          <w:sz w:val="24"/>
        </w:rPr>
        <w:t>Your annual base salary is $550,000 which will be payable, less applicable withholdings and deductions, in accordance with the Company's normal payroll practices. Your annual base salary will be subject to review and adjustment based upon the Company's normal performance review practices.</w:t>
      </w:r>
    </w:p>
    <w:p>
      <w:pPr>
        <w:pStyle w:val="TextBody"/>
        <w:bidi w:val="0"/>
        <w:spacing w:before="170" w:after="283"/>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w:t>
      </w:r>
    </w:p>
    <w:p>
      <w:pPr>
        <w:pStyle w:val="TextBody"/>
        <w:bidi w:val="0"/>
        <w:jc w:val="both"/>
        <w:rPr/>
      </w:pPr>
      <w:r>
        <w:rPr>
          <w:rFonts w:ascii="Times New Roman" w:hAnsi="Times New Roman"/>
          <w:b/>
          <w:color w:val="000000"/>
          <w:sz w:val="24"/>
        </w:rPr>
        <w:t xml:space="preserve">Annual Incentive Bonus. </w:t>
      </w:r>
      <w:r>
        <w:rPr>
          <w:rFonts w:ascii="Times New Roman" w:hAnsi="Times New Roman"/>
          <w:color w:val="000000"/>
          <w:sz w:val="24"/>
        </w:rPr>
        <w:t>You are eligible to earn an annual cash bonus with a target value of 65% of your base salary (at target $357,500), based on the Company's achievement of corporate performance objectives established by the Company's Board of Directors (the</w:t>
      </w:r>
    </w:p>
    <w:p>
      <w:pPr>
        <w:pStyle w:val="TextBody"/>
        <w:bidi w:val="0"/>
        <w:jc w:val="both"/>
        <w:rPr/>
      </w:pPr>
      <w:r>
        <w:rPr>
          <w:color w:val="000000"/>
        </w:rPr>
        <w:t>“</w:t>
      </w:r>
      <w:r>
        <w:rPr>
          <w:rFonts w:ascii="Times New Roman" w:hAnsi="Times New Roman"/>
          <w:color w:val="000000"/>
          <w:sz w:val="24"/>
        </w:rPr>
        <w:t>Board</w:t>
      </w:r>
      <w:r>
        <w:rPr>
          <w:rFonts w:ascii="Times New Roman" w:hAnsi="Times New Roman"/>
          <w:color w:val="000000"/>
          <w:sz w:val="20"/>
        </w:rPr>
        <w:t>”</w:t>
      </w:r>
      <w:r>
        <w:rPr>
          <w:rFonts w:ascii="Times New Roman" w:hAnsi="Times New Roman"/>
          <w:color w:val="000000"/>
          <w:sz w:val="24"/>
        </w:rPr>
        <w:t xml:space="preserve">) or an authorized committee thereof (the </w:t>
      </w:r>
      <w:r>
        <w:rPr>
          <w:rFonts w:ascii="Times New Roman" w:hAnsi="Times New Roman"/>
          <w:color w:val="000000"/>
          <w:sz w:val="20"/>
        </w:rPr>
        <w:t>“</w:t>
      </w:r>
      <w:r>
        <w:rPr>
          <w:rFonts w:ascii="Times New Roman" w:hAnsi="Times New Roman"/>
          <w:color w:val="000000"/>
          <w:sz w:val="24"/>
        </w:rPr>
        <w:t>Committee</w:t>
      </w:r>
      <w:r>
        <w:rPr>
          <w:rFonts w:ascii="Times New Roman" w:hAnsi="Times New Roman"/>
          <w:color w:val="000000"/>
          <w:sz w:val="20"/>
        </w:rPr>
        <w:t>”</w:t>
      </w:r>
      <w:r>
        <w:rPr>
          <w:rFonts w:ascii="Times New Roman" w:hAnsi="Times New Roman"/>
          <w:color w:val="000000"/>
          <w:sz w:val="24"/>
        </w:rPr>
        <w:t>) and payable upon achievement of the corporate objectives as determined by the Committee. If any portion of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76" w:after="283"/>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RxSight. lnc. 100 Columbia. Suite 120, Aliso Viejo. CA. 92656 </w:t>
      </w: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6" w:after="283"/>
        <w:jc w:val="both"/>
        <w:rPr>
          <w:rFonts w:ascii="Times New Roman" w:hAnsi="Times New Roman"/>
          <w:color w:val="000000"/>
          <w:sz w:val="23"/>
        </w:rPr>
      </w:pPr>
      <w:r>
        <w:rPr>
          <w:rFonts w:ascii="Times New Roman" w:hAnsi="Times New Roman"/>
          <w:color w:val="000000"/>
          <w:sz w:val="23"/>
        </w:rPr>
        <w:t>4.</w:t>
      </w:r>
    </w:p>
    <w:p>
      <w:pPr>
        <w:pStyle w:val="TextBody"/>
        <w:bidi w:val="0"/>
        <w:spacing w:before="66" w:after="283"/>
        <w:jc w:val="both"/>
        <w:rPr/>
      </w:pPr>
      <w:r>
        <w:rPr>
          <w:rFonts w:ascii="Times New Roman" w:hAnsi="Times New Roman"/>
          <w:b/>
          <w:color w:val="000000"/>
          <w:sz w:val="23"/>
        </w:rPr>
        <w:t xml:space="preserve">Sign-On Bonus: </w:t>
      </w:r>
      <w:r>
        <w:rPr>
          <w:rFonts w:ascii="Times New Roman" w:hAnsi="Times New Roman"/>
          <w:color w:val="000000"/>
          <w:sz w:val="23"/>
        </w:rPr>
        <w:t xml:space="preserve">You will also receive a sign-on bonus (the </w:t>
      </w:r>
      <w:r>
        <w:rPr>
          <w:color w:val="000000"/>
        </w:rPr>
        <w:t>“</w:t>
      </w:r>
      <w:r>
        <w:rPr>
          <w:rFonts w:ascii="Times New Roman" w:hAnsi="Times New Roman"/>
          <w:b/>
          <w:color w:val="000000"/>
          <w:sz w:val="23"/>
        </w:rPr>
        <w:t xml:space="preserve">Sign On Bonus”) </w:t>
      </w:r>
      <w:r>
        <w:rPr>
          <w:rFonts w:ascii="Times New Roman" w:hAnsi="Times New Roman"/>
          <w:color w:val="000000"/>
          <w:sz w:val="23"/>
        </w:rPr>
        <w:t xml:space="preserve">in the amount equal to </w:t>
      </w:r>
      <w:r>
        <w:rPr>
          <w:rFonts w:ascii="Times New Roman" w:hAnsi="Times New Roman"/>
          <w:color w:val="000000"/>
          <w:sz w:val="21"/>
        </w:rPr>
        <w:t xml:space="preserve">(i) </w:t>
      </w:r>
      <w:r>
        <w:rPr>
          <w:rFonts w:ascii="Times New Roman" w:hAnsi="Times New Roman"/>
          <w:color w:val="000000"/>
          <w:sz w:val="23"/>
        </w:rPr>
        <w:t xml:space="preserve">$425,000 </w:t>
      </w:r>
      <w:r>
        <w:rPr>
          <w:rFonts w:ascii="Times New Roman" w:hAnsi="Times New Roman"/>
          <w:i/>
          <w:color w:val="000000"/>
          <w:sz w:val="23"/>
        </w:rPr>
        <w:t xml:space="preserve">less </w:t>
      </w:r>
      <w:r>
        <w:rPr>
          <w:rFonts w:ascii="Times New Roman" w:hAnsi="Times New Roman"/>
          <w:color w:val="000000"/>
          <w:sz w:val="23"/>
        </w:rPr>
        <w:t xml:space="preserve">(ii) the gross amount of the 2025 annual bonus or equivalent payment, </w:t>
      </w:r>
      <w:r>
        <w:rPr>
          <w:rFonts w:ascii="Times New Roman" w:hAnsi="Times New Roman"/>
          <w:color w:val="000000"/>
          <w:sz w:val="24"/>
        </w:rPr>
        <w:t xml:space="preserve">if </w:t>
      </w:r>
      <w:r>
        <w:rPr>
          <w:rFonts w:ascii="Times New Roman" w:hAnsi="Times New Roman"/>
          <w:color w:val="000000"/>
          <w:sz w:val="23"/>
        </w:rPr>
        <w:t xml:space="preserve">any, that you receive from Edwards LifeSciences (the </w:t>
      </w:r>
      <w:r>
        <w:rPr>
          <w:color w:val="000000"/>
        </w:rPr>
        <w:t>“</w:t>
      </w:r>
      <w:r>
        <w:rPr>
          <w:rFonts w:ascii="Times New Roman" w:hAnsi="Times New Roman"/>
          <w:b/>
          <w:color w:val="000000"/>
          <w:sz w:val="23"/>
        </w:rPr>
        <w:t xml:space="preserve">Prior Company Bonus”), </w:t>
      </w:r>
      <w:r>
        <w:rPr>
          <w:rFonts w:ascii="Times New Roman" w:hAnsi="Times New Roman"/>
          <w:color w:val="000000"/>
          <w:sz w:val="23"/>
        </w:rPr>
        <w:t>subject to your provision of reasonably satisfactory evidence to the Company of the amount of such Prior Company Bonus. The Sign-On Bonus will be paid, less applicable payroll deductions and other required withholding. on the second available payroll following your Start Date.</w:t>
      </w:r>
    </w:p>
    <w:p>
      <w:pPr>
        <w:pStyle w:val="TextBody"/>
        <w:bidi w:val="0"/>
        <w:spacing w:before="62" w:after="283"/>
        <w:jc w:val="left"/>
        <w:rPr/>
      </w:pPr>
      <w:r>
        <w:rPr/>
        <w:t> </w:t>
      </w:r>
    </w:p>
    <w:p>
      <w:pPr>
        <w:pStyle w:val="TextBody"/>
        <w:bidi w:val="0"/>
        <w:spacing w:before="1" w:after="283"/>
        <w:jc w:val="both"/>
        <w:rPr>
          <w:rFonts w:ascii="Times New Roman" w:hAnsi="Times New Roman"/>
          <w:color w:val="000000"/>
          <w:sz w:val="23"/>
        </w:rPr>
      </w:pPr>
      <w:r>
        <w:rPr>
          <w:rFonts w:ascii="Times New Roman" w:hAnsi="Times New Roman"/>
          <w:color w:val="000000"/>
          <w:sz w:val="23"/>
        </w:rPr>
        <w:t>5.</w:t>
      </w:r>
    </w:p>
    <w:p>
      <w:pPr>
        <w:pStyle w:val="TextBody"/>
        <w:bidi w:val="0"/>
        <w:spacing w:before="1" w:after="283"/>
        <w:jc w:val="both"/>
        <w:rPr/>
      </w:pPr>
      <w:r>
        <w:rPr>
          <w:rFonts w:ascii="Times New Roman" w:hAnsi="Times New Roman"/>
          <w:b/>
          <w:color w:val="000000"/>
          <w:sz w:val="23"/>
        </w:rPr>
        <w:t xml:space="preserve">New Hire Equity Awards: </w:t>
      </w:r>
      <w:r>
        <w:rPr>
          <w:rFonts w:ascii="Times New Roman" w:hAnsi="Times New Roman"/>
          <w:color w:val="000000"/>
          <w:sz w:val="23"/>
        </w:rPr>
        <w:t>As equity compensation, you will be granted new hire equity awards with an aggregate value on the grant date of $3,300,000, which will consist of an option to purchase shares of the Company's Common Stock with a value of $1,650,000 (the</w:t>
      </w:r>
    </w:p>
    <w:p>
      <w:pPr>
        <w:pStyle w:val="TextBody"/>
        <w:bidi w:val="0"/>
        <w:spacing w:before="5" w:after="283"/>
        <w:jc w:val="both"/>
        <w:rPr/>
      </w:pPr>
      <w:r>
        <w:rPr>
          <w:color w:val="000000"/>
        </w:rPr>
        <w:t>“</w:t>
      </w:r>
      <w:r>
        <w:rPr>
          <w:rFonts w:ascii="Times New Roman" w:hAnsi="Times New Roman"/>
          <w:b/>
          <w:color w:val="000000"/>
          <w:sz w:val="23"/>
        </w:rPr>
        <w:t xml:space="preserve">Option”) </w:t>
      </w:r>
      <w:r>
        <w:rPr>
          <w:rFonts w:ascii="Times New Roman" w:hAnsi="Times New Roman"/>
          <w:color w:val="000000"/>
          <w:sz w:val="23"/>
        </w:rPr>
        <w:t xml:space="preserve">and an award of restricted stock units (the </w:t>
      </w:r>
      <w:r>
        <w:rPr>
          <w:rFonts w:ascii="Times New Roman" w:hAnsi="Times New Roman"/>
          <w:color w:val="000000"/>
          <w:sz w:val="20"/>
        </w:rPr>
        <w:t>“</w:t>
      </w:r>
      <w:r>
        <w:rPr>
          <w:rFonts w:ascii="Times New Roman" w:hAnsi="Times New Roman"/>
          <w:b/>
          <w:color w:val="000000"/>
          <w:sz w:val="23"/>
        </w:rPr>
        <w:t xml:space="preserve">RSU Award," </w:t>
      </w:r>
      <w:r>
        <w:rPr>
          <w:rFonts w:ascii="Times New Roman" w:hAnsi="Times New Roman"/>
          <w:color w:val="000000"/>
          <w:sz w:val="23"/>
        </w:rPr>
        <w:t xml:space="preserve">and collectively with the Option, each a </w:t>
      </w:r>
      <w:r>
        <w:rPr>
          <w:rFonts w:ascii="Times New Roman" w:hAnsi="Times New Roman"/>
          <w:color w:val="000000"/>
          <w:sz w:val="20"/>
        </w:rPr>
        <w:t>“</w:t>
      </w:r>
      <w:r>
        <w:rPr>
          <w:rFonts w:ascii="Times New Roman" w:hAnsi="Times New Roman"/>
          <w:b/>
          <w:color w:val="000000"/>
          <w:sz w:val="23"/>
        </w:rPr>
        <w:t>New Hire Award”</w:t>
      </w:r>
      <w:r>
        <w:rPr>
          <w:rFonts w:ascii="Times New Roman" w:hAnsi="Times New Roman"/>
          <w:color w:val="000000"/>
          <w:sz w:val="23"/>
        </w:rPr>
        <w:t>) with a value of $1,650,000. The exact number of shares of the Company's Common Stock covered by each New Hire Award will be determined based on the date of grant. Each New Hire Award will be subject to the terms and conditions of a Company equity plan and an award agreement thereunder between you and the Company. The grant date of each New Hire Award will be the first Friday following your Start Date, or the preceding day if the first Friday following your Start Date is a stock trading holiday. Each New Hire Award will provide for the following:</w:t>
      </w:r>
    </w:p>
    <w:p>
      <w:pPr>
        <w:pStyle w:val="TextBody"/>
        <w:bidi w:val="0"/>
        <w:jc w:val="left"/>
        <w:rPr/>
      </w:pPr>
      <w:r>
        <w:rPr/>
        <w:t> </w:t>
      </w:r>
    </w:p>
    <w:p>
      <w:pPr>
        <w:pStyle w:val="TextBody"/>
        <w:bidi w:val="0"/>
        <w:spacing w:before="0" w:after="0"/>
        <w:jc w:val="both"/>
        <w:rPr>
          <w:rFonts w:ascii="Times New Roman" w:hAnsi="Times New Roman"/>
          <w:b/>
          <w:color w:val="000000"/>
          <w:sz w:val="23"/>
        </w:rPr>
      </w:pPr>
      <w:r>
        <w:rPr>
          <w:rFonts w:ascii="Times New Roman" w:hAnsi="Times New Roman"/>
          <w:b/>
          <w:color w:val="000000"/>
          <w:sz w:val="23"/>
        </w:rPr>
        <w:t>a)</w:t>
      </w:r>
    </w:p>
    <w:p>
      <w:pPr>
        <w:pStyle w:val="TextBody"/>
        <w:bidi w:val="0"/>
        <w:jc w:val="both"/>
        <w:rPr/>
      </w:pPr>
      <w:r>
        <w:rPr>
          <w:rFonts w:ascii="Times New Roman" w:hAnsi="Times New Roman"/>
          <w:b/>
          <w:color w:val="000000"/>
          <w:sz w:val="23"/>
        </w:rPr>
        <w:t xml:space="preserve">Option: </w:t>
      </w:r>
      <w:r>
        <w:rPr>
          <w:rFonts w:ascii="Times New Roman" w:hAnsi="Times New Roman"/>
          <w:color w:val="000000"/>
          <w:sz w:val="23"/>
        </w:rPr>
        <w:t>The Option will have a ten year exercise term and an exercise price equal to the closing price of the Company's Conm10n Stock as reporting on the NASDAQ Global Market (NASDAQ: RXST) on the grant date. The Option will be subject to vesting on the following terms: 25% of the shares subject to the Option will vest on the one-year anniversary of the grant date, with the balance vesting equally monthly over the following three years, such that all of the shares subject to the Option will be fully vested four years from the grant date, subject to your continued employment with the Company through each applicable vesting date and the terms of the applicable Option agreement.</w:t>
      </w:r>
    </w:p>
    <w:p>
      <w:pPr>
        <w:pStyle w:val="TextBody"/>
        <w:bidi w:val="0"/>
        <w:spacing w:before="56" w:after="283"/>
        <w:jc w:val="left"/>
        <w:rPr/>
      </w:pPr>
      <w:r>
        <w:rPr/>
        <w:t> </w:t>
      </w:r>
    </w:p>
    <w:p>
      <w:pPr>
        <w:pStyle w:val="TextBody"/>
        <w:bidi w:val="0"/>
        <w:spacing w:before="1" w:after="283"/>
        <w:jc w:val="both"/>
        <w:rPr>
          <w:rFonts w:ascii="Times New Roman" w:hAnsi="Times New Roman"/>
          <w:b/>
          <w:color w:val="000000"/>
          <w:sz w:val="23"/>
        </w:rPr>
      </w:pPr>
      <w:r>
        <w:rPr>
          <w:rFonts w:ascii="Times New Roman" w:hAnsi="Times New Roman"/>
          <w:b/>
          <w:color w:val="000000"/>
          <w:sz w:val="23"/>
        </w:rPr>
        <w:t>b)</w:t>
      </w:r>
    </w:p>
    <w:p>
      <w:pPr>
        <w:pStyle w:val="TextBody"/>
        <w:bidi w:val="0"/>
        <w:spacing w:before="1" w:after="283"/>
        <w:jc w:val="both"/>
        <w:rPr/>
      </w:pPr>
      <w:r>
        <w:rPr>
          <w:rFonts w:ascii="Times New Roman" w:hAnsi="Times New Roman"/>
          <w:b/>
          <w:color w:val="000000"/>
          <w:sz w:val="23"/>
        </w:rPr>
        <w:t xml:space="preserve">RSU Award: </w:t>
      </w:r>
      <w:r>
        <w:rPr>
          <w:rFonts w:ascii="Times New Roman" w:hAnsi="Times New Roman"/>
          <w:color w:val="000000"/>
          <w:sz w:val="23"/>
        </w:rPr>
        <w:t>One eighth (1/8th) of the shares subject to the RSU Award will vest on February 28, 2026, and one eighth (1/8th) of the shares subject to the RSU Award will vest every six months thereafter on the last day of February and the last day of August over a four-year period, subject to your continued employment with the Company through each applicable vesting date and the terms of the applicable RSU Award agreement.</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w:t>
      </w:r>
    </w:p>
    <w:p>
      <w:pPr>
        <w:pStyle w:val="TextBody"/>
        <w:bidi w:val="0"/>
        <w:jc w:val="both"/>
        <w:rPr/>
      </w:pPr>
      <w:r>
        <w:rPr>
          <w:rFonts w:ascii="Times New Roman" w:hAnsi="Times New Roman"/>
          <w:b/>
          <w:color w:val="000000"/>
          <w:sz w:val="23"/>
        </w:rPr>
        <w:t xml:space="preserve">Annual Equity Grant: </w:t>
      </w:r>
      <w:r>
        <w:rPr>
          <w:rFonts w:ascii="Times New Roman" w:hAnsi="Times New Roman"/>
          <w:color w:val="000000"/>
          <w:sz w:val="23"/>
        </w:rPr>
        <w:t>You will be eligible to receive additional annual equity grants. The annual equity grant is discretionary and per Board approval. The guidelines of the annual equity grants will be aligned with the Company's other C-Suite Executives.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7.</w:t>
      </w:r>
    </w:p>
    <w:p>
      <w:pPr>
        <w:pStyle w:val="TextBody"/>
        <w:bidi w:val="0"/>
        <w:jc w:val="both"/>
        <w:rPr/>
      </w:pPr>
      <w:r>
        <w:rPr>
          <w:rFonts w:ascii="Times New Roman" w:hAnsi="Times New Roman"/>
          <w:b/>
          <w:color w:val="000000"/>
          <w:sz w:val="23"/>
        </w:rPr>
        <w:t xml:space="preserve">Employee Benefits. </w:t>
      </w:r>
      <w:r>
        <w:rPr>
          <w:rFonts w:ascii="Times New Roman" w:hAnsi="Times New Roman"/>
          <w:color w:val="000000"/>
          <w:sz w:val="23"/>
        </w:rPr>
        <w:t>As a regular full-time employee of the Company, you will be eligible to participate in Company-sponsored benefits in accordance with the ten11S of the Company's policies and benefits plan. Information regarding coverage, eligibility, and other information regarding these benefits is set forth in more detailed documents that are available from the</w:t>
      </w:r>
    </w:p>
    <w:p>
      <w:pPr>
        <w:pStyle w:val="TextBody"/>
        <w:bidi w:val="0"/>
        <w:spacing w:before="355" w:after="283"/>
        <w:jc w:val="left"/>
        <w:rPr>
          <w:rFonts w:ascii="Times New Roman" w:hAnsi="Times New Roman"/>
          <w:sz w:val="20"/>
        </w:rPr>
      </w:pPr>
      <w:r>
        <w:rPr>
          <w:rFonts w:ascii="Times New Roman" w:hAnsi="Times New Roman"/>
          <w:color w:val="000000"/>
          <w:sz w:val="17"/>
        </w:rPr>
        <w:t xml:space="preserve">RxSight. Inc. 100 Columbia. Suite 120. Aliso Viejo. CA. 92656 </w:t>
      </w:r>
      <w:r>
        <w:rPr>
          <w:rFonts w:ascii="Times New Roman" w:hAnsi="Times New Roman"/>
          <w:color w:val="000000"/>
          <w:sz w:val="22"/>
        </w:rPr>
        <w:t>2</w:t>
      </w:r>
    </w:p>
    <w:p>
      <w:pPr>
        <w:pStyle w:val="TextBody"/>
        <w:bidi w:val="0"/>
        <w:spacing w:before="28"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 w:after="283"/>
        <w:jc w:val="left"/>
        <w:rPr>
          <w:rFonts w:ascii="Times New Roman" w:hAnsi="Times New Roman"/>
          <w:color w:val="000000"/>
          <w:sz w:val="22"/>
        </w:rPr>
      </w:pPr>
      <w:r>
        <w:rPr>
          <w:rFonts w:ascii="Times New Roman" w:hAnsi="Times New Roman"/>
          <w:color w:val="000000"/>
          <w:sz w:val="22"/>
        </w:rPr>
        <w:t>Company. With the exception of the Company’s at-will employment policy. discussed below, the Company may, from time to time, in its sole discretion, modify or eliminate its policies and/or benefits offered to employees.</w:t>
      </w:r>
    </w:p>
    <w:p>
      <w:pPr>
        <w:pStyle w:val="TextBody"/>
        <w:bidi w:val="0"/>
        <w:spacing w:before="19" w:after="283"/>
        <w:jc w:val="left"/>
        <w:rPr/>
      </w:pPr>
      <w:r>
        <w:rPr/>
        <w:t> </w:t>
      </w:r>
    </w:p>
    <w:p>
      <w:pPr>
        <w:pStyle w:val="TextBody"/>
        <w:bidi w:val="0"/>
        <w:spacing w:before="1" w:after="283"/>
        <w:jc w:val="both"/>
        <w:rPr>
          <w:rFonts w:ascii="Times New Roman" w:hAnsi="Times New Roman"/>
          <w:color w:val="000000"/>
          <w:sz w:val="23"/>
        </w:rPr>
      </w:pPr>
      <w:r>
        <w:rPr>
          <w:rFonts w:ascii="Times New Roman" w:hAnsi="Times New Roman"/>
          <w:color w:val="000000"/>
          <w:sz w:val="23"/>
        </w:rPr>
        <w:t>8.</w:t>
      </w:r>
    </w:p>
    <w:p>
      <w:pPr>
        <w:pStyle w:val="TextBody"/>
        <w:bidi w:val="0"/>
        <w:spacing w:before="1" w:after="283"/>
        <w:jc w:val="both"/>
        <w:rPr/>
      </w:pPr>
      <w:r>
        <w:rPr>
          <w:rFonts w:ascii="Times New Roman" w:hAnsi="Times New Roman"/>
          <w:b/>
          <w:color w:val="000000"/>
          <w:sz w:val="23"/>
        </w:rPr>
        <w:t xml:space="preserve">Severance. </w:t>
      </w:r>
      <w:r>
        <w:rPr>
          <w:rFonts w:ascii="Times New Roman" w:hAnsi="Times New Roman"/>
          <w:color w:val="000000"/>
          <w:sz w:val="23"/>
        </w:rPr>
        <w:t>On the Start Date, you and the Company shall enter into a Change in Control and Severance Agreement (the “</w:t>
      </w:r>
      <w:r>
        <w:rPr>
          <w:rFonts w:ascii="Times New Roman" w:hAnsi="Times New Roman"/>
          <w:b/>
          <w:color w:val="000000"/>
          <w:sz w:val="23"/>
        </w:rPr>
        <w:t xml:space="preserve">Severance Agreement”) </w:t>
      </w:r>
      <w:r>
        <w:rPr>
          <w:rFonts w:ascii="Times New Roman" w:hAnsi="Times New Roman"/>
          <w:color w:val="000000"/>
          <w:sz w:val="23"/>
        </w:rPr>
        <w:t>applicable to you based on your position with the Company. The Severance Agreement will specify the severance payments and benefits you would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pStyle w:val="TextBody"/>
        <w:bidi w:val="0"/>
        <w:spacing w:before="1" w:after="283"/>
        <w:jc w:val="both"/>
        <w:rPr/>
      </w:pPr>
      <w:r>
        <w:rPr/>
        <w:t> </w:t>
      </w:r>
    </w:p>
    <w:p>
      <w:pPr>
        <w:pStyle w:val="TextBody"/>
        <w:bidi w:val="0"/>
        <w:spacing w:before="1" w:after="283"/>
        <w:jc w:val="both"/>
        <w:rPr>
          <w:rFonts w:ascii="Times New Roman" w:hAnsi="Times New Roman"/>
          <w:color w:val="000000"/>
          <w:sz w:val="23"/>
        </w:rPr>
      </w:pPr>
      <w:r>
        <w:rPr>
          <w:rFonts w:ascii="Times New Roman" w:hAnsi="Times New Roman"/>
          <w:color w:val="000000"/>
          <w:sz w:val="23"/>
        </w:rPr>
        <w:t>9.</w:t>
      </w:r>
    </w:p>
    <w:p>
      <w:pPr>
        <w:pStyle w:val="TextBody"/>
        <w:bidi w:val="0"/>
        <w:spacing w:before="1" w:after="283"/>
        <w:jc w:val="both"/>
        <w:rPr/>
      </w:pPr>
      <w:r>
        <w:rPr>
          <w:rFonts w:ascii="Times New Roman" w:hAnsi="Times New Roman"/>
          <w:b/>
          <w:color w:val="000000"/>
          <w:sz w:val="23"/>
        </w:rPr>
        <w:t xml:space="preserve">Proprietary Information and Inventions Agreement. </w:t>
      </w:r>
      <w:r>
        <w:rPr>
          <w:rFonts w:ascii="Times New Roman" w:hAnsi="Times New Roman"/>
          <w:color w:val="000000"/>
          <w:sz w:val="23"/>
        </w:rPr>
        <w:t xml:space="preserve">As an employee of the Company, you will have access to certain confidential information about the Company and you may, during the course of your employment, develop certain information or inventions that will be the property of the Company. To protect the interests of the Company, you will be expected to abide by Company rules and regulations, and to sign and comply with the Company's Proprietary Information and Inventions Agreement (the </w:t>
      </w:r>
      <w:r>
        <w:rPr>
          <w:rFonts w:ascii="Times New Roman" w:hAnsi="Times New Roman"/>
          <w:b/>
          <w:color w:val="000000"/>
          <w:sz w:val="23"/>
        </w:rPr>
        <w:t>"PIIA").</w:t>
      </w:r>
    </w:p>
    <w:p>
      <w:pPr>
        <w:pStyle w:val="TextBody"/>
        <w:bidi w:val="0"/>
        <w:spacing w:before="164" w:after="283"/>
        <w:jc w:val="left"/>
        <w:rPr/>
      </w:pPr>
      <w:r>
        <w:rPr/>
        <w:t> </w:t>
      </w:r>
    </w:p>
    <w:p>
      <w:pPr>
        <w:pStyle w:val="TextBody"/>
        <w:bidi w:val="0"/>
        <w:jc w:val="both"/>
        <w:rPr>
          <w:rFonts w:ascii="Times New Roman" w:hAnsi="Times New Roman"/>
          <w:sz w:val="20"/>
        </w:rPr>
      </w:pPr>
      <w:r>
        <w:rPr>
          <w:rFonts w:ascii="Times New Roman" w:hAnsi="Times New Roman"/>
          <w:color w:val="000000"/>
          <w:sz w:val="23"/>
        </w:rPr>
        <w:t xml:space="preserve">l0. </w:t>
      </w:r>
      <w:r>
        <w:rPr>
          <w:rFonts w:ascii="Times New Roman" w:hAnsi="Times New Roman"/>
          <w:b/>
          <w:color w:val="000000"/>
          <w:sz w:val="23"/>
        </w:rPr>
        <w:t xml:space="preserve">Employment Relationship. </w:t>
      </w:r>
      <w:r>
        <w:rPr>
          <w:rFonts w:ascii="Times New Roman" w:hAnsi="Times New Roman"/>
          <w:color w:val="000000"/>
          <w:sz w:val="23"/>
        </w:rPr>
        <w:t>Employment with the Company will be for no specific period of time. Your employment with the Company will be “at will,” meaning that either you or the Company may terminate your employment with written notice to the other party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pStyle w:val="TextBody"/>
        <w:bidi w:val="0"/>
        <w:spacing w:before="15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11.</w:t>
      </w:r>
    </w:p>
    <w:p>
      <w:pPr>
        <w:pStyle w:val="TextBody"/>
        <w:bidi w:val="0"/>
        <w:jc w:val="both"/>
        <w:rPr/>
      </w:pPr>
      <w:r>
        <w:rPr>
          <w:rFonts w:ascii="Times New Roman" w:hAnsi="Times New Roman"/>
          <w:b/>
          <w:color w:val="000000"/>
          <w:sz w:val="23"/>
        </w:rPr>
        <w:t>Protected Activity Not Prohibited.</w:t>
      </w:r>
      <w:r>
        <w:rPr>
          <w:color w:val="000000"/>
        </w:rPr>
        <w:t xml:space="preserve"> </w:t>
      </w:r>
      <w:r>
        <w:rPr>
          <w:rFonts w:ascii="Times New Roman" w:hAnsi="Times New Roman"/>
          <w:color w:val="000000"/>
          <w:sz w:val="23"/>
        </w:rPr>
        <w:t xml:space="preserve">Nothing in this Agreement or in any other agreement between you or the Company, as applicable, will in any way limit or prohibit you from engaging for a Lawful purpose in any Protected Activity. For purposes of this Agreement, </w:t>
      </w:r>
      <w:r>
        <w:rPr>
          <w:rFonts w:ascii="Times New Roman" w:hAnsi="Times New Roman"/>
          <w:b/>
          <w:color w:val="000000"/>
          <w:sz w:val="23"/>
        </w:rPr>
        <w:t xml:space="preserve">"Protected Activity" </w:t>
      </w:r>
      <w:r>
        <w:rPr>
          <w:rFonts w:ascii="Times New Roman" w:hAnsi="Times New Roman"/>
          <w:color w:val="000000"/>
          <w:sz w:val="23"/>
        </w:rPr>
        <w:t xml:space="preserve">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fo1ih in this Agreement or in any other agreement between you or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information (within the meaning of the PIIA) to any parties </w:t>
      </w:r>
      <w:r>
        <w:rPr>
          <w:rFonts w:ascii="Times New Roman" w:hAnsi="Times New Roman"/>
          <w:color w:val="000000"/>
          <w:sz w:val="24"/>
        </w:rPr>
        <w:t xml:space="preserve">other than the relevant government agencies. </w:t>
      </w:r>
      <w:r>
        <w:rPr>
          <w:rFonts w:ascii="Times New Roman" w:hAnsi="Times New Roman"/>
          <w:color w:val="000000"/>
          <w:sz w:val="23"/>
        </w:rPr>
        <w:t xml:space="preserve">You further understand that "Protected Activity" does not include the disclosure of any Company attorney-client privileged communications, and that any such disclosure without the Company's written consent will constitute a material breach of this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Agreement. You acknowledge that the Company has provided you with notice in compliance with the Defend Trade Secrets Act of 2016 regarding immunity from liability for limited disclosures of trade secrets. The full text of the notice is attached to the Exhibit.</w:t>
      </w:r>
    </w:p>
    <w:p>
      <w:pPr>
        <w:pStyle w:val="TextBody"/>
        <w:bidi w:val="0"/>
        <w:spacing w:before="7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12.</w:t>
      </w:r>
    </w:p>
    <w:p>
      <w:pPr>
        <w:pStyle w:val="TextBody"/>
        <w:bidi w:val="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This Agreement, along with the PIIA and the Severance Agreement, constitute the entire agreement between you and the Company regarding the subject matters discussed herein, and they supersede all prior negotiations, representations or agreements between you and the Company. For the avoidance of doubt, other than with respect to Section 9 of this Agreement, nothing in this Agreement will supersede the terms and provisions of the PIIA. This Agreement may only be modified by a written agreement approved by the Board and signed by you and a duly authorized representative of the Company.</w:t>
      </w:r>
    </w:p>
    <w:p>
      <w:pPr>
        <w:pStyle w:val="TextBody"/>
        <w:bidi w:val="0"/>
        <w:spacing w:before="12"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offer is contingent upon:</w:t>
      </w:r>
    </w:p>
    <w:p>
      <w:pPr>
        <w:pStyle w:val="TextBody"/>
        <w:bidi w:val="0"/>
        <w:spacing w:before="154"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54" w:after="283"/>
        <w:jc w:val="both"/>
        <w:rPr>
          <w:rFonts w:ascii="Times New Roman" w:hAnsi="Times New Roman"/>
          <w:color w:val="000000"/>
          <w:sz w:val="24"/>
        </w:rPr>
      </w:pPr>
      <w:r>
        <w:rPr>
          <w:rFonts w:ascii="Times New Roman" w:hAnsi="Times New Roman"/>
          <w:color w:val="000000"/>
          <w:sz w:val="24"/>
        </w:rPr>
        <w:t>Verification of your right to work in the United States, as demonstrated by your completion of the I-9 form upon hire and your submission of acceptable documentation (as noted on the I-9 form) verifying your identity and work authorization within three days of starting employment.</w:t>
      </w:r>
    </w:p>
    <w:p>
      <w:pPr>
        <w:pStyle w:val="TextBody"/>
        <w:bidi w:val="0"/>
        <w:spacing w:before="157"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57" w:after="283"/>
        <w:jc w:val="both"/>
        <w:rPr>
          <w:rFonts w:ascii="Times New Roman" w:hAnsi="Times New Roman"/>
          <w:color w:val="000000"/>
          <w:sz w:val="24"/>
        </w:rPr>
      </w:pPr>
      <w:r>
        <w:rPr>
          <w:rFonts w:ascii="Times New Roman" w:hAnsi="Times New Roman"/>
          <w:color w:val="000000"/>
          <w:sz w:val="24"/>
        </w:rPr>
        <w:t>Your signature affirming your acceptance of this offer and a return copy of this letter by 12/12/2025.</w:t>
      </w:r>
    </w:p>
    <w:p>
      <w:pPr>
        <w:pStyle w:val="TextBody"/>
        <w:bidi w:val="0"/>
        <w:spacing w:before="158"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158" w:after="283"/>
        <w:jc w:val="both"/>
        <w:rPr>
          <w:rFonts w:ascii="Times New Roman" w:hAnsi="Times New Roman"/>
          <w:color w:val="000000"/>
          <w:sz w:val="24"/>
        </w:rPr>
      </w:pPr>
      <w:r>
        <w:rPr>
          <w:rFonts w:ascii="Times New Roman" w:hAnsi="Times New Roman"/>
          <w:color w:val="000000"/>
          <w:sz w:val="24"/>
        </w:rPr>
        <w:t>Acceptance of the Company's Restrictive Covenant Agreement. (PIIA)</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Acceptance of the Company's Mutual Agreement to Arbitrate.</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Satisfactory completion of the Company required background check.</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Satisfactory completion of professional reference checks.</w:t>
      </w:r>
    </w:p>
    <w:p>
      <w:pPr>
        <w:pStyle w:val="TextBody"/>
        <w:bidi w:val="0"/>
        <w:spacing w:before="230" w:after="283"/>
        <w:jc w:val="both"/>
        <w:rPr>
          <w:rFonts w:ascii="Times New Roman" w:hAnsi="Times New Roman"/>
          <w:color w:val="000000"/>
          <w:sz w:val="24"/>
        </w:rPr>
      </w:pPr>
      <w:r>
        <w:rPr>
          <w:rFonts w:ascii="Times New Roman" w:hAnsi="Times New Roman"/>
          <w:color w:val="000000"/>
          <w:sz w:val="24"/>
        </w:rPr>
        <w:t>The Company's standard background check includes, but is not limited to, a criminal record check, verification of driving record for positions involving driving, and verification of previous employment and references.</w:t>
      </w:r>
    </w:p>
    <w:p>
      <w:pPr>
        <w:pStyle w:val="TextBody"/>
        <w:bidi w:val="0"/>
        <w:spacing w:before="152" w:after="283"/>
        <w:jc w:val="both"/>
        <w:rPr>
          <w:rFonts w:ascii="Times New Roman" w:hAnsi="Times New Roman"/>
          <w:color w:val="000000"/>
          <w:sz w:val="24"/>
        </w:rPr>
      </w:pPr>
      <w:r>
        <w:rPr>
          <w:rFonts w:ascii="Times New Roman" w:hAnsi="Times New Roman"/>
          <w:color w:val="000000"/>
          <w:sz w:val="24"/>
        </w:rPr>
        <w:t>To indicate acceptance of the Company's employment letter under the terms described above, please sign and date this letter in the space below, and return it to me by no later than 12/16/2025. If you accept our offer, we would like you to begin work no later than the Start Date, 1/13/2026.</w:t>
      </w:r>
    </w:p>
    <w:p>
      <w:pPr>
        <w:pStyle w:val="TextBody"/>
        <w:bidi w:val="0"/>
        <w:spacing w:before="158" w:after="283"/>
        <w:jc w:val="both"/>
        <w:rPr>
          <w:rFonts w:ascii="Times New Roman" w:hAnsi="Times New Roman"/>
          <w:color w:val="000000"/>
          <w:sz w:val="24"/>
        </w:rPr>
      </w:pPr>
      <w:r>
        <w:rPr>
          <w:rFonts w:ascii="Times New Roman" w:hAnsi="Times New Roman"/>
          <w:color w:val="000000"/>
          <w:sz w:val="24"/>
        </w:rPr>
        <w:t>We thank you once again for your interest in the Company and our novel technology, and very much look forward to your favorable reply and to a productive and mutually rewarding working relationship.</w:t>
      </w:r>
    </w:p>
    <w:p>
      <w:pPr>
        <w:pStyle w:val="TextBody"/>
        <w:bidi w:val="0"/>
        <w:spacing w:before="158" w:after="283"/>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158" w:after="283"/>
        <w:jc w:val="both"/>
        <w:rPr>
          <w:rFonts w:ascii="Times New Roman" w:hAnsi="Times New Roman"/>
          <w:i/>
          <w:color w:val="000000"/>
          <w:sz w:val="24"/>
          <w:u w:val="single"/>
        </w:rPr>
      </w:pPr>
      <w:r>
        <w:rPr>
          <w:rFonts w:ascii="Times New Roman" w:hAnsi="Times New Roman"/>
          <w:i/>
          <w:color w:val="000000"/>
          <w:sz w:val="24"/>
          <w:u w:val="single"/>
        </w:rPr>
        <w:t>/s/ Ron Kurtz</w:t>
      </w:r>
    </w:p>
    <w:p>
      <w:pPr>
        <w:pStyle w:val="TextBody"/>
        <w:bidi w:val="0"/>
        <w:spacing w:before="158" w:after="283"/>
        <w:jc w:val="both"/>
        <w:rPr>
          <w:rFonts w:ascii="Times New Roman" w:hAnsi="Times New Roman"/>
          <w:color w:val="000000"/>
          <w:sz w:val="24"/>
        </w:rPr>
      </w:pPr>
      <w:r>
        <w:rPr>
          <w:rFonts w:ascii="Times New Roman" w:hAnsi="Times New Roman"/>
          <w:color w:val="000000"/>
          <w:sz w:val="24"/>
        </w:rPr>
        <w:t>President &amp; CEO</w:t>
      </w:r>
    </w:p>
    <w:p>
      <w:pPr>
        <w:pStyle w:val="TextBody"/>
        <w:bidi w:val="0"/>
        <w:spacing w:before="22" w:after="283"/>
        <w:jc w:val="right"/>
        <w:rPr>
          <w:rFonts w:ascii="Arial" w:hAnsi="Arial"/>
          <w:color w:val="000000"/>
          <w:sz w:val="23"/>
        </w:rPr>
      </w:pPr>
      <w:r>
        <w:rPr>
          <w:rFonts w:ascii="Arial" w:hAnsi="Arial"/>
          <w:color w:val="000000"/>
          <w:sz w:val="23"/>
        </w:rPr>
        <w:t>4</w:t>
      </w:r>
    </w:p>
    <w:p>
      <w:pPr>
        <w:pStyle w:val="TextBody"/>
        <w:bidi w:val="0"/>
        <w:spacing w:before="26" w:after="283"/>
        <w:jc w:val="center"/>
        <w:rPr>
          <w:rFonts w:ascii="Times New Roman" w:hAnsi="Times New Roman"/>
          <w:color w:val="000000"/>
          <w:sz w:val="19"/>
        </w:rPr>
      </w:pPr>
      <w:r>
        <w:rPr>
          <w:rFonts w:ascii="Times New Roman" w:hAnsi="Times New Roman"/>
          <w:color w:val="000000"/>
          <w:sz w:val="19"/>
        </w:rPr>
        <w:t>RxSight, Inc. 100 Columbia, Suite 120, Aliso Viejo, CA, 92656</w:t>
      </w:r>
    </w:p>
    <w:p>
      <w:pPr>
        <w:pStyle w:val="TextBody"/>
        <w:bidi w:val="0"/>
        <w:spacing w:before="26" w:after="283"/>
        <w:jc w:val="center"/>
        <w:rPr/>
      </w:pPr>
      <w:r>
        <w:rPr/>
        <w:t> </w:t>
      </w:r>
    </w:p>
    <w:p>
      <w:pPr>
        <w:pStyle w:val="TextBody"/>
        <w:bidi w:val="0"/>
        <w:spacing w:before="29"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9" w:after="283"/>
        <w:jc w:val="left"/>
        <w:rPr/>
      </w:pPr>
      <w:r>
        <w:rPr/>
        <w:t> </w:t>
      </w:r>
    </w:p>
    <w:p>
      <w:pPr>
        <w:pStyle w:val="TextBody"/>
        <w:bidi w:val="0"/>
        <w:spacing w:before="29" w:after="283"/>
        <w:jc w:val="left"/>
        <w:rPr/>
      </w:pPr>
      <w:r>
        <w:rPr/>
        <w:t> </w:t>
      </w:r>
    </w:p>
    <w:p>
      <w:pPr>
        <w:pStyle w:val="TextBody"/>
        <w:bidi w:val="0"/>
        <w:spacing w:before="29" w:after="283"/>
        <w:jc w:val="left"/>
        <w:rPr>
          <w:rFonts w:ascii="Times New Roman" w:hAnsi="Times New Roman"/>
          <w:color w:val="000000"/>
          <w:sz w:val="24"/>
        </w:rPr>
      </w:pPr>
      <w:r>
        <w:rPr>
          <w:rFonts w:ascii="Times New Roman" w:hAnsi="Times New Roman"/>
          <w:color w:val="000000"/>
          <w:sz w:val="24"/>
        </w:rPr>
        <w:t>I have read and understood this Agreement and have been afforded an opportunity to consult with counsel, and hereby acknowledge, accept and agree to the terms as set forth herein and further acknowledge that no other commitments were made to me as part of my employment offer except as specifically set forth herein.</w:t>
      </w:r>
    </w:p>
    <w:p>
      <w:pPr>
        <w:pStyle w:val="TextBody"/>
        <w:bidi w:val="0"/>
        <w:spacing w:before="51" w:after="283"/>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_</w:t>
      </w:r>
      <w:r>
        <w:rPr>
          <w:rFonts w:ascii="Times New Roman" w:hAnsi="Times New Roman"/>
          <w:i/>
          <w:color w:val="000000"/>
          <w:sz w:val="24"/>
          <w:u w:val="single"/>
        </w:rPr>
        <w:t>12/15/2025</w:t>
      </w:r>
      <w:r>
        <w:rPr>
          <w:rFonts w:ascii="Times New Roman" w:hAnsi="Times New Roman"/>
          <w:i/>
          <w:color w:val="000000"/>
          <w:sz w:val="24"/>
        </w:rPr>
        <w:t xml:space="preserve">__________________ </w:t>
      </w:r>
      <w:r>
        <w:rPr>
          <w:rFonts w:ascii="Times New Roman" w:hAnsi="Times New Roman"/>
          <w:i/>
          <w:color w:val="000000"/>
          <w:sz w:val="24"/>
          <w:u w:val="single"/>
        </w:rPr>
        <w:t>/s/ Mark Wilterding</w:t>
      </w:r>
    </w:p>
    <w:p>
      <w:pPr>
        <w:pStyle w:val="TextBody"/>
        <w:bidi w:val="0"/>
        <w:jc w:val="left"/>
        <w:rPr>
          <w:rFonts w:ascii="Times New Roman" w:hAnsi="Times New Roman"/>
          <w:sz w:val="20"/>
        </w:rPr>
      </w:pPr>
      <w:r>
        <w:rPr>
          <w:rFonts w:ascii="Times New Roman" w:hAnsi="Times New Roman"/>
          <w:i/>
          <w:color w:val="000000"/>
          <w:sz w:val="24"/>
        </w:rPr>
        <w:t xml:space="preserve">Date </w:t>
      </w:r>
      <w:r>
        <w:rPr>
          <w:rFonts w:ascii="Times New Roman" w:hAnsi="Times New Roman"/>
          <w:color w:val="000000"/>
          <w:sz w:val="24"/>
        </w:rPr>
        <w:t>Mark Wilterding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 w:after="283"/>
        <w:jc w:val="left"/>
        <w:rPr/>
      </w:pPr>
      <w:r>
        <w:rPr/>
        <w:t> </w:t>
      </w:r>
    </w:p>
    <w:p>
      <w:pPr>
        <w:pStyle w:val="TextBody"/>
        <w:bidi w:val="0"/>
        <w:jc w:val="left"/>
        <w:rPr>
          <w:rFonts w:ascii="Arial" w:hAnsi="Arial"/>
          <w:color w:val="5B5B5B"/>
          <w:sz w:val="16"/>
        </w:rPr>
      </w:pPr>
      <w:r>
        <w:rPr>
          <w:rFonts w:ascii="Arial" w:hAnsi="Arial"/>
          <w:color w:val="5B5B5B"/>
          <w:sz w:val="16"/>
        </w:rPr>
        <w:t>RXSight. Inc. I 00 Columbia. Suite 120, Aliso Viejo, CA 92656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4" w:after="283"/>
        <w:jc w:val="left"/>
        <w:rPr>
          <w:rFonts w:ascii="Arial" w:hAnsi="Arial"/>
          <w:b/>
          <w:color w:val="3B3D3D"/>
          <w:sz w:val="34"/>
        </w:rPr>
      </w:pPr>
      <w:r>
        <w:rPr>
          <w:rFonts w:ascii="Arial" w:hAnsi="Arial"/>
          <w:b/>
          <w:color w:val="3B3D3D"/>
          <w:sz w:val="34"/>
        </w:rPr>
        <w:t>RxSIGHT</w:t>
      </w:r>
    </w:p>
    <w:p>
      <w:pPr>
        <w:pStyle w:val="TextBody"/>
        <w:bidi w:val="0"/>
        <w:spacing w:before="260" w:after="283"/>
        <w:jc w:val="left"/>
        <w:rPr>
          <w:rFonts w:ascii="Times New Roman" w:hAnsi="Times New Roman"/>
          <w:sz w:val="20"/>
        </w:rPr>
      </w:pPr>
      <w:r>
        <w:rPr>
          <w:rFonts w:ascii="Arial" w:hAnsi="Arial"/>
          <w:color w:val="262626"/>
          <w:sz w:val="23"/>
        </w:rPr>
        <w:t>RxSight,</w:t>
      </w:r>
      <w:r>
        <w:rPr>
          <w:rFonts w:ascii="Arial" w:hAnsi="Arial"/>
          <w:color w:val="030303"/>
          <w:sz w:val="23"/>
        </w:rPr>
        <w:t>Inc</w:t>
      </w:r>
    </w:p>
    <w:p>
      <w:pPr>
        <w:pStyle w:val="TextBody"/>
        <w:bidi w:val="0"/>
        <w:jc w:val="left"/>
        <w:rPr>
          <w:rFonts w:ascii="Arial" w:hAnsi="Arial"/>
          <w:color w:val="262626"/>
          <w:sz w:val="23"/>
        </w:rPr>
      </w:pPr>
      <w:r>
        <w:rPr>
          <w:rFonts w:ascii="Arial" w:hAnsi="Arial"/>
          <w:color w:val="262626"/>
          <w:sz w:val="23"/>
        </w:rPr>
        <w:t>100Columbia</w:t>
      </w:r>
    </w:p>
    <w:p>
      <w:pPr>
        <w:pStyle w:val="TextBody"/>
        <w:bidi w:val="0"/>
        <w:spacing w:before="44" w:after="283"/>
        <w:jc w:val="left"/>
        <w:rPr>
          <w:rFonts w:ascii="Arial" w:hAnsi="Arial"/>
          <w:color w:val="262626"/>
          <w:sz w:val="23"/>
        </w:rPr>
      </w:pPr>
      <w:r>
        <w:rPr>
          <w:rFonts w:ascii="Arial" w:hAnsi="Arial"/>
          <w:color w:val="262626"/>
          <w:sz w:val="23"/>
        </w:rPr>
        <w:t>Aliso Viejo, CA 92656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131313"/>
          <w:sz w:val="23"/>
        </w:rPr>
        <w:t xml:space="preserve">January </w:t>
      </w:r>
      <w:r>
        <w:rPr>
          <w:rFonts w:ascii="Arial" w:hAnsi="Arial"/>
          <w:color w:val="262626"/>
          <w:sz w:val="23"/>
        </w:rPr>
        <w:t>8, 2026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262626"/>
          <w:sz w:val="23"/>
        </w:rPr>
      </w:pPr>
      <w:r>
        <w:rPr>
          <w:rFonts w:ascii="Arial" w:hAnsi="Arial"/>
          <w:color w:val="262626"/>
          <w:sz w:val="23"/>
        </w:rPr>
        <w:t>Mark Wilterding</w:t>
      </w:r>
    </w:p>
    <w:p>
      <w:pPr>
        <w:pStyle w:val="TextBody"/>
        <w:bidi w:val="0"/>
        <w:spacing w:before="37" w:after="283"/>
        <w:jc w:val="left"/>
        <w:rPr>
          <w:rFonts w:ascii="Times New Roman" w:hAnsi="Times New Roman"/>
          <w:sz w:val="20"/>
        </w:rPr>
      </w:pPr>
      <w:r>
        <w:rPr>
          <w:rFonts w:ascii="Arial" w:hAnsi="Arial"/>
          <w:color w:val="131313"/>
          <w:sz w:val="23"/>
        </w:rPr>
        <w:t xml:space="preserve">Laguna </w:t>
      </w:r>
      <w:r>
        <w:rPr>
          <w:rFonts w:ascii="Arial" w:hAnsi="Arial"/>
          <w:color w:val="262626"/>
          <w:sz w:val="23"/>
        </w:rPr>
        <w:t>Niguel, CA 92677</w:t>
      </w:r>
    </w:p>
    <w:p>
      <w:pPr>
        <w:pStyle w:val="TextBody"/>
        <w:bidi w:val="0"/>
        <w:spacing w:before="73" w:after="283"/>
        <w:jc w:val="left"/>
        <w:rPr/>
      </w:pPr>
      <w:r>
        <w:rPr/>
        <w:t> </w:t>
      </w:r>
    </w:p>
    <w:p>
      <w:pPr>
        <w:pStyle w:val="TextBody"/>
        <w:bidi w:val="0"/>
        <w:spacing w:before="1" w:after="283"/>
        <w:jc w:val="left"/>
        <w:rPr>
          <w:rFonts w:ascii="Times New Roman" w:hAnsi="Times New Roman"/>
          <w:sz w:val="20"/>
        </w:rPr>
      </w:pPr>
      <w:r>
        <w:rPr>
          <w:rFonts w:ascii="Arial" w:hAnsi="Arial"/>
          <w:color w:val="262626"/>
          <w:sz w:val="23"/>
        </w:rPr>
        <w:t xml:space="preserve">Re: Amendment to the Confirmatory </w:t>
      </w:r>
      <w:r>
        <w:rPr>
          <w:rFonts w:ascii="Arial" w:hAnsi="Arial"/>
          <w:color w:val="131313"/>
          <w:sz w:val="23"/>
        </w:rPr>
        <w:t xml:space="preserve">Employment Letter dated </w:t>
      </w:r>
      <w:r>
        <w:rPr>
          <w:rFonts w:ascii="Arial" w:hAnsi="Arial"/>
          <w:color w:val="262626"/>
          <w:sz w:val="23"/>
        </w:rPr>
        <w:t>December 10, 2025, and signed by Mark Wilterding on December 15, 2025</w:t>
      </w:r>
    </w:p>
    <w:p>
      <w:pPr>
        <w:pStyle w:val="TextBody"/>
        <w:bidi w:val="0"/>
        <w:spacing w:before="81" w:after="283"/>
        <w:jc w:val="left"/>
        <w:rPr/>
      </w:pPr>
      <w:r>
        <w:rPr/>
        <w:t> </w:t>
      </w:r>
    </w:p>
    <w:p>
      <w:pPr>
        <w:pStyle w:val="TextBody"/>
        <w:bidi w:val="0"/>
        <w:jc w:val="left"/>
        <w:rPr>
          <w:rFonts w:ascii="Arial" w:hAnsi="Arial"/>
          <w:color w:val="262626"/>
          <w:sz w:val="23"/>
        </w:rPr>
      </w:pPr>
      <w:r>
        <w:rPr>
          <w:rFonts w:ascii="Arial" w:hAnsi="Arial"/>
          <w:color w:val="262626"/>
          <w:sz w:val="23"/>
        </w:rPr>
        <w:t>Dear Mark:</w:t>
      </w:r>
    </w:p>
    <w:p>
      <w:pPr>
        <w:pStyle w:val="TextBody"/>
        <w:bidi w:val="0"/>
        <w:spacing w:before="67" w:after="283"/>
        <w:jc w:val="left"/>
        <w:rPr/>
      </w:pPr>
      <w:r>
        <w:rPr/>
        <w:t> </w:t>
      </w:r>
    </w:p>
    <w:p>
      <w:pPr>
        <w:pStyle w:val="TextBody"/>
        <w:bidi w:val="0"/>
        <w:jc w:val="left"/>
        <w:rPr>
          <w:rFonts w:ascii="Times New Roman" w:hAnsi="Times New Roman"/>
          <w:sz w:val="20"/>
        </w:rPr>
      </w:pPr>
      <w:r>
        <w:rPr>
          <w:rFonts w:ascii="Arial" w:hAnsi="Arial"/>
          <w:color w:val="131313"/>
          <w:sz w:val="23"/>
        </w:rPr>
        <w:t xml:space="preserve">The </w:t>
      </w:r>
      <w:r>
        <w:rPr>
          <w:rFonts w:ascii="Arial" w:hAnsi="Arial"/>
          <w:color w:val="262626"/>
          <w:sz w:val="23"/>
        </w:rPr>
        <w:t xml:space="preserve">letter agreement </w:t>
      </w:r>
      <w:r>
        <w:rPr>
          <w:rFonts w:ascii="Arial" w:hAnsi="Arial"/>
          <w:color w:val="131313"/>
          <w:sz w:val="23"/>
        </w:rPr>
        <w:t xml:space="preserve">dated </w:t>
      </w:r>
      <w:r>
        <w:rPr>
          <w:rFonts w:ascii="Arial" w:hAnsi="Arial"/>
          <w:color w:val="262626"/>
          <w:sz w:val="23"/>
        </w:rPr>
        <w:t xml:space="preserve">December 10, 2025, from RxSight, </w:t>
      </w:r>
      <w:r>
        <w:rPr>
          <w:rFonts w:ascii="Arial" w:hAnsi="Arial"/>
          <w:color w:val="131313"/>
          <w:sz w:val="23"/>
        </w:rPr>
        <w:t xml:space="preserve">Inc. </w:t>
      </w:r>
      <w:r>
        <w:rPr>
          <w:rFonts w:ascii="Arial" w:hAnsi="Arial"/>
          <w:color w:val="262626"/>
          <w:sz w:val="23"/>
        </w:rPr>
        <w:t>("RxSight") to you</w:t>
      </w:r>
      <w:r>
        <w:rPr>
          <w:rFonts w:ascii="Arial" w:hAnsi="Arial"/>
          <w:color w:val="4F4F4F"/>
          <w:sz w:val="23"/>
        </w:rPr>
        <w:t xml:space="preserve">, </w:t>
      </w:r>
      <w:r>
        <w:rPr>
          <w:rFonts w:ascii="Arial" w:hAnsi="Arial"/>
          <w:color w:val="262626"/>
          <w:sz w:val="23"/>
        </w:rPr>
        <w:t xml:space="preserve">Mark Wilterding ("you") (the </w:t>
      </w:r>
      <w:r>
        <w:rPr>
          <w:rFonts w:ascii="Arial" w:hAnsi="Arial"/>
          <w:color w:val="3B3D3D"/>
          <w:sz w:val="23"/>
        </w:rPr>
        <w:t>"Ag</w:t>
      </w:r>
      <w:r>
        <w:rPr>
          <w:rFonts w:ascii="Arial" w:hAnsi="Arial"/>
          <w:color w:val="131313"/>
          <w:sz w:val="23"/>
        </w:rPr>
        <w:t xml:space="preserve">reement") </w:t>
      </w:r>
      <w:r>
        <w:rPr>
          <w:rFonts w:ascii="Arial" w:hAnsi="Arial"/>
          <w:color w:val="262626"/>
          <w:sz w:val="23"/>
        </w:rPr>
        <w:t>is amended as follows:</w:t>
      </w:r>
    </w:p>
    <w:p>
      <w:pPr>
        <w:pStyle w:val="TextBody"/>
        <w:bidi w:val="0"/>
        <w:spacing w:before="15" w:after="283"/>
        <w:jc w:val="left"/>
        <w:rPr>
          <w:color w:val="3B3D3D"/>
        </w:rPr>
      </w:pPr>
      <w:r>
        <w:rPr>
          <w:color w:val="3B3D3D"/>
        </w:rPr>
        <w:t>•</w:t>
      </w:r>
    </w:p>
    <w:p>
      <w:pPr>
        <w:pStyle w:val="TextBody"/>
        <w:bidi w:val="0"/>
        <w:spacing w:before="15" w:after="283"/>
        <w:jc w:val="left"/>
        <w:rPr/>
      </w:pPr>
      <w:r>
        <w:rPr>
          <w:rFonts w:ascii="Arial" w:hAnsi="Arial"/>
          <w:color w:val="262626"/>
          <w:sz w:val="23"/>
        </w:rPr>
        <w:t xml:space="preserve">Start Date </w:t>
      </w:r>
      <w:r>
        <w:rPr>
          <w:rFonts w:ascii="Arial" w:hAnsi="Arial"/>
          <w:color w:val="131313"/>
          <w:sz w:val="23"/>
        </w:rPr>
        <w:t xml:space="preserve">is </w:t>
      </w:r>
      <w:r>
        <w:rPr>
          <w:rFonts w:ascii="Arial" w:hAnsi="Arial"/>
          <w:color w:val="262626"/>
          <w:sz w:val="23"/>
        </w:rPr>
        <w:t>January 11, 2026.</w:t>
      </w:r>
    </w:p>
    <w:p>
      <w:pPr>
        <w:pStyle w:val="TextBody"/>
        <w:bidi w:val="0"/>
        <w:spacing w:before="44" w:after="283"/>
        <w:jc w:val="left"/>
        <w:rPr>
          <w:color w:val="3B3D3D"/>
        </w:rPr>
      </w:pPr>
      <w:r>
        <w:rPr>
          <w:color w:val="3B3D3D"/>
        </w:rPr>
        <w:t>•</w:t>
      </w:r>
    </w:p>
    <w:p>
      <w:pPr>
        <w:pStyle w:val="TextBody"/>
        <w:bidi w:val="0"/>
        <w:spacing w:before="44" w:after="283"/>
        <w:jc w:val="left"/>
        <w:rPr/>
      </w:pPr>
      <w:r>
        <w:rPr>
          <w:rFonts w:ascii="Arial" w:hAnsi="Arial"/>
          <w:color w:val="262626"/>
          <w:sz w:val="23"/>
        </w:rPr>
        <w:t xml:space="preserve">"New </w:t>
      </w:r>
      <w:r>
        <w:rPr>
          <w:rFonts w:ascii="Arial" w:hAnsi="Arial"/>
          <w:color w:val="131313"/>
          <w:sz w:val="23"/>
        </w:rPr>
        <w:t xml:space="preserve">Hire </w:t>
      </w:r>
      <w:r>
        <w:rPr>
          <w:rFonts w:ascii="Arial" w:hAnsi="Arial"/>
          <w:color w:val="262626"/>
          <w:sz w:val="23"/>
        </w:rPr>
        <w:t xml:space="preserve">Award" grant date </w:t>
      </w:r>
      <w:r>
        <w:rPr>
          <w:rFonts w:ascii="Arial" w:hAnsi="Arial"/>
          <w:color w:val="131313"/>
          <w:sz w:val="23"/>
        </w:rPr>
        <w:t xml:space="preserve">is January </w:t>
      </w:r>
      <w:r>
        <w:rPr>
          <w:rFonts w:ascii="Arial" w:hAnsi="Arial"/>
          <w:color w:val="262626"/>
          <w:sz w:val="23"/>
        </w:rPr>
        <w:t>12, 2026.</w:t>
      </w:r>
    </w:p>
    <w:p>
      <w:pPr>
        <w:pStyle w:val="TextBody"/>
        <w:bidi w:val="0"/>
        <w:spacing w:before="52" w:after="283"/>
        <w:jc w:val="left"/>
        <w:rPr>
          <w:color w:val="3B3D3D"/>
        </w:rPr>
      </w:pPr>
      <w:r>
        <w:rPr>
          <w:color w:val="3B3D3D"/>
        </w:rPr>
        <w:t>•</w:t>
      </w:r>
    </w:p>
    <w:p>
      <w:pPr>
        <w:pStyle w:val="TextBody"/>
        <w:bidi w:val="0"/>
        <w:spacing w:before="52" w:after="283"/>
        <w:jc w:val="left"/>
        <w:rPr/>
      </w:pPr>
      <w:r>
        <w:rPr>
          <w:rFonts w:ascii="Arial" w:hAnsi="Arial"/>
          <w:color w:val="131313"/>
          <w:sz w:val="23"/>
        </w:rPr>
        <w:t xml:space="preserve">Defined, </w:t>
      </w:r>
      <w:r>
        <w:rPr>
          <w:rFonts w:ascii="Arial" w:hAnsi="Arial"/>
          <w:color w:val="262626"/>
          <w:sz w:val="23"/>
        </w:rPr>
        <w:t xml:space="preserve">capitalized terms are as defined </w:t>
      </w:r>
      <w:r>
        <w:rPr>
          <w:rFonts w:ascii="Arial" w:hAnsi="Arial"/>
          <w:color w:val="131313"/>
          <w:sz w:val="23"/>
        </w:rPr>
        <w:t xml:space="preserve">in </w:t>
      </w:r>
      <w:r>
        <w:rPr>
          <w:rFonts w:ascii="Arial" w:hAnsi="Arial"/>
          <w:color w:val="262626"/>
          <w:sz w:val="23"/>
        </w:rPr>
        <w:t xml:space="preserve">the Confirmatory </w:t>
      </w:r>
      <w:r>
        <w:rPr>
          <w:rFonts w:ascii="Arial" w:hAnsi="Arial"/>
          <w:color w:val="131313"/>
          <w:sz w:val="23"/>
        </w:rPr>
        <w:t>Empl</w:t>
      </w:r>
      <w:r>
        <w:rPr>
          <w:rFonts w:ascii="Arial" w:hAnsi="Arial"/>
          <w:color w:val="3B3D3D"/>
          <w:sz w:val="23"/>
        </w:rPr>
        <w:t xml:space="preserve">oyment </w:t>
      </w:r>
      <w:r>
        <w:rPr>
          <w:rFonts w:ascii="Arial" w:hAnsi="Arial"/>
          <w:color w:val="131313"/>
          <w:sz w:val="23"/>
        </w:rPr>
        <w:t>Let</w:t>
      </w:r>
      <w:r>
        <w:rPr>
          <w:rFonts w:ascii="Arial" w:hAnsi="Arial"/>
          <w:color w:val="3B3D3D"/>
          <w:sz w:val="23"/>
        </w:rPr>
        <w:t xml:space="preserve">ter </w:t>
      </w:r>
      <w:r>
        <w:rPr>
          <w:rFonts w:ascii="Arial" w:hAnsi="Arial"/>
          <w:color w:val="262626"/>
          <w:sz w:val="23"/>
        </w:rPr>
        <w:t>dated December 10, 2025, and signed by you on December 15, 2025.</w:t>
      </w:r>
    </w:p>
    <w:p>
      <w:pPr>
        <w:pStyle w:val="TextBody"/>
        <w:bidi w:val="0"/>
        <w:spacing w:before="51" w:after="283"/>
        <w:jc w:val="left"/>
        <w:rPr/>
      </w:pPr>
      <w:r>
        <w:rPr/>
        <w:t> </w:t>
      </w:r>
    </w:p>
    <w:p>
      <w:pPr>
        <w:pStyle w:val="TextBody"/>
        <w:bidi w:val="0"/>
        <w:jc w:val="left"/>
        <w:rPr>
          <w:rFonts w:ascii="Arial" w:hAnsi="Arial"/>
          <w:color w:val="262626"/>
          <w:sz w:val="23"/>
        </w:rPr>
      </w:pPr>
      <w:r>
        <w:rPr>
          <w:rFonts w:ascii="Arial" w:hAnsi="Arial"/>
          <w:color w:val="262626"/>
          <w:sz w:val="23"/>
        </w:rPr>
        <w:t>Sincerely,</w:t>
      </w:r>
    </w:p>
    <w:p>
      <w:pPr>
        <w:pStyle w:val="TextBody"/>
        <w:bidi w:val="0"/>
        <w:jc w:val="left"/>
        <w:rPr/>
      </w:pPr>
      <w:r>
        <w:rPr/>
        <w:t> </w:t>
      </w:r>
    </w:p>
    <w:p>
      <w:pPr>
        <w:pStyle w:val="TextBody"/>
        <w:bidi w:val="0"/>
        <w:jc w:val="left"/>
        <w:rPr>
          <w:rFonts w:ascii="Arial" w:hAnsi="Arial"/>
          <w:i/>
          <w:color w:val="262626"/>
          <w:sz w:val="23"/>
          <w:u w:val="single"/>
        </w:rPr>
      </w:pPr>
      <w:r>
        <w:rPr>
          <w:rFonts w:ascii="Arial" w:hAnsi="Arial"/>
          <w:i/>
          <w:color w:val="262626"/>
          <w:sz w:val="23"/>
          <w:u w:val="single"/>
        </w:rPr>
        <w:t>/s/ Ron Kurtz</w:t>
      </w:r>
    </w:p>
    <w:p>
      <w:pPr>
        <w:pStyle w:val="TextBody"/>
        <w:bidi w:val="0"/>
        <w:jc w:val="left"/>
        <w:rPr/>
      </w:pPr>
      <w:r>
        <w:rPr/>
        <w:t> </w:t>
      </w:r>
    </w:p>
    <w:p>
      <w:pPr>
        <w:pStyle w:val="TextBody"/>
        <w:bidi w:val="0"/>
        <w:jc w:val="left"/>
        <w:rPr>
          <w:rFonts w:ascii="Times New Roman" w:hAnsi="Times New Roman"/>
          <w:sz w:val="20"/>
        </w:rPr>
      </w:pPr>
      <w:r>
        <w:rPr>
          <w:rFonts w:ascii="Arial" w:hAnsi="Arial"/>
          <w:color w:val="262626"/>
          <w:sz w:val="23"/>
        </w:rPr>
        <w:t>Ron Kurtz</w:t>
      </w:r>
      <w:r>
        <w:rPr>
          <w:rFonts w:ascii="Times New Roman" w:hAnsi="Times New Roman"/>
          <w:color w:val="262626"/>
          <w:sz w:val="20"/>
        </w:rPr>
        <w:t xml:space="preserve"> </w:t>
      </w:r>
    </w:p>
    <w:p>
      <w:pPr>
        <w:pStyle w:val="TextBody"/>
        <w:bidi w:val="0"/>
        <w:spacing w:before="120" w:after="283"/>
        <w:jc w:val="left"/>
        <w:rPr>
          <w:rFonts w:ascii="Times New Roman" w:hAnsi="Times New Roman"/>
          <w:sz w:val="20"/>
        </w:rPr>
      </w:pPr>
      <w:r>
        <w:rPr>
          <w:rFonts w:ascii="Arial" w:hAnsi="Arial"/>
          <w:color w:val="262626"/>
          <w:sz w:val="23"/>
        </w:rPr>
        <w:t xml:space="preserve">President and Chief </w:t>
      </w:r>
      <w:r>
        <w:rPr>
          <w:rFonts w:ascii="Arial" w:hAnsi="Arial"/>
          <w:color w:val="131313"/>
          <w:sz w:val="23"/>
        </w:rPr>
        <w:t>E</w:t>
      </w:r>
      <w:r>
        <w:rPr>
          <w:rFonts w:ascii="Arial" w:hAnsi="Arial"/>
          <w:color w:val="3B3D3D"/>
          <w:sz w:val="23"/>
        </w:rPr>
        <w:t>xec</w:t>
      </w:r>
      <w:r>
        <w:rPr>
          <w:rFonts w:ascii="Arial" w:hAnsi="Arial"/>
          <w:color w:val="131313"/>
          <w:sz w:val="23"/>
        </w:rPr>
        <w:t xml:space="preserve">utive </w:t>
      </w:r>
      <w:r>
        <w:rPr>
          <w:rFonts w:ascii="Arial" w:hAnsi="Arial"/>
          <w:color w:val="262626"/>
          <w:sz w:val="23"/>
        </w:rPr>
        <w:t>Officer</w:t>
      </w:r>
    </w:p>
    <w:p>
      <w:pPr>
        <w:pStyle w:val="TextBody"/>
        <w:bidi w:val="0"/>
        <w:jc w:val="left"/>
        <w:rPr/>
      </w:pPr>
      <w:r>
        <w:rPr/>
        <w:t> </w:t>
      </w:r>
    </w:p>
    <w:p>
      <w:pPr>
        <w:pStyle w:val="TextBody"/>
        <w:bidi w:val="0"/>
        <w:jc w:val="left"/>
        <w:rPr/>
      </w:pPr>
      <w:r>
        <w:rPr/>
        <w:t> </w:t>
      </w:r>
    </w:p>
    <w:p>
      <w:pPr>
        <w:pStyle w:val="TextBody"/>
        <w:bidi w:val="0"/>
        <w:spacing w:before="330" w:after="283"/>
        <w:jc w:val="left"/>
        <w:rPr>
          <w:rFonts w:ascii="Times New Roman" w:hAnsi="Times New Roman"/>
          <w:sz w:val="20"/>
        </w:rPr>
      </w:pPr>
      <w:r>
        <w:rPr>
          <w:rFonts w:ascii="Arial" w:hAnsi="Arial"/>
          <w:color w:val="000000"/>
          <w:sz w:val="23"/>
          <w:u w:val="single"/>
        </w:rPr>
        <w:t>January 3, 2026</w:t>
      </w:r>
      <w:r>
        <w:rPr>
          <w:rFonts w:ascii="Times New Roman" w:hAnsi="Times New Roman"/>
          <w:color w:val="000000"/>
          <w:sz w:val="20"/>
        </w:rPr>
        <w:t xml:space="preserve"> </w:t>
      </w:r>
      <w:r>
        <w:rPr>
          <w:rFonts w:ascii="Arial" w:hAnsi="Arial"/>
          <w:color w:val="000000"/>
          <w:sz w:val="23"/>
          <w:u w:val="single"/>
        </w:rPr>
        <w:t>/s/ Mark Wilterding</w:t>
      </w:r>
      <w:r>
        <w:rPr>
          <w:rFonts w:ascii="Times New Roman" w:hAnsi="Times New Roman"/>
          <w:color w:val="000000"/>
          <w:sz w:val="20"/>
        </w:rPr>
        <w:t xml:space="preserve"> </w:t>
      </w:r>
      <w:r>
        <w:rPr>
          <w:rFonts w:ascii="Arial" w:hAnsi="Arial"/>
          <w:color w:val="262626"/>
          <w:sz w:val="23"/>
        </w:rPr>
        <w:t>Date</w:t>
      </w:r>
      <w:r>
        <w:rPr>
          <w:rFonts w:ascii="Times New Roman" w:hAnsi="Times New Roman"/>
          <w:color w:val="262626"/>
          <w:sz w:val="20"/>
        </w:rPr>
        <w:t xml:space="preserve"> </w:t>
      </w:r>
      <w:r>
        <w:rPr>
          <w:rFonts w:ascii="Arial" w:hAnsi="Arial"/>
          <w:color w:val="262626"/>
          <w:sz w:val="23"/>
        </w:rPr>
        <w:t>Mark Wilterding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5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rxst-ex10_30.htm"/>
      <w:bookmarkStart w:id="38" w:name="ksrxstex10_30"/>
      <w:bookmarkEnd w:id="37"/>
      <w:bookmarkEnd w:id="38"/>
      <w:r>
        <w:rPr/>
        <w:t> </w:t>
      </w:r>
      <w:r>
        <w:br w:type="page"/>
      </w:r>
    </w:p>
    <w:p>
      <w:pPr>
        <w:pStyle w:val="TextBody"/>
        <w:bidi w:val="0"/>
        <w:jc w:val="left"/>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Exhibit 10.30</w:t>
      </w:r>
    </w:p>
    <w:p>
      <w:pPr>
        <w:pStyle w:val="TextBody"/>
        <w:bidi w:val="0"/>
        <w:jc w:val="left"/>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RXSIGHT, INC.</w:t>
      </w:r>
    </w:p>
    <w:p>
      <w:pPr>
        <w:pStyle w:val="TextBody"/>
        <w:bidi w:val="0"/>
        <w:spacing w:before="2" w:after="283"/>
        <w:jc w:val="left"/>
        <w:rPr/>
      </w:pPr>
      <w:r>
        <w:rPr/>
        <w:t> </w:t>
      </w:r>
    </w:p>
    <w:p>
      <w:pPr>
        <w:pStyle w:val="TextBody"/>
        <w:bidi w:val="0"/>
        <w:jc w:val="center"/>
        <w:rPr>
          <w:rFonts w:ascii="Times New Roman" w:hAnsi="Times New Roman"/>
          <w:sz w:val="20"/>
        </w:rPr>
      </w:pPr>
      <w:r>
        <w:rPr>
          <w:rFonts w:ascii="Times New Roman" w:hAnsi="Times New Roman"/>
          <w:b/>
          <w:color w:val="000000"/>
          <w:sz w:val="21"/>
        </w:rPr>
        <w:t xml:space="preserve">EXECUTIVE CHANGE </w:t>
      </w:r>
      <w:r>
        <w:rPr>
          <w:rFonts w:ascii="Times New Roman" w:hAnsi="Times New Roman"/>
          <w:b/>
          <w:color w:val="000000"/>
          <w:sz w:val="22"/>
        </w:rPr>
        <w:t>IN</w:t>
      </w:r>
      <w:r>
        <w:rPr>
          <w:rFonts w:ascii="Times New Roman" w:hAnsi="Times New Roman"/>
          <w:color w:val="000000"/>
          <w:sz w:val="20"/>
        </w:rPr>
        <w:t xml:space="preserve"> </w:t>
      </w:r>
      <w:r>
        <w:rPr>
          <w:rFonts w:ascii="Times New Roman" w:hAnsi="Times New Roman"/>
          <w:b/>
          <w:color w:val="000000"/>
          <w:sz w:val="21"/>
        </w:rPr>
        <w:t>CONTROL AND SEVERANCE POLICY</w:t>
      </w:r>
    </w:p>
    <w:p>
      <w:pPr>
        <w:pStyle w:val="TextBody"/>
        <w:bidi w:val="0"/>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(Adopted on 07/27/2022; Effective as of 07/27/2022)</w:t>
      </w:r>
    </w:p>
    <w:p>
      <w:pPr>
        <w:pStyle w:val="TextBody"/>
        <w:bidi w:val="0"/>
        <w:spacing w:before="237" w:after="283"/>
        <w:jc w:val="both"/>
        <w:rPr>
          <w:rFonts w:ascii="Times New Roman" w:hAnsi="Times New Roman"/>
          <w:sz w:val="20"/>
        </w:rPr>
      </w:pPr>
      <w:r>
        <w:rPr>
          <w:rFonts w:ascii="Times New Roman" w:hAnsi="Times New Roman"/>
          <w:color w:val="000000"/>
          <w:sz w:val="22"/>
        </w:rPr>
        <w:t xml:space="preserve">This Executive Change in Control and Severance Policy (the </w:t>
      </w:r>
      <w:r>
        <w:rPr>
          <w:rFonts w:ascii="Times New Roman" w:hAnsi="Times New Roman"/>
          <w:b/>
          <w:color w:val="000000"/>
          <w:sz w:val="21"/>
        </w:rPr>
        <w:t xml:space="preserve">"Policy") </w:t>
      </w:r>
      <w:r>
        <w:rPr>
          <w:rFonts w:ascii="Times New Roman" w:hAnsi="Times New Roman"/>
          <w:color w:val="000000"/>
          <w:sz w:val="22"/>
        </w:rPr>
        <w:t xml:space="preserve">is designed to provide certain protections to a select group of key employees of RxSight, Inc. </w:t>
      </w:r>
      <w:r>
        <w:rPr>
          <w:rFonts w:ascii="Times New Roman" w:hAnsi="Times New Roman"/>
          <w:b/>
          <w:color w:val="000000"/>
          <w:sz w:val="21"/>
        </w:rPr>
        <w:t xml:space="preserve">("RxSight" </w:t>
      </w:r>
      <w:r>
        <w:rPr>
          <w:rFonts w:ascii="Times New Roman" w:hAnsi="Times New Roman"/>
          <w:color w:val="000000"/>
          <w:sz w:val="22"/>
        </w:rPr>
        <w:t xml:space="preserve">or the </w:t>
      </w:r>
      <w:r>
        <w:rPr>
          <w:rFonts w:ascii="Times New Roman" w:hAnsi="Times New Roman"/>
          <w:b/>
          <w:color w:val="000000"/>
          <w:sz w:val="21"/>
        </w:rPr>
        <w:t xml:space="preserve">"Company'') </w:t>
      </w:r>
      <w:r>
        <w:rPr>
          <w:rFonts w:ascii="Times New Roman" w:hAnsi="Times New Roman"/>
          <w:color w:val="000000"/>
          <w:sz w:val="22"/>
        </w:rPr>
        <w:t xml:space="preserve">or any of its subsidiaries if their employment is involuntarily terminated under the circumstances described in this Policy. The Policy is designed to be an "employee welfare benefit plan" (as defined in Section 3(1) of the Employee Retirement Income Security Act of 1974, as amended </w:t>
      </w:r>
      <w:r>
        <w:rPr>
          <w:rFonts w:ascii="Times New Roman" w:hAnsi="Times New Roman"/>
          <w:b/>
          <w:color w:val="000000"/>
          <w:sz w:val="21"/>
        </w:rPr>
        <w:t xml:space="preserve">("ERISA")), </w:t>
      </w:r>
      <w:r>
        <w:rPr>
          <w:rFonts w:ascii="Times New Roman" w:hAnsi="Times New Roman"/>
          <w:color w:val="000000"/>
          <w:sz w:val="22"/>
        </w:rPr>
        <w:t>and this document is both the formal plan document and the required summary plan description for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pPr>
      <w:r>
        <w:rPr>
          <w:rFonts w:ascii="Times New Roman" w:hAnsi="Times New Roman"/>
          <w:b/>
          <w:color w:val="000000"/>
          <w:sz w:val="21"/>
        </w:rPr>
        <w:t xml:space="preserve">Eligible Employee: </w:t>
      </w:r>
      <w:r>
        <w:rPr>
          <w:rFonts w:ascii="Times New Roman" w:hAnsi="Times New Roman"/>
          <w:color w:val="000000"/>
          <w:sz w:val="22"/>
        </w:rPr>
        <w:t xml:space="preserve">An individual is only eligible for protection under this Policy if he or she is an Eligible Employee and complies with its terms. An </w:t>
      </w:r>
      <w:r>
        <w:rPr>
          <w:rFonts w:ascii="Times New Roman" w:hAnsi="Times New Roman"/>
          <w:b/>
          <w:color w:val="000000"/>
          <w:sz w:val="21"/>
        </w:rPr>
        <w:t xml:space="preserve">"Eligible Employee" </w:t>
      </w:r>
      <w:r>
        <w:rPr>
          <w:rFonts w:ascii="Times New Roman" w:hAnsi="Times New Roman"/>
          <w:color w:val="000000"/>
          <w:sz w:val="22"/>
        </w:rPr>
        <w:t xml:space="preserve">is an employee of the Company or any subsidiary of the Company who has (i) been designated by the Compensation Committee of the Board (the </w:t>
      </w:r>
      <w:r>
        <w:rPr>
          <w:rFonts w:ascii="Times New Roman" w:hAnsi="Times New Roman"/>
          <w:b/>
          <w:color w:val="000000"/>
          <w:sz w:val="21"/>
        </w:rPr>
        <w:t xml:space="preserve">"Compensation Committee") </w:t>
      </w:r>
      <w:r>
        <w:rPr>
          <w:rFonts w:ascii="Times New Roman" w:hAnsi="Times New Roman"/>
          <w:color w:val="000000"/>
          <w:sz w:val="22"/>
        </w:rPr>
        <w:t xml:space="preserve">as eligible to participate in the Policy, whether individually or by position or category of position, or is an executive officer or vice president of the Company (other than Ron Kurtz, Shelley Thunen, Eric Weinberg and Ilya Goldshleger) and (ii) executed a participation agreement in the form attached hereto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 xml:space="preserve">(a </w:t>
      </w:r>
      <w:r>
        <w:rPr>
          <w:rFonts w:ascii="Times New Roman" w:hAnsi="Times New Roman"/>
          <w:b/>
          <w:color w:val="000000"/>
          <w:sz w:val="21"/>
        </w:rPr>
        <w:t>"Participation Agreement").</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3" w:after="283"/>
        <w:jc w:val="both"/>
        <w:rPr/>
      </w:pPr>
      <w:r>
        <w:rPr>
          <w:rFonts w:ascii="Times New Roman" w:hAnsi="Times New Roman"/>
          <w:b/>
          <w:color w:val="000000"/>
          <w:sz w:val="21"/>
        </w:rPr>
        <w:t xml:space="preserve">Policy Benefits: </w:t>
      </w:r>
      <w:r>
        <w:rPr>
          <w:rFonts w:ascii="Times New Roman" w:hAnsi="Times New Roman"/>
          <w:color w:val="000000"/>
          <w:sz w:val="22"/>
        </w:rPr>
        <w:t>An Eligible Employee will be eligible to receive the payments and benefits under this Policy upon his or her Qualified Termination. All benefits under this Policy will be subject to the Eligible Employee's compliance with the Release Requirement and any timing modifications required to avoid adverse taxation under Section 409A.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1" w:after="283"/>
        <w:jc w:val="both"/>
        <w:rPr/>
      </w:pPr>
      <w:r>
        <w:rPr>
          <w:rFonts w:ascii="Times New Roman" w:hAnsi="Times New Roman"/>
          <w:b/>
          <w:color w:val="000000"/>
          <w:sz w:val="21"/>
        </w:rPr>
        <w:t xml:space="preserve">Salary Severance. </w:t>
      </w:r>
      <w:r>
        <w:rPr>
          <w:rFonts w:ascii="Times New Roman" w:hAnsi="Times New Roman"/>
          <w:color w:val="000000"/>
          <w:sz w:val="22"/>
        </w:rPr>
        <w:t>On a Qualified Termination, an Eligible Employee will be eligible to receive a lump-sum payment equal to 9 months of annualized Base Salary, payable on the first Company payroll date following the effective date of the Release (subject to any delay as provided in Section 10), less applicable withholdings.</w:t>
      </w:r>
    </w:p>
    <w:p>
      <w:pPr>
        <w:pStyle w:val="TextBody"/>
        <w:bidi w:val="0"/>
        <w:spacing w:before="232"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32" w:after="283"/>
        <w:jc w:val="both"/>
        <w:rPr/>
      </w:pPr>
      <w:r>
        <w:rPr>
          <w:rFonts w:ascii="Times New Roman" w:hAnsi="Times New Roman"/>
          <w:b/>
          <w:color w:val="000000"/>
          <w:sz w:val="21"/>
        </w:rPr>
        <w:t xml:space="preserve">COBRA Benefit. </w:t>
      </w:r>
      <w:r>
        <w:rPr>
          <w:rFonts w:ascii="Times New Roman" w:hAnsi="Times New Roman"/>
          <w:color w:val="000000"/>
          <w:sz w:val="22"/>
        </w:rPr>
        <w:t xml:space="preserve">On a Qualified Termination, if an Eligible Employee makes a valid election under COBRA to continue his or her health coverage, the Company will pay the cost of such continuation coverage for the Eligible Employee and any of the Eligible Employee's eligible dependents that were covered under the Company's health care plans immediately prior to the date of his or her eligible termination until the earliest of (i) 9 months following the Qualified Termination, (ii) the date upon which the Eligible Employee and/or the Eligible Employee's eligible dependents become covered under similar plans or (iii) the date upon which the Eligible Employee ceases to be eligible for coverage under COBRA (such payments, the </w:t>
      </w:r>
      <w:r>
        <w:rPr>
          <w:rFonts w:ascii="Times New Roman" w:hAnsi="Times New Roman"/>
          <w:b/>
          <w:color w:val="000000"/>
          <w:sz w:val="21"/>
        </w:rPr>
        <w:t xml:space="preserve">"COBRA Premiums"). </w:t>
      </w:r>
      <w:r>
        <w:rPr>
          <w:rFonts w:ascii="Times New Roman" w:hAnsi="Times New Roman"/>
          <w:color w:val="000000"/>
          <w:sz w:val="22"/>
        </w:rPr>
        <w:t xml:space="preserve">However, if the Company determines in its sole discretion that it cannot pay the COBRA Premiums without potentially violating applicable law (including, without limitation, Section 2716 of the Public Health Service Act), the Company will in lieu thereof provide to the Eligible Employee a taxable lump-sum payment equal to the total amount of the COBRA premiums that the Executive would be required to pay to continue his or her group health coverage in effect on the date of his or her Qualified Termination (which amount will be based on the premium rates applicable for the first month of COBRA coverage for the Eligible Employee and any of eligible dependents of the Eligible Employee) for 9 months following the Qualified Termination (subject to any applicable pro-ration as provided for in subsection (i)) following the Qualified Termination (the </w:t>
      </w:r>
      <w:r>
        <w:rPr>
          <w:rFonts w:ascii="Times New Roman" w:hAnsi="Times New Roman"/>
          <w:b/>
          <w:color w:val="000000"/>
          <w:sz w:val="21"/>
        </w:rPr>
        <w:t xml:space="preserve">"COBRA Replacement Payment"), </w:t>
      </w:r>
      <w:r>
        <w:rPr>
          <w:rFonts w:ascii="Times New Roman" w:hAnsi="Times New Roman"/>
          <w:color w:val="000000"/>
          <w:sz w:val="22"/>
        </w:rPr>
        <w:t xml:space="preserve">payable on the first Company payroll date following the effective date of the Release (subject to any delay as provided in Section 10). The COBRA Replacement Payment (if any) will be made regardless of whether the Eligible Employee elects COBRA continuation coverage. For the avoidance of doubt, the COBRA Replacement Payment may be used for any purpose, including, but not limited to continuation coverage under COBRA, and will be subject to all applicable tax withholdings. Notwithstanding anything to the contrary under this Policy, if at any time the Company determines in its sole discretion that it cannot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provide the COBRA Premiums or the COBRA Replacement Payment without violating applicable law (including, without limitation, Section 2716 of the Public Health Service Act), the Eligible Employee will not receive any further COBRA Premiums or the COBRA Replacement Payment.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b/>
          <w:color w:val="000000"/>
          <w:sz w:val="21"/>
        </w:rPr>
        <w:t xml:space="preserve">Equity Benefits: </w:t>
      </w:r>
      <w:r>
        <w:rPr>
          <w:rFonts w:ascii="Times New Roman" w:hAnsi="Times New Roman"/>
          <w:color w:val="000000"/>
          <w:sz w:val="22"/>
        </w:rPr>
        <w:t>On a Qualified Termination, an Eligible Employee will be eligible to receive acceleration of vesting as to 100% of the then-unvested shares or rights subject to all equity awards which have been granted to the Eligible Employee. In the case of an equity award with performance-based vesting, unless otherwise specified in the applicable equity award agreement governing such award, all performance goals and other vesting criteria will be deemed achieved at target.</w:t>
      </w:r>
    </w:p>
    <w:p>
      <w:pPr>
        <w:pStyle w:val="TextBody"/>
        <w:bidi w:val="0"/>
        <w:spacing w:before="16"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0"/>
        <w:jc w:val="both"/>
        <w:rPr/>
      </w:pPr>
      <w:r>
        <w:rPr>
          <w:rFonts w:ascii="Times New Roman" w:hAnsi="Times New Roman"/>
          <w:b/>
          <w:color w:val="000000"/>
          <w:sz w:val="21"/>
        </w:rPr>
        <w:t xml:space="preserve">Bonus Severance. </w:t>
      </w:r>
      <w:r>
        <w:rPr>
          <w:rFonts w:ascii="Times New Roman" w:hAnsi="Times New Roman"/>
          <w:color w:val="000000"/>
          <w:sz w:val="22"/>
        </w:rPr>
        <w:t>On a Qualified Termination, an Eligible Employee will be eligible to receive a lump-sum payment, payable on the first Company payroll date following the effective date of the Release (subject to any delay as provided in Section 10), less applicable withholdings, equal to 75% of the Eligible Employee's target bonus as in effect for the fiscal year in which the Qualified Termination occurs.</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3" w:after="283"/>
        <w:jc w:val="both"/>
        <w:rPr/>
      </w:pPr>
      <w:r>
        <w:rPr>
          <w:rFonts w:ascii="Times New Roman" w:hAnsi="Times New Roman"/>
          <w:b/>
          <w:color w:val="000000"/>
          <w:sz w:val="21"/>
        </w:rPr>
        <w:t xml:space="preserve">Non-Duplication of Payment or Benefits: </w:t>
      </w:r>
      <w:r>
        <w:rPr>
          <w:rFonts w:ascii="Times New Roman" w:hAnsi="Times New Roman"/>
          <w:color w:val="000000"/>
          <w:sz w:val="22"/>
        </w:rPr>
        <w:t>If an Eligible Employee's termination qualifies him or her for severance payments or benefits under this Policy and a separate arrangement with the Company, then the severance payments or benefits otherwise payable to the Eligible Employee on a Qualified Termination under this Policy will be offset by the corresponding payments or benefits already paid to the Eligible Employee under this Policy.</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3" w:after="283"/>
        <w:jc w:val="both"/>
        <w:rPr/>
      </w:pPr>
      <w:r>
        <w:rPr>
          <w:rFonts w:ascii="Times New Roman" w:hAnsi="Times New Roman"/>
          <w:b/>
          <w:color w:val="000000"/>
          <w:sz w:val="21"/>
        </w:rPr>
        <w:t xml:space="preserve">Death of Eligible Employee: </w:t>
      </w:r>
      <w:r>
        <w:rPr>
          <w:rFonts w:ascii="Times New Roman" w:hAnsi="Times New Roman"/>
          <w:color w:val="000000"/>
          <w:sz w:val="22"/>
        </w:rPr>
        <w:t>If the Eligible Employee dies before all payments or benefits he or she is entitled to receive under this Policy have been paid, then (i) the COBRA Premiums to the Eligible Employee will immediately cease (and the COBRA Replacement Payment will not be paid to the Eligible Employee) and (ii) any such unpaid Salary Severance, Bonus Severance or Equity Benefits will be paid to his or her designated beneficiary, if living, or otherwise to his or her personal representative in a lump-sum payment as soon as possible following his or her death.</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b/>
          <w:color w:val="000000"/>
          <w:sz w:val="21"/>
        </w:rPr>
        <w:t xml:space="preserve">Release: </w:t>
      </w:r>
      <w:r>
        <w:rPr>
          <w:rFonts w:ascii="Times New Roman" w:hAnsi="Times New Roman"/>
          <w:color w:val="000000"/>
          <w:sz w:val="22"/>
        </w:rPr>
        <w:t xml:space="preserve">The Eligible Employee's receipt of any severance payments or benefits upon his or Qualified Termination under this Policy is subject to the Eligible Employee signing and not revoking a separation agreement and release of claims in a form reasonably satisfactory to the Company (the </w:t>
      </w:r>
      <w:r>
        <w:rPr>
          <w:rFonts w:ascii="Times New Roman" w:hAnsi="Times New Roman"/>
          <w:b/>
          <w:color w:val="000000"/>
          <w:sz w:val="21"/>
        </w:rPr>
        <w:t xml:space="preserve">"Release" </w:t>
      </w:r>
      <w:r>
        <w:rPr>
          <w:rFonts w:ascii="Times New Roman" w:hAnsi="Times New Roman"/>
          <w:color w:val="000000"/>
          <w:sz w:val="22"/>
        </w:rPr>
        <w:t xml:space="preserve">and such requirement, the </w:t>
      </w:r>
      <w:r>
        <w:rPr>
          <w:rFonts w:ascii="Times New Roman" w:hAnsi="Times New Roman"/>
          <w:b/>
          <w:color w:val="000000"/>
          <w:sz w:val="21"/>
        </w:rPr>
        <w:t xml:space="preserve">"Release Requirement"), </w:t>
      </w:r>
      <w:r>
        <w:rPr>
          <w:rFonts w:ascii="Times New Roman" w:hAnsi="Times New Roman"/>
          <w:color w:val="000000"/>
          <w:sz w:val="22"/>
        </w:rPr>
        <w:t>which must become effective and irrevocable no later than the 60</w:t>
      </w:r>
      <w:r>
        <w:rPr>
          <w:rFonts w:ascii="Times New Roman" w:hAnsi="Times New Roman"/>
          <w:color w:val="000000"/>
          <w:sz w:val="14"/>
        </w:rPr>
        <w:t xml:space="preserve">th </w:t>
      </w:r>
      <w:r>
        <w:rPr>
          <w:rFonts w:ascii="Times New Roman" w:hAnsi="Times New Roman"/>
          <w:color w:val="000000"/>
          <w:sz w:val="22"/>
        </w:rPr>
        <w:t xml:space="preserve">day following the Eligible Employee's Qualified Termination (the </w:t>
      </w:r>
      <w:r>
        <w:rPr>
          <w:rFonts w:ascii="Times New Roman" w:hAnsi="Times New Roman"/>
          <w:b/>
          <w:color w:val="000000"/>
          <w:sz w:val="21"/>
        </w:rPr>
        <w:t xml:space="preserve">"Release Deadline"). </w:t>
      </w:r>
      <w:r>
        <w:rPr>
          <w:rFonts w:ascii="Times New Roman" w:hAnsi="Times New Roman"/>
          <w:color w:val="000000"/>
          <w:sz w:val="22"/>
        </w:rPr>
        <w:t>If the Release does not become effective and irrevocable by the Release Deadline, the Eligible Employee will forfeit any right to severance payments or benefits under this Policy. In no event will severance payments or benefits under the Policy be paid or provided until the Release actually becomes effective and irrevocable. Notwithstanding any other payment schedule set forth in this Policy, none of the severance payments and benefits payable upon such Eligible Employee's Qualified Termination under this Policy will be paid or otherwise provided prior to the 60</w:t>
      </w:r>
      <w:r>
        <w:rPr>
          <w:rFonts w:ascii="Times New Roman" w:hAnsi="Times New Roman"/>
          <w:color w:val="000000"/>
          <w:sz w:val="14"/>
        </w:rPr>
        <w:t xml:space="preserve">th </w:t>
      </w:r>
      <w:r>
        <w:rPr>
          <w:rFonts w:ascii="Times New Roman" w:hAnsi="Times New Roman"/>
          <w:color w:val="000000"/>
          <w:sz w:val="22"/>
        </w:rPr>
        <w:t>day following the Eligible Employee's Qualified Termination. Except to the extent that payments are delayed under the paragraph below entitled "Section 409A," on the first regular payroll pay day following the 60</w:t>
      </w:r>
      <w:r>
        <w:rPr>
          <w:rFonts w:ascii="Times New Roman" w:hAnsi="Times New Roman"/>
          <w:color w:val="000000"/>
          <w:sz w:val="14"/>
        </w:rPr>
        <w:t xml:space="preserve">th </w:t>
      </w:r>
      <w:r>
        <w:rPr>
          <w:rFonts w:ascii="Times New Roman" w:hAnsi="Times New Roman"/>
          <w:color w:val="000000"/>
          <w:sz w:val="22"/>
        </w:rPr>
        <w:t xml:space="preserve">day following the Eligible Employee's Qualified Termination, the Company will pay or provide the Eligible Employee the severance payments and benefits that the Eligible Employee would otherwise have received under this Policy on or prior to such date, with the balance of such severance payments and benefits being paid or provided as originally scheduled. </w:t>
      </w:r>
    </w:p>
    <w:p>
      <w:pPr>
        <w:pStyle w:val="TextBody"/>
        <w:bidi w:val="0"/>
        <w:jc w:val="left"/>
        <w:rPr/>
      </w:pPr>
      <w:r>
        <w:rPr/>
        <w:t> </w:t>
      </w:r>
    </w:p>
    <w:p>
      <w:pPr>
        <w:pStyle w:val="TextBody"/>
        <w:bidi w:val="0"/>
        <w:spacing w:before="30" w:after="283"/>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57"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10.</w:t>
      </w:r>
    </w:p>
    <w:p>
      <w:pPr>
        <w:pStyle w:val="TextBody"/>
        <w:bidi w:val="0"/>
        <w:spacing w:before="0" w:after="0"/>
        <w:jc w:val="left"/>
        <w:rPr>
          <w:rFonts w:ascii="Times New Roman" w:hAnsi="Times New Roman"/>
          <w:b/>
          <w:color w:val="000000"/>
          <w:sz w:val="21"/>
        </w:rPr>
      </w:pPr>
      <w:r>
        <w:rPr>
          <w:rFonts w:ascii="Times New Roman" w:hAnsi="Times New Roman"/>
          <w:b/>
          <w:color w:val="000000"/>
          <w:sz w:val="21"/>
        </w:rPr>
        <w:t>Section 409A:</w:t>
      </w:r>
    </w:p>
    <w:p>
      <w:pPr>
        <w:pStyle w:val="TextBody"/>
        <w:bidi w:val="0"/>
        <w:spacing w:before="232"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2" w:after="283"/>
        <w:jc w:val="both"/>
        <w:rPr>
          <w:rFonts w:ascii="Times New Roman" w:hAnsi="Times New Roman"/>
          <w:color w:val="000000"/>
          <w:sz w:val="22"/>
        </w:rPr>
      </w:pPr>
      <w:r>
        <w:rPr>
          <w:rFonts w:ascii="Times New Roman" w:hAnsi="Times New Roman"/>
          <w:color w:val="000000"/>
          <w:sz w:val="22"/>
        </w:rPr>
        <w:t>For purposes of this Policy, no payment will be made to an Eligible Employee upon termination of his or her employment unless such termination constitutes a "separation from service" within the meaning of Code Section 409A and Section l.409A-l(h) of the regulations promulgated thereunder.</w:t>
      </w:r>
    </w:p>
    <w:p>
      <w:pPr>
        <w:pStyle w:val="TextBody"/>
        <w:bidi w:val="0"/>
        <w:spacing w:before="12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22" w:after="283"/>
        <w:jc w:val="both"/>
        <w:rPr/>
      </w:pPr>
      <w:r>
        <w:rPr>
          <w:rFonts w:ascii="Times New Roman" w:hAnsi="Times New Roman"/>
          <w:color w:val="000000"/>
          <w:sz w:val="22"/>
        </w:rPr>
        <w:t xml:space="preserve">To the extent any payments to which an Eligible Employee becomes entitled under this Policy, or any agreement or plan referenced herein, in connection with his or her separation from service from the Company constitute deferred compensation subject to Section 409A of the Code (the </w:t>
      </w:r>
      <w:r>
        <w:rPr>
          <w:rFonts w:ascii="Times New Roman" w:hAnsi="Times New Roman"/>
          <w:b/>
          <w:color w:val="000000"/>
          <w:sz w:val="21"/>
        </w:rPr>
        <w:t xml:space="preserve">''Deferred Payments"), </w:t>
      </w:r>
      <w:r>
        <w:rPr>
          <w:rFonts w:ascii="Times New Roman" w:hAnsi="Times New Roman"/>
          <w:color w:val="000000"/>
          <w:sz w:val="22"/>
        </w:rPr>
        <w:t>such payments will be paid on, or in the case of installments, will not commence, until the 60</w:t>
      </w:r>
      <w:r>
        <w:rPr>
          <w:rFonts w:ascii="Times New Roman" w:hAnsi="Times New Roman"/>
          <w:color w:val="000000"/>
          <w:sz w:val="14"/>
        </w:rPr>
        <w:t xml:space="preserve">th </w:t>
      </w:r>
      <w:r>
        <w:rPr>
          <w:rFonts w:ascii="Times New Roman" w:hAnsi="Times New Roman"/>
          <w:color w:val="000000"/>
          <w:sz w:val="22"/>
        </w:rPr>
        <w:t>day following the Eligible Employee's separation from service, or if later, such time as required by Section 10.c. Except as required by 10.c., any installment payments that would have been made to an Eligible Employee during the 60 day period immediately following such Eligible Employee's separation from service but for the preceding sentence will be paid to Eligible Employee on or around the 60</w:t>
      </w:r>
      <w:r>
        <w:rPr>
          <w:rFonts w:ascii="Times New Roman" w:hAnsi="Times New Roman"/>
          <w:color w:val="000000"/>
          <w:sz w:val="14"/>
        </w:rPr>
        <w:t xml:space="preserve">th </w:t>
      </w:r>
      <w:r>
        <w:rPr>
          <w:rFonts w:ascii="Times New Roman" w:hAnsi="Times New Roman"/>
          <w:color w:val="000000"/>
          <w:sz w:val="22"/>
        </w:rPr>
        <w:t>day following Eligible Employee's separation from service and the remaining payments will be made as provided herein.</w:t>
      </w:r>
    </w:p>
    <w:p>
      <w:pPr>
        <w:pStyle w:val="TextBody"/>
        <w:bidi w:val="0"/>
        <w:spacing w:before="123"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23" w:after="283"/>
        <w:jc w:val="both"/>
        <w:rPr>
          <w:rFonts w:ascii="Times New Roman" w:hAnsi="Times New Roman"/>
          <w:color w:val="000000"/>
          <w:sz w:val="22"/>
        </w:rPr>
      </w:pPr>
      <w:r>
        <w:rPr>
          <w:rFonts w:ascii="Times New Roman" w:hAnsi="Times New Roman"/>
          <w:color w:val="000000"/>
          <w:sz w:val="22"/>
        </w:rPr>
        <w:t>If an Eligible Employee is deemed at the time of such separation from service to be a "specified employee" under Code Section 409A, then any Deferred Payment(s) shall not be made or commence until the earliest of (i) the expiration of the 6 month period measured from the date of his or her "separation from service" (as such term is at the time defined in Treasury Regulations under Code Section 409A) with the Company or (ii) the date of his or her death following such separation from service; provided, however, that such deferral shall only be effected to the extent required to avoid adverse tax treatment to the Eligible Employee, including (without limitation) the additional 20% tax for which the Eligible Employee would otherwise be liable under Code Section 409A(a)(l)(B) in the absence of such deferral. Upon the expiration of the applicable deferral period, any payments which would have otherwise been made during that period (whether in a single sum or in installments) in the absence of this paragraph shall be paid to the Eligible Employee or his or her beneficiary in one lump sum.</w:t>
      </w:r>
    </w:p>
    <w:p>
      <w:pPr>
        <w:pStyle w:val="TextBody"/>
        <w:bidi w:val="0"/>
        <w:spacing w:before="126"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126" w:after="120"/>
        <w:jc w:val="both"/>
        <w:rPr>
          <w:rFonts w:ascii="Times New Roman" w:hAnsi="Times New Roman"/>
          <w:color w:val="000000"/>
          <w:sz w:val="22"/>
        </w:rPr>
      </w:pPr>
      <w:r>
        <w:rPr>
          <w:rFonts w:ascii="Times New Roman" w:hAnsi="Times New Roman"/>
          <w:color w:val="000000"/>
          <w:sz w:val="22"/>
        </w:rPr>
        <w:t>The Company reserves the right to amend the Policy as it deems necessary or advisable, in its sole discretion and without the consent of any Eligible Employee or any other individual, to comply with any provision required to avoid the imposition of the additional tax imposed under Code Section 409A or to otherwise avoid income recognition under Code Section 409A prior to the actual payment of any benefits or imposition of any additional tax. Each payment and benefit payable hereunder is intended to constitute a separate payment for purposes of Section l.409A-2(b)(2) of the Treasury Regulations. In no event will the Company reimburse an Eligible Employee for any taxes that may be imposed on the Eligible Employee as a result of Section 409A.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11.</w:t>
      </w:r>
    </w:p>
    <w:p>
      <w:pPr>
        <w:pStyle w:val="TextBody"/>
        <w:bidi w:val="0"/>
        <w:jc w:val="left"/>
        <w:rPr>
          <w:rFonts w:ascii="Times New Roman" w:hAnsi="Times New Roman"/>
          <w:b/>
          <w:color w:val="000000"/>
          <w:sz w:val="21"/>
        </w:rPr>
      </w:pPr>
      <w:r>
        <w:rPr>
          <w:rFonts w:ascii="Times New Roman" w:hAnsi="Times New Roman"/>
          <w:b/>
          <w:color w:val="000000"/>
          <w:sz w:val="21"/>
        </w:rPr>
        <w:t>Parachute Payments:</w:t>
      </w:r>
    </w:p>
    <w:p>
      <w:pPr>
        <w:pStyle w:val="TextBody"/>
        <w:bidi w:val="0"/>
        <w:spacing w:before="34"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Reduction of Severance Benefits.</w:t>
      </w:r>
      <w:r>
        <w:rPr>
          <w:color w:val="000000"/>
        </w:rPr>
        <w:t xml:space="preserve"> </w:t>
      </w:r>
      <w:r>
        <w:rPr>
          <w:rFonts w:ascii="Times New Roman" w:hAnsi="Times New Roman"/>
          <w:color w:val="000000"/>
          <w:sz w:val="22"/>
        </w:rPr>
        <w:t xml:space="preserve">Notwithstanding anything set forth herein to the contrary, if any payment or benefit that an Eligible Employee would receive from the Company or any other party whether in connection with the provisions herein or otherwise (the </w:t>
      </w:r>
      <w:r>
        <w:rPr>
          <w:rFonts w:ascii="Times New Roman" w:hAnsi="Times New Roman"/>
          <w:b/>
          <w:color w:val="000000"/>
          <w:sz w:val="21"/>
        </w:rPr>
        <w:t xml:space="preserve">"Payment") </w:t>
      </w:r>
      <w:r>
        <w:rPr>
          <w:rFonts w:ascii="Times New Roman" w:hAnsi="Times New Roman"/>
          <w:color w:val="000000"/>
          <w:sz w:val="22"/>
        </w:rPr>
        <w:t xml:space="preserve">would (i) constitute a "parachute payment" within the meaning of Section 280G of the Internal Revenue Code of 1986, as amended (the </w:t>
      </w:r>
      <w:r>
        <w:rPr>
          <w:rFonts w:ascii="Times New Roman" w:hAnsi="Times New Roman"/>
          <w:b/>
          <w:color w:val="000000"/>
          <w:sz w:val="21"/>
        </w:rPr>
        <w:t xml:space="preserve">"Code"), </w:t>
      </w:r>
      <w:r>
        <w:rPr>
          <w:rFonts w:ascii="Times New Roman" w:hAnsi="Times New Roman"/>
          <w:color w:val="000000"/>
          <w:sz w:val="22"/>
        </w:rPr>
        <w:t>and (ii) but for this sentence, be subject to the excise tax imposed by Section 4999 of the Code (the</w:t>
      </w:r>
    </w:p>
    <w:p>
      <w:pPr>
        <w:pStyle w:val="TextBody"/>
        <w:bidi w:val="0"/>
        <w:jc w:val="left"/>
        <w:rPr/>
      </w:pPr>
      <w:r>
        <w:rPr/>
        <w:t> </w:t>
      </w:r>
    </w:p>
    <w:p>
      <w:pPr>
        <w:pStyle w:val="TextBody"/>
        <w:bidi w:val="0"/>
        <w:spacing w:before="30" w:after="283"/>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0"/>
        </w:rPr>
      </w:pPr>
      <w:r>
        <w:rPr>
          <w:rFonts w:ascii="Times New Roman" w:hAnsi="Times New Roman"/>
          <w:b/>
          <w:color w:val="000000"/>
          <w:sz w:val="21"/>
        </w:rPr>
        <w:t xml:space="preserve">"Excise Tax"), </w:t>
      </w:r>
      <w:r>
        <w:rPr>
          <w:rFonts w:ascii="Times New Roman" w:hAnsi="Times New Roman"/>
          <w:color w:val="000000"/>
          <w:sz w:val="22"/>
        </w:rPr>
        <w:t>then such Payment will be equal to the Best Results Amount. The "Best Results Amount'' will be either (x) the full amount of such Payment or (y) such lesser amount as would result in no portion of the Payment being subject to the Excise Tax, whichever of the foregoing amounts, taking into account the applicable federal, state and local employment taxes, income taxes and the Excise Tax, results in the Eligible Employee's receipt, on an after-tax basis, of the greater amount notwithstanding that all or some portion of the Payment may be subject to the Excise Tax. If a reduction in payments or benefits constituting parachute payments is necessary so that the Payment equals the Best Results Amount, reduction will occur in the following order: reduction of cash payments; cancellation of awards granted "contingent on a change in ownership or control" (within the meaning of Code Section 280G); cancellation of accelerated vesting of stock awards; and reduction of employee benefits. In the event that acceleration of vesting of stock award compensation is to be reduced, such acceleration of vesting will be cancelled in the reverse order of the date of grant of the Eligible Employee's equity awards.</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3" w:after="283"/>
        <w:jc w:val="both"/>
        <w:rPr/>
      </w:pPr>
      <w:r>
        <w:rPr>
          <w:rFonts w:ascii="Times New Roman" w:hAnsi="Times New Roman"/>
          <w:color w:val="000000"/>
          <w:sz w:val="22"/>
          <w:u w:val="single"/>
        </w:rPr>
        <w:t>Determination of Excise Tax Liability.</w:t>
      </w:r>
      <w:r>
        <w:rPr>
          <w:color w:val="000000"/>
        </w:rPr>
        <w:t xml:space="preserve"> </w:t>
      </w:r>
      <w:r>
        <w:rPr>
          <w:rFonts w:ascii="Times New Roman" w:hAnsi="Times New Roman"/>
          <w:color w:val="000000"/>
          <w:sz w:val="22"/>
        </w:rPr>
        <w:t>The Company will select a professional services firm to make all of the determinations required to be made under these paragraphs relating to parachute payments. The Company will request that firm provide detailed supporting calculations both to the Company and the Eligible Employee prior to the date on which the event that triggers the Payment occurs if administratively feasible, or subsequent to such date if events occur that result in parachute payments to the Eligible Employee at that time. For purposes of making the calculations required under these paragraphs relating to parachute payments, the firm may make reasonable assumptions and approximations concerning applicable taxes and may rely on reasonable, good faith determinations concerning the application of the Code. The Company and the Eligible Employee will furnish to the firm such information and documents as the firm may reasonably request in order to make a determination under these paragraphs relating to parachute payments. The Company will bear all costs the firm may reasonably incur in connection with any calculations contemplated by these paragraphs relating to parachute payments. Any such determination by the firm will be binding upon the Company and the Eligible Employee, and the Company will have no liability to the Eligible Employee for the determinations of the firm.</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12.</w:t>
      </w:r>
    </w:p>
    <w:p>
      <w:pPr>
        <w:pStyle w:val="TextBody"/>
        <w:bidi w:val="0"/>
        <w:spacing w:before="243" w:after="283"/>
        <w:jc w:val="both"/>
        <w:rPr/>
      </w:pPr>
      <w:r>
        <w:rPr>
          <w:rFonts w:ascii="Times New Roman" w:hAnsi="Times New Roman"/>
          <w:b/>
          <w:color w:val="000000"/>
          <w:sz w:val="21"/>
        </w:rPr>
        <w:t xml:space="preserve">Administration: </w:t>
      </w:r>
      <w:r>
        <w:rPr>
          <w:rFonts w:ascii="Times New Roman" w:hAnsi="Times New Roman"/>
          <w:color w:val="000000"/>
          <w:sz w:val="22"/>
        </w:rPr>
        <w:t xml:space="preserve">The Policy will be administered by the Compensation Committee or its delegate (in each case, an </w:t>
      </w:r>
      <w:r>
        <w:rPr>
          <w:rFonts w:ascii="Times New Roman" w:hAnsi="Times New Roman"/>
          <w:b/>
          <w:color w:val="000000"/>
          <w:sz w:val="21"/>
        </w:rPr>
        <w:t xml:space="preserve">"Administrator"). </w:t>
      </w:r>
      <w:r>
        <w:rPr>
          <w:rFonts w:ascii="Times New Roman" w:hAnsi="Times New Roman"/>
          <w:color w:val="000000"/>
          <w:sz w:val="22"/>
        </w:rPr>
        <w:t>The Administrator will have full discretion to administer and interpret the Policy. Any decision made or other action taken by the Administrator with respect to the Policy and any interpretation by the Administrator of any term or condition of the Policy, or any related document, will be conclusive and binding on all persons and be given the maximum possible deference allowed by law. The Administrator is the "plan administrator" of the Policy for purposes of BRISA and will be subject to the fiduciary standards of BRISA when acting in such capacity.</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13.</w:t>
      </w:r>
    </w:p>
    <w:p>
      <w:pPr>
        <w:pStyle w:val="TextBody"/>
        <w:bidi w:val="0"/>
        <w:spacing w:before="120" w:after="283"/>
        <w:jc w:val="both"/>
        <w:rPr/>
      </w:pPr>
      <w:r>
        <w:rPr>
          <w:rFonts w:ascii="Times New Roman" w:hAnsi="Times New Roman"/>
          <w:b/>
          <w:color w:val="000000"/>
          <w:sz w:val="21"/>
        </w:rPr>
        <w:t xml:space="preserve">Exclusive Benefits: </w:t>
      </w:r>
      <w:r>
        <w:rPr>
          <w:rFonts w:ascii="Times New Roman" w:hAnsi="Times New Roman"/>
          <w:color w:val="000000"/>
          <w:sz w:val="22"/>
        </w:rPr>
        <w:t>This Policy is intended to be the only agreement between the Eligible Employee and the Company regarding any change and control or severance payments or benefits to be paid to the Eligible Employee on account of a termination of employment. Accordingly, by executing a Participation Agreement, an Eligible Employee hereby forfeits and waives any rights to any change in control or severance payments or benefits set forth in any employment agreement, offer letter, and/or equity award agreement, except as set forth in this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w:t>
      </w:r>
    </w:p>
    <w:p>
      <w:pPr>
        <w:pStyle w:val="TextBody"/>
        <w:bidi w:val="0"/>
        <w:spacing w:before="240" w:after="283"/>
        <w:jc w:val="both"/>
        <w:rPr/>
      </w:pPr>
      <w:r>
        <w:rPr>
          <w:rFonts w:ascii="Times New Roman" w:hAnsi="Times New Roman"/>
          <w:b/>
          <w:color w:val="000000"/>
          <w:sz w:val="21"/>
        </w:rPr>
        <w:t xml:space="preserve">Tax Obligations: </w:t>
      </w:r>
      <w:r>
        <w:rPr>
          <w:rFonts w:ascii="Times New Roman" w:hAnsi="Times New Roman"/>
          <w:color w:val="000000"/>
          <w:sz w:val="22"/>
        </w:rPr>
        <w:t>All payments and benefits under this Policy will be paid less applicable withholding taxes. The Company is authorized to withhold from any payments or benefits all</w:t>
      </w:r>
    </w:p>
    <w:p>
      <w:pPr>
        <w:pStyle w:val="TextBody"/>
        <w:bidi w:val="0"/>
        <w:jc w:val="left"/>
        <w:rPr/>
      </w:pPr>
      <w:r>
        <w:rPr/>
        <w:t> </w:t>
      </w:r>
    </w:p>
    <w:p>
      <w:pPr>
        <w:pStyle w:val="TextBody"/>
        <w:bidi w:val="0"/>
        <w:spacing w:before="30" w:after="283"/>
        <w:jc w:val="lef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federal, state, local and/or foreign taxes required to be withheld therefrom and any other required payroll deductions. The Company will not pay any Eligible Employee's taxes arising from or relating to any payments or benefits under this Policy. The Eligible Employee will be solely responsible for the payment of all personal tax liability that is incurred as a result of the payments and benefits received under this Policy, and the Eligible Employee will not be reimbursed by the Company for any such payments.</w:t>
      </w:r>
    </w:p>
    <w:p>
      <w:pPr>
        <w:pStyle w:val="TextBody"/>
        <w:bidi w:val="0"/>
        <w:spacing w:before="225" w:after="283"/>
        <w:jc w:val="both"/>
        <w:rPr>
          <w:rFonts w:ascii="Times New Roman" w:hAnsi="Times New Roman"/>
          <w:color w:val="000000"/>
          <w:sz w:val="22"/>
        </w:rPr>
      </w:pPr>
      <w:r>
        <w:rPr>
          <w:rFonts w:ascii="Times New Roman" w:hAnsi="Times New Roman"/>
          <w:color w:val="000000"/>
          <w:sz w:val="22"/>
        </w:rPr>
        <w:t>15.</w:t>
      </w:r>
    </w:p>
    <w:p>
      <w:pPr>
        <w:pStyle w:val="TextBody"/>
        <w:bidi w:val="0"/>
        <w:spacing w:before="225" w:after="283"/>
        <w:jc w:val="both"/>
        <w:rPr/>
      </w:pPr>
      <w:r>
        <w:rPr>
          <w:rFonts w:ascii="Times New Roman" w:hAnsi="Times New Roman"/>
          <w:b/>
          <w:color w:val="000000"/>
          <w:sz w:val="22"/>
        </w:rPr>
        <w:t xml:space="preserve">Amendment or Termination: </w:t>
      </w:r>
      <w:r>
        <w:rPr>
          <w:rFonts w:ascii="Times New Roman" w:hAnsi="Times New Roman"/>
          <w:color w:val="000000"/>
          <w:sz w:val="22"/>
        </w:rPr>
        <w:t>The Board or the Compensation Committee may amend or terminate the Policy at any time without advance notice to any Eligible Employee or other individual and without regard to the effect of the amendment or termination on any Eligible Employee or on any other individual, except that any amendment or termination of the Policy that would reduce the benefits provided hereunder or impair an Eligible Employee's eligibility under the Policy will not be effective with respect to such Eligible Employee without such Eligible Employee's prior written consent. Any action in amending or terminating the Policy will be taken in a non-fiduciary capacity.</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16.</w:t>
      </w:r>
    </w:p>
    <w:p>
      <w:pPr>
        <w:pStyle w:val="TextBody"/>
        <w:bidi w:val="0"/>
        <w:spacing w:before="243" w:after="283"/>
        <w:jc w:val="both"/>
        <w:rPr/>
      </w:pPr>
      <w:r>
        <w:rPr>
          <w:rFonts w:ascii="Times New Roman" w:hAnsi="Times New Roman"/>
          <w:b/>
          <w:color w:val="000000"/>
          <w:sz w:val="22"/>
        </w:rPr>
        <w:t xml:space="preserve">Claims Procedure: </w:t>
      </w:r>
      <w:r>
        <w:rPr>
          <w:rFonts w:ascii="Times New Roman" w:hAnsi="Times New Roman"/>
          <w:color w:val="000000"/>
          <w:sz w:val="22"/>
        </w:rPr>
        <w:t>Any Eligible Employee who believes he or she is entitled to any payment under the Policy may submit a claim in writing to the Administrator. If the claim is denied (in full or in part), the claimant will be</w:t>
      </w:r>
      <w:r>
        <w:rPr>
          <w:rFonts w:ascii="Times New Roman" w:hAnsi="Times New Roman"/>
          <w:color w:val="000000"/>
          <w:sz w:val="9"/>
        </w:rPr>
        <w:t>1</w:t>
      </w:r>
      <w:r>
        <w:rPr>
          <w:rFonts w:ascii="Times New Roman" w:hAnsi="Times New Roman"/>
          <w:color w:val="000000"/>
          <w:sz w:val="22"/>
        </w:rPr>
        <w:t>provided a written notice explaining the specific reasons for the denial and referring to the provisions of the Policy on which the denial is based. The notice will also describe any additional information needed to support the claim and the Policy's procedures for appealing the denial. The denial notice will be provided within 90 days after the claim is received. If special circumstances require an extension of time (up to 90 days), written notice of the extension will be given within the initial 90 day period. This notice of extension will indicate the special circumstances requiring the extension of time and the date by which the Administrator expects to render its decision on the claim.</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17.</w:t>
      </w:r>
    </w:p>
    <w:p>
      <w:pPr>
        <w:pStyle w:val="TextBody"/>
        <w:bidi w:val="0"/>
        <w:spacing w:before="241" w:after="283"/>
        <w:jc w:val="both"/>
        <w:rPr/>
      </w:pPr>
      <w:r>
        <w:rPr>
          <w:rFonts w:ascii="Times New Roman" w:hAnsi="Times New Roman"/>
          <w:b/>
          <w:color w:val="000000"/>
          <w:sz w:val="22"/>
        </w:rPr>
        <w:t xml:space="preserve">Appeal Procedure: </w:t>
      </w:r>
      <w:r>
        <w:rPr>
          <w:rFonts w:ascii="Times New Roman" w:hAnsi="Times New Roman"/>
          <w:color w:val="000000"/>
          <w:sz w:val="22"/>
        </w:rPr>
        <w:t>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the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Policy on which the denial is based. The notice will also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pStyle w:val="TextBody"/>
        <w:bidi w:val="0"/>
        <w:spacing w:before="246" w:after="283"/>
        <w:jc w:val="both"/>
        <w:rPr>
          <w:rFonts w:ascii="Times New Roman" w:hAnsi="Times New Roman"/>
          <w:color w:val="000000"/>
          <w:sz w:val="22"/>
        </w:rPr>
      </w:pPr>
      <w:r>
        <w:rPr>
          <w:rFonts w:ascii="Times New Roman" w:hAnsi="Times New Roman"/>
          <w:color w:val="000000"/>
          <w:sz w:val="22"/>
        </w:rPr>
        <w:t>18.</w:t>
      </w:r>
    </w:p>
    <w:p>
      <w:pPr>
        <w:pStyle w:val="TextBody"/>
        <w:bidi w:val="0"/>
        <w:spacing w:before="246" w:after="283"/>
        <w:jc w:val="both"/>
        <w:rPr/>
      </w:pPr>
      <w:r>
        <w:rPr>
          <w:rFonts w:ascii="Times New Roman" w:hAnsi="Times New Roman"/>
          <w:b/>
          <w:color w:val="000000"/>
          <w:sz w:val="22"/>
        </w:rPr>
        <w:t xml:space="preserve">Successors: </w:t>
      </w:r>
      <w:r>
        <w:rPr>
          <w:rFonts w:ascii="Times New Roman" w:hAnsi="Times New Roman"/>
          <w:color w:val="000000"/>
          <w:sz w:val="22"/>
        </w:rPr>
        <w:t>Any successor to the Company of all or substantially all of the Company's business and/or assets (whether direct or indirect and whether by purchase, merger, consolidation, liquidation or other transaction) shall assume the obligations under the Policy and agree expressly to perform the obligations under the Policy in the same manner and to the same extent as the Company would be required to perform such obligations in the absence of a succession. For all purposes under the Policy, the term "Company" will include any successor to the Company's business and/or assets which becomes bound by the terms of the Policy by operation of law, or</w:t>
      </w:r>
    </w:p>
    <w:p>
      <w:pPr>
        <w:pStyle w:val="TextBody"/>
        <w:bidi w:val="0"/>
        <w:jc w:val="left"/>
        <w:rPr/>
      </w:pPr>
      <w:r>
        <w:rPr/>
        <w:t> </w:t>
      </w:r>
    </w:p>
    <w:p>
      <w:pPr>
        <w:pStyle w:val="TextBody"/>
        <w:bidi w:val="0"/>
        <w:spacing w:before="1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otherwise. Failure of the Company to obtain such assumption and agreement prior to the effectiveness of any such succession shall be a breach of this Policy and each Participation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19.</w:t>
      </w:r>
    </w:p>
    <w:p>
      <w:pPr>
        <w:pStyle w:val="TextBody"/>
        <w:bidi w:val="0"/>
        <w:spacing w:before="240" w:after="283"/>
        <w:jc w:val="both"/>
        <w:rPr/>
      </w:pPr>
      <w:r>
        <w:rPr>
          <w:rFonts w:ascii="Times New Roman" w:hAnsi="Times New Roman"/>
          <w:b/>
          <w:color w:val="000000"/>
          <w:sz w:val="21"/>
        </w:rPr>
        <w:t xml:space="preserve">Applicable Law: </w:t>
      </w:r>
      <w:r>
        <w:rPr>
          <w:rFonts w:ascii="Times New Roman" w:hAnsi="Times New Roman"/>
          <w:color w:val="000000"/>
          <w:sz w:val="22"/>
        </w:rPr>
        <w:t>The provisions of the Policy will be construed, administered, and enforced in accordance with ERISA and, to the extent applicable, the internal substantive laws of the state of California (but not its conflict of laws provisions).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20.</w:t>
      </w:r>
    </w:p>
    <w:p>
      <w:pPr>
        <w:pStyle w:val="TextBody"/>
        <w:bidi w:val="0"/>
        <w:spacing w:before="240" w:after="283"/>
        <w:jc w:val="left"/>
        <w:rPr/>
      </w:pPr>
      <w:r>
        <w:rPr>
          <w:rFonts w:ascii="Times New Roman" w:hAnsi="Times New Roman"/>
          <w:b/>
          <w:color w:val="000000"/>
          <w:sz w:val="21"/>
        </w:rPr>
        <w:t xml:space="preserve">Definitions: </w:t>
      </w:r>
      <w:r>
        <w:rPr>
          <w:rFonts w:ascii="Times New Roman" w:hAnsi="Times New Roman"/>
          <w:color w:val="000000"/>
          <w:sz w:val="22"/>
        </w:rPr>
        <w:t>The following terms will have the following meanings for purposes of this Policy:</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7" w:after="283"/>
        <w:jc w:val="both"/>
        <w:rPr/>
      </w:pPr>
      <w:r>
        <w:rPr>
          <w:rFonts w:ascii="Times New Roman" w:hAnsi="Times New Roman"/>
          <w:b/>
          <w:color w:val="000000"/>
          <w:sz w:val="21"/>
        </w:rPr>
        <w:t xml:space="preserve">"Affiliate" </w:t>
      </w:r>
      <w:r>
        <w:rPr>
          <w:rFonts w:ascii="Times New Roman" w:hAnsi="Times New Roman"/>
          <w:color w:val="000000"/>
          <w:sz w:val="22"/>
        </w:rPr>
        <w:t>means the Company and any other parent or subsidiary corporation of the Company, as such terms are defined in Section 424(e) and (1) of the Code.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b/>
          <w:color w:val="000000"/>
          <w:sz w:val="21"/>
        </w:rPr>
        <w:t xml:space="preserve">"Base Salary" </w:t>
      </w:r>
      <w:r>
        <w:rPr>
          <w:rFonts w:ascii="Times New Roman" w:hAnsi="Times New Roman"/>
          <w:color w:val="000000"/>
          <w:sz w:val="22"/>
        </w:rPr>
        <w:t>means the Eligible Employee's annual base salary as in effect immediately prior to his or her Qualified Termination (or if the Qualified Termination is due to Good Reason based on a material reduction in base salary under Section 20.m.(ii), then the Eligible Employee's annual base salary in effect immediately prior to such reduction).</w:t>
      </w:r>
    </w:p>
    <w:p>
      <w:pPr>
        <w:pStyle w:val="TextBody"/>
        <w:bidi w:val="0"/>
        <w:spacing w:before="236"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36" w:after="283"/>
        <w:jc w:val="left"/>
        <w:rPr/>
      </w:pPr>
      <w:r>
        <w:rPr>
          <w:rFonts w:ascii="Times New Roman" w:hAnsi="Times New Roman"/>
          <w:b/>
          <w:color w:val="000000"/>
          <w:sz w:val="21"/>
        </w:rPr>
        <w:t xml:space="preserve">"Board" </w:t>
      </w:r>
      <w:r>
        <w:rPr>
          <w:rFonts w:ascii="Times New Roman" w:hAnsi="Times New Roman"/>
          <w:color w:val="000000"/>
          <w:sz w:val="22"/>
        </w:rPr>
        <w:t>means the Board of Directors of the Company.</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2" w:after="283"/>
        <w:jc w:val="left"/>
        <w:rPr/>
      </w:pPr>
      <w:r>
        <w:rPr>
          <w:rFonts w:ascii="Times New Roman" w:hAnsi="Times New Roman"/>
          <w:b/>
          <w:color w:val="000000"/>
          <w:sz w:val="21"/>
        </w:rPr>
        <w:t xml:space="preserve">"Bonus Severance" </w:t>
      </w:r>
      <w:r>
        <w:rPr>
          <w:rFonts w:ascii="Times New Roman" w:hAnsi="Times New Roman"/>
          <w:color w:val="000000"/>
          <w:sz w:val="22"/>
        </w:rPr>
        <w:t>means the severance payments set forth in Section 6.</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7" w:after="283"/>
        <w:jc w:val="both"/>
        <w:rPr/>
      </w:pPr>
      <w:r>
        <w:rPr>
          <w:rFonts w:ascii="Times New Roman" w:hAnsi="Times New Roman"/>
          <w:b/>
          <w:color w:val="000000"/>
          <w:sz w:val="21"/>
        </w:rPr>
        <w:t xml:space="preserve">"Cause" </w:t>
      </w:r>
      <w:r>
        <w:rPr>
          <w:rFonts w:ascii="Times New Roman" w:hAnsi="Times New Roman"/>
          <w:color w:val="000000"/>
          <w:sz w:val="22"/>
        </w:rPr>
        <w:t xml:space="preserve">means (i) the Eligible Employee's willful and repeated failure, in the reasonable judgment of the Board, to substantially perform his or her assigned duties or responsibility as an employee as directed or assigned by the Board (other than the Eligible Employee's failure resulting from a Disability); (ii) the Eligible Employee engaging in intentional illegal conduct that was or is materially injurious to the Company or its subsidiaries (the </w:t>
      </w:r>
      <w:r>
        <w:rPr>
          <w:rFonts w:ascii="Times New Roman" w:hAnsi="Times New Roman"/>
          <w:b/>
          <w:color w:val="000000"/>
          <w:sz w:val="21"/>
        </w:rPr>
        <w:t xml:space="preserve">"Company Group") </w:t>
      </w:r>
      <w:r>
        <w:rPr>
          <w:rFonts w:ascii="Times New Roman" w:hAnsi="Times New Roman"/>
          <w:color w:val="000000"/>
          <w:sz w:val="22"/>
        </w:rPr>
        <w:t>or affiliates; (iii) the Eligible Employee's knowing violation of a federal or state law or regulation directly or indirectly applicable to the business of the Company Group or its affiliates, which violation was or is reasonably likely to be injurious to the Company Group or its affiliates; (iv) the Eligible Employee's material breach of the terms of any confidentiality agreement or invention assignment agreement between the Eligible Employee and the Company Group (or any affiliate); or (v) the Eligible Employee being convicted of, or entering a plea of guilty or nolo contendere to, a felony or committing any act of moral turpitude, dishonesty, or fraud against, or the misappropriation of material property belonging to, the Company Group or its affiliates. The foregoing definition does not in any way limit the Company's ability to terminate the Eligible Employee's employment at any time, and the term "Company" will be interpreted to include any subsidiary, parent, affiliate, or any successor thereto, if appropriate.</w:t>
      </w:r>
    </w:p>
    <w:p>
      <w:pPr>
        <w:pStyle w:val="TextBody"/>
        <w:bidi w:val="0"/>
        <w:spacing w:before="248"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8" w:after="283"/>
        <w:jc w:val="left"/>
        <w:rPr/>
      </w:pPr>
      <w:r>
        <w:rPr>
          <w:rFonts w:ascii="Times New Roman" w:hAnsi="Times New Roman"/>
          <w:b/>
          <w:color w:val="000000"/>
          <w:sz w:val="21"/>
        </w:rPr>
        <w:t xml:space="preserve">"Change in Control" </w:t>
      </w:r>
      <w:r>
        <w:rPr>
          <w:rFonts w:ascii="Times New Roman" w:hAnsi="Times New Roman"/>
          <w:color w:val="000000"/>
          <w:sz w:val="22"/>
        </w:rPr>
        <w:t>means the occurrence of any of the following events: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1" w:after="283"/>
        <w:jc w:val="both"/>
        <w:rPr/>
      </w:pPr>
      <w:r>
        <w:rPr>
          <w:rFonts w:ascii="Times New Roman" w:hAnsi="Times New Roman"/>
          <w:color w:val="000000"/>
          <w:sz w:val="22"/>
        </w:rPr>
        <w:t xml:space="preserve">A change in the ownership of the Company which occurs on the date that any one person, or more than one person acting as a group </w:t>
      </w:r>
      <w:r>
        <w:rPr>
          <w:rFonts w:ascii="Times New Roman" w:hAnsi="Times New Roman"/>
          <w:b/>
          <w:color w:val="000000"/>
          <w:sz w:val="21"/>
        </w:rPr>
        <w:t xml:space="preserve">("Person"), </w:t>
      </w:r>
      <w:r>
        <w:rPr>
          <w:rFonts w:ascii="Times New Roman" w:hAnsi="Times New Roman"/>
          <w:color w:val="000000"/>
          <w:sz w:val="22"/>
        </w:rPr>
        <w:t>acquires ownership of the stock of the Company that, with the stock held by such Person, constitutes more than 50% of the total voting power of the stock of the Company; provided, that for this subsection, the acquisition of additional stock by any one Person, who prior to such acquisition is considered to own more than 50% of the total voting power of the stock of the Company will not be considered a Change in Control and provided, further, that any change in the ownership of the stock of the Company as a result of a private financing of the Company that is</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Section 20(f)(i).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 change in the effective control of the Company which occurs on the date a majority of members of the Board is replaced during any 12 month period by members of the Board whose appointment or election is not endorsed by a majority of the members of the Board prior to the appointment or election. For purposes of this Section 20(f)(ii), if any Person is considered to be in effective control of the Company, the acquisition of additional control of the Company by the same Person will not be considered a Change in Control; or</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 change in the ownership of a substantial portion of the Company's assets which occurs on the date that any Person acquires (or has acquired during the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that for this Section 20(f)(iii), the following will not constitute a change in the ownership of a substantial portion of the Company's assets:</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a transfer to an entity controlled by the Company's stockholders immediately after the transfer, or</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a transfer of assets by the Company to:</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a stockholder of the Company (immediately before the asset transfer) in exchange for or with respect to the Company's stock,</w:t>
      </w:r>
    </w:p>
    <w:p>
      <w:pPr>
        <w:pStyle w:val="TextBody"/>
        <w:bidi w:val="0"/>
        <w:spacing w:before="228"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28" w:after="283"/>
        <w:jc w:val="both"/>
        <w:rPr>
          <w:rFonts w:ascii="Times New Roman" w:hAnsi="Times New Roman"/>
          <w:color w:val="000000"/>
          <w:sz w:val="22"/>
        </w:rPr>
      </w:pPr>
      <w:r>
        <w:rPr>
          <w:rFonts w:ascii="Times New Roman" w:hAnsi="Times New Roman"/>
          <w:color w:val="000000"/>
          <w:sz w:val="22"/>
        </w:rPr>
        <w:t>an entity, 50% or more of the total value or voting power of which is owned, directly or indirectly, by the Company,</w:t>
      </w:r>
    </w:p>
    <w:p>
      <w:pPr>
        <w:pStyle w:val="TextBody"/>
        <w:bidi w:val="0"/>
        <w:spacing w:before="228"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28" w:after="283"/>
        <w:jc w:val="both"/>
        <w:rPr>
          <w:rFonts w:ascii="Times New Roman" w:hAnsi="Times New Roman"/>
          <w:color w:val="000000"/>
          <w:sz w:val="22"/>
        </w:rPr>
      </w:pPr>
      <w:r>
        <w:rPr>
          <w:rFonts w:ascii="Times New Roman" w:hAnsi="Times New Roman"/>
          <w:color w:val="000000"/>
          <w:sz w:val="22"/>
        </w:rPr>
        <w:t>a Person, that owns, directly or indirectly, 50% or more of the total value or voting power of all the outstanding stock of the Company, or</w:t>
      </w:r>
    </w:p>
    <w:p>
      <w:pPr>
        <w:pStyle w:val="TextBody"/>
        <w:bidi w:val="0"/>
        <w:spacing w:before="233"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3" w:after="283"/>
        <w:jc w:val="both"/>
        <w:rPr>
          <w:rFonts w:ascii="Times New Roman" w:hAnsi="Times New Roman"/>
          <w:color w:val="000000"/>
          <w:sz w:val="22"/>
        </w:rPr>
      </w:pPr>
      <w:r>
        <w:rPr>
          <w:rFonts w:ascii="Times New Roman" w:hAnsi="Times New Roman"/>
          <w:color w:val="000000"/>
          <w:sz w:val="22"/>
        </w:rPr>
        <w:t>an entity, at least 50% of the total value or voting power of which is owned, directly or indirectly, by a Person described in Section 20(f)(iii)(2)(a) to Section 20(f)(iii)(2)(a).</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this definition, gross fair market value means the value of the assets of the Company, or the value of the assets being disposed of, determined without regard to any liabilities associated with such assets.</w:t>
      </w:r>
    </w:p>
    <w:p>
      <w:pPr>
        <w:pStyle w:val="TextBody"/>
        <w:bidi w:val="0"/>
        <w:spacing w:before="17"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For purposes of this Section 20(f)(iii), persons will be considered to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20(f).</w:t>
      </w:r>
    </w:p>
    <w:p>
      <w:pPr>
        <w:pStyle w:val="TextBody"/>
        <w:bidi w:val="0"/>
        <w:spacing w:before="15"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iv.</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A transaction will not be a Change in Control:</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unless the transaction qualifies as a change in control event within the meaning of Code Section 409A; or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if its primary purpose is to (1) change the jurisdiction of the Company's incorporation, or (2) create a holding company owned in substantially the same proportions by the persons who held the Company's securities immediately before such transaction.</w:t>
      </w:r>
    </w:p>
    <w:p>
      <w:pPr>
        <w:pStyle w:val="TextBody"/>
        <w:bidi w:val="0"/>
        <w:spacing w:before="231"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31" w:after="283"/>
        <w:jc w:val="both"/>
        <w:rPr/>
      </w:pPr>
      <w:r>
        <w:rPr>
          <w:rFonts w:ascii="Times New Roman" w:hAnsi="Times New Roman"/>
          <w:b/>
          <w:color w:val="000000"/>
          <w:sz w:val="21"/>
        </w:rPr>
        <w:t xml:space="preserve">"Change in Control Period" </w:t>
      </w:r>
      <w:r>
        <w:rPr>
          <w:rFonts w:ascii="Times New Roman" w:hAnsi="Times New Roman"/>
          <w:color w:val="000000"/>
          <w:sz w:val="22"/>
        </w:rPr>
        <w:t>means the period beginning on a Change in Control and ending 12 months following a Change in Control.</w:t>
      </w:r>
    </w:p>
    <w:p>
      <w:pPr>
        <w:pStyle w:val="TextBody"/>
        <w:bidi w:val="0"/>
        <w:spacing w:before="224"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24" w:after="283"/>
        <w:jc w:val="both"/>
        <w:rPr/>
      </w:pPr>
      <w:r>
        <w:rPr>
          <w:rFonts w:ascii="Times New Roman" w:hAnsi="Times New Roman"/>
          <w:b/>
          <w:color w:val="000000"/>
          <w:sz w:val="21"/>
        </w:rPr>
        <w:t xml:space="preserve">"COBRA" </w:t>
      </w:r>
      <w:r>
        <w:rPr>
          <w:rFonts w:ascii="Times New Roman" w:hAnsi="Times New Roman"/>
          <w:color w:val="000000"/>
          <w:sz w:val="22"/>
        </w:rPr>
        <w:t>means the Consolidated Omnibus Budget Reconciliation Act of 1985, as amended.</w:t>
      </w:r>
    </w:p>
    <w:p>
      <w:pPr>
        <w:pStyle w:val="TextBody"/>
        <w:bidi w:val="0"/>
        <w:spacing w:before="228" w:after="283"/>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19"/>
        </w:rPr>
        <w:t xml:space="preserve">. </w:t>
      </w:r>
      <w:r>
        <w:rPr>
          <w:rFonts w:ascii="Times New Roman" w:hAnsi="Times New Roman"/>
          <w:b/>
          <w:color w:val="000000"/>
          <w:sz w:val="21"/>
        </w:rPr>
        <w:t xml:space="preserve">"COBRA Benefit" </w:t>
      </w:r>
      <w:r>
        <w:rPr>
          <w:rFonts w:ascii="Times New Roman" w:hAnsi="Times New Roman"/>
          <w:color w:val="000000"/>
          <w:sz w:val="22"/>
        </w:rPr>
        <w:t>means the COBRA premium payments and COBRA Replacement Payments set forth in Section 4.</w:t>
      </w:r>
    </w:p>
    <w:p>
      <w:pPr>
        <w:pStyle w:val="TextBody"/>
        <w:bidi w:val="0"/>
        <w:spacing w:before="243" w:after="283"/>
        <w:jc w:val="left"/>
        <w:rPr>
          <w:rFonts w:ascii="Times New Roman" w:hAnsi="Times New Roman"/>
          <w:b/>
          <w:color w:val="000000"/>
          <w:sz w:val="21"/>
        </w:rPr>
      </w:pPr>
      <w:r>
        <w:rPr>
          <w:rFonts w:ascii="Times New Roman" w:hAnsi="Times New Roman"/>
          <w:b/>
          <w:color w:val="000000"/>
          <w:sz w:val="21"/>
        </w:rPr>
        <w:t>j.</w:t>
      </w:r>
    </w:p>
    <w:p>
      <w:pPr>
        <w:pStyle w:val="TextBody"/>
        <w:bidi w:val="0"/>
        <w:spacing w:before="243" w:after="283"/>
        <w:jc w:val="left"/>
        <w:rPr/>
      </w:pPr>
      <w:r>
        <w:rPr>
          <w:rFonts w:ascii="Times New Roman" w:hAnsi="Times New Roman"/>
          <w:b/>
          <w:color w:val="000000"/>
          <w:sz w:val="21"/>
        </w:rPr>
        <w:t xml:space="preserve">"Code" </w:t>
      </w:r>
      <w:r>
        <w:rPr>
          <w:rFonts w:ascii="Times New Roman" w:hAnsi="Times New Roman"/>
          <w:color w:val="000000"/>
          <w:sz w:val="22"/>
        </w:rPr>
        <w:t>means the Internal Revenue Code of 1986, as amended.</w:t>
      </w:r>
    </w:p>
    <w:p>
      <w:pPr>
        <w:pStyle w:val="TextBody"/>
        <w:bidi w:val="0"/>
        <w:spacing w:before="237" w:after="283"/>
        <w:jc w:val="both"/>
        <w:rPr>
          <w:rFonts w:ascii="Times New Roman" w:hAnsi="Times New Roman"/>
          <w:b/>
          <w:color w:val="000000"/>
          <w:sz w:val="21"/>
        </w:rPr>
      </w:pPr>
      <w:r>
        <w:rPr>
          <w:rFonts w:ascii="Times New Roman" w:hAnsi="Times New Roman"/>
          <w:b/>
          <w:color w:val="000000"/>
          <w:sz w:val="21"/>
        </w:rPr>
        <w:t>k.</w:t>
      </w:r>
    </w:p>
    <w:p>
      <w:pPr>
        <w:pStyle w:val="TextBody"/>
        <w:bidi w:val="0"/>
        <w:spacing w:before="237" w:after="283"/>
        <w:jc w:val="both"/>
        <w:rPr/>
      </w:pPr>
      <w:r>
        <w:rPr>
          <w:rFonts w:ascii="Times New Roman" w:hAnsi="Times New Roman"/>
          <w:b/>
          <w:color w:val="000000"/>
          <w:sz w:val="21"/>
        </w:rPr>
        <w:t xml:space="preserve">"Disability" </w:t>
      </w:r>
      <w:r>
        <w:rPr>
          <w:rFonts w:ascii="Times New Roman" w:hAnsi="Times New Roman"/>
          <w:color w:val="000000"/>
          <w:sz w:val="22"/>
        </w:rPr>
        <w:t>means a total and permanent disability as defined in Section 22(e)(3) of the Code.</w:t>
      </w:r>
    </w:p>
    <w:p>
      <w:pPr>
        <w:pStyle w:val="TextBody"/>
        <w:bidi w:val="0"/>
        <w:spacing w:before="228" w:after="283"/>
        <w:jc w:val="left"/>
        <w:rPr>
          <w:rFonts w:ascii="Times New Roman" w:hAnsi="Times New Roman"/>
          <w:color w:val="000000"/>
          <w:sz w:val="23"/>
        </w:rPr>
      </w:pPr>
      <w:r>
        <w:rPr>
          <w:rFonts w:ascii="Times New Roman" w:hAnsi="Times New Roman"/>
          <w:color w:val="000000"/>
          <w:sz w:val="23"/>
        </w:rPr>
        <w:t>I.</w:t>
      </w:r>
    </w:p>
    <w:p>
      <w:pPr>
        <w:pStyle w:val="TextBody"/>
        <w:bidi w:val="0"/>
        <w:spacing w:before="228" w:after="283"/>
        <w:jc w:val="left"/>
        <w:rPr/>
      </w:pPr>
      <w:r>
        <w:rPr>
          <w:rFonts w:ascii="Times New Roman" w:hAnsi="Times New Roman"/>
          <w:b/>
          <w:color w:val="000000"/>
          <w:sz w:val="21"/>
        </w:rPr>
        <w:t xml:space="preserve">"Equity Benefits" </w:t>
      </w:r>
      <w:r>
        <w:rPr>
          <w:rFonts w:ascii="Times New Roman" w:hAnsi="Times New Roman"/>
          <w:color w:val="000000"/>
          <w:sz w:val="22"/>
        </w:rPr>
        <w:t>means the equity award acceleration benefits set forth in Section 5.</w:t>
      </w:r>
    </w:p>
    <w:p>
      <w:pPr>
        <w:pStyle w:val="TextBody"/>
        <w:bidi w:val="0"/>
        <w:spacing w:before="83"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w:t>
      </w:r>
    </w:p>
    <w:p>
      <w:pPr>
        <w:pStyle w:val="TextBody"/>
        <w:bidi w:val="0"/>
        <w:jc w:val="both"/>
        <w:rPr/>
      </w:pPr>
      <w:r>
        <w:rPr>
          <w:rFonts w:ascii="Times New Roman" w:hAnsi="Times New Roman"/>
          <w:b/>
          <w:color w:val="000000"/>
          <w:sz w:val="21"/>
        </w:rPr>
        <w:t xml:space="preserve">"Good Reason" </w:t>
      </w:r>
      <w:r>
        <w:rPr>
          <w:rFonts w:ascii="Times New Roman" w:hAnsi="Times New Roman"/>
          <w:color w:val="000000"/>
          <w:sz w:val="22"/>
        </w:rPr>
        <w:t>means the Eligible Employee's resignation due to the occurrence of any of the following conditions which occurs without the Eligible Employee's written consent, provided that the requirements regarding advance notice and an opportunity to cure set forth below are satisfied: (i) a material reduction in the Eligible Employee's Salary (meaning a reduction of at least 10% of the Eligible Employee's Base Salary), except where there is a reduction applicable to the Company's management team generally; (ii) a material reduction of the Eligible Employee's duties, authorities, or responsibilities relative to the Eligible Employee's duties, authorities, or responsibilities in effect immediately prior to the reduction; or (iii) a change by more than 50 miles in the geographic location at which the Eligible Employee must perform services; provided, however, that no condition described herein will constitute "Good Reason" for purposes of this Agreement unless (1) the Eligible Employee will have first provided written notice to the Board of the existence of the condition within 90 days of the initial existence of such Good Reason condition; (2) the Board will have failed to remedy the condition within 30 days following the receipt of</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such notice (the "Cure Period"); (3) the Eligible Employee must cooperate in good faith with any efforts by the Company to remedy the Good Reason condition; (4) the Good Reason condition must continue to exist upon completion of the Cure Period; and (5) the date of termination of employment occurs no more than 30 days after the end of the Cure Period. In no instance will a termination by the Eligible Employee be deemed to be for Good Reason for purposes of this Agreement if it becomes effective more than 12 months following the initial existence of the Good Reason condition.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41" w:after="283"/>
        <w:jc w:val="both"/>
        <w:rPr/>
      </w:pPr>
      <w:r>
        <w:rPr>
          <w:rFonts w:ascii="Times New Roman" w:hAnsi="Times New Roman"/>
          <w:b/>
          <w:color w:val="000000"/>
          <w:sz w:val="21"/>
        </w:rPr>
        <w:t xml:space="preserve">"Qualified Termination" </w:t>
      </w:r>
      <w:r>
        <w:rPr>
          <w:rFonts w:ascii="Times New Roman" w:hAnsi="Times New Roman"/>
          <w:color w:val="000000"/>
          <w:sz w:val="22"/>
        </w:rPr>
        <w:t>means a termination of the Eligible Employee's employment either (i) by the Company without Cause (excluding by reason of the Eligible Employee's death or Disability) or (ii) by the Executive for Good Reason, in either case, during the Change in Control Period.</w:t>
      </w:r>
    </w:p>
    <w:p>
      <w:pPr>
        <w:pStyle w:val="TextBody"/>
        <w:bidi w:val="0"/>
        <w:spacing w:before="232"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32" w:after="283"/>
        <w:jc w:val="left"/>
        <w:rPr/>
      </w:pPr>
      <w:r>
        <w:rPr>
          <w:rFonts w:ascii="Times New Roman" w:hAnsi="Times New Roman"/>
          <w:b/>
          <w:color w:val="000000"/>
          <w:sz w:val="21"/>
        </w:rPr>
        <w:t xml:space="preserve">"Salary Severance" </w:t>
      </w:r>
      <w:r>
        <w:rPr>
          <w:rFonts w:ascii="Times New Roman" w:hAnsi="Times New Roman"/>
          <w:color w:val="000000"/>
          <w:sz w:val="22"/>
        </w:rPr>
        <w:t>means the severance payments set forth in Section 3.</w:t>
      </w:r>
    </w:p>
    <w:p>
      <w:pPr>
        <w:pStyle w:val="TextBody"/>
        <w:bidi w:val="0"/>
        <w:jc w:val="left"/>
        <w:rPr/>
      </w:pPr>
      <w:r>
        <w:rPr/>
        <w:t> </w:t>
      </w:r>
    </w:p>
    <w:p>
      <w:pPr>
        <w:pStyle w:val="TextBody"/>
        <w:bidi w:val="0"/>
        <w:spacing w:before="247" w:after="283"/>
        <w:jc w:val="left"/>
        <w:rPr>
          <w:rFonts w:ascii="Times New Roman" w:hAnsi="Times New Roman"/>
          <w:b/>
          <w:color w:val="000000"/>
          <w:sz w:val="21"/>
        </w:rPr>
      </w:pPr>
      <w:r>
        <w:rPr>
          <w:rFonts w:ascii="Times New Roman" w:hAnsi="Times New Roman"/>
          <w:b/>
          <w:color w:val="000000"/>
          <w:sz w:val="21"/>
        </w:rPr>
        <w:t>21. Additional Information:</w:t>
      </w:r>
    </w:p>
    <w:p>
      <w:pPr>
        <w:pStyle w:val="TextBody"/>
        <w:bidi w:val="0"/>
        <w:spacing w:before="7" w:after="283"/>
        <w:jc w:val="left"/>
        <w:rPr/>
      </w:pPr>
      <w:r>
        <w:rPr/>
        <w:t> </w:t>
      </w:r>
    </w:p>
    <w:p>
      <w:pPr>
        <w:pStyle w:val="TextBody"/>
        <w:bidi w:val="0"/>
        <w:jc w:val="left"/>
        <w:rPr>
          <w:rFonts w:ascii="Times New Roman" w:hAnsi="Times New Roman"/>
          <w:b/>
          <w:color w:val="000000"/>
          <w:sz w:val="12"/>
        </w:rPr>
      </w:pPr>
      <w:r>
        <w:rPr>
          <w:rFonts w:ascii="Times New Roman" w:hAnsi="Times New Roman"/>
          <w:b/>
          <w:color w:val="000000"/>
          <w:sz w:val="12"/>
        </w:rPr>
      </w:r>
    </w:p>
    <w:p>
      <w:pPr>
        <w:pStyle w:val="TextBody"/>
        <w:bidi w:val="0"/>
        <w:spacing w:before="91" w:after="283"/>
        <w:jc w:val="left"/>
        <w:rPr>
          <w:rFonts w:ascii="Times New Roman" w:hAnsi="Times New Roman"/>
          <w:sz w:val="20"/>
        </w:rPr>
      </w:pPr>
      <w:r>
        <w:rPr>
          <w:rFonts w:ascii="Times New Roman" w:hAnsi="Times New Roman"/>
          <w:b/>
          <w:color w:val="000000"/>
          <w:sz w:val="21"/>
        </w:rPr>
        <w:t xml:space="preserve">Plan Name: </w:t>
      </w:r>
      <w:r>
        <w:rPr>
          <w:rFonts w:ascii="Times New Roman" w:hAnsi="Times New Roman"/>
          <w:color w:val="000000"/>
          <w:sz w:val="22"/>
        </w:rPr>
        <w:t>RxSight, Inc. Executive Change in Control and Severance Policy</w:t>
      </w:r>
    </w:p>
    <w:p>
      <w:pPr>
        <w:pStyle w:val="TextBody"/>
        <w:bidi w:val="0"/>
        <w:jc w:val="left"/>
        <w:rPr/>
      </w:pPr>
      <w:r>
        <w:rPr/>
        <w:t> </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1"/>
        </w:rPr>
        <w:t xml:space="preserve">Plan Sponsor: </w:t>
      </w:r>
      <w:r>
        <w:rPr>
          <w:rFonts w:ascii="Times New Roman" w:hAnsi="Times New Roman"/>
          <w:color w:val="000000"/>
          <w:sz w:val="22"/>
        </w:rPr>
        <w:t>RxSight, Inc.</w:t>
      </w:r>
      <w:r>
        <w:rPr>
          <w:rFonts w:ascii="Times New Roman" w:hAnsi="Times New Roman"/>
          <w:color w:val="000000"/>
          <w:sz w:val="20"/>
        </w:rPr>
        <w:t xml:space="preserve">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100 Columbia</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Aliso Viejo, California 92656</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91" w:after="283"/>
        <w:jc w:val="left"/>
        <w:rPr>
          <w:rFonts w:ascii="Times New Roman" w:hAnsi="Times New Roman"/>
          <w:sz w:val="20"/>
        </w:rPr>
      </w:pPr>
      <w:r>
        <w:rPr>
          <w:rFonts w:ascii="Times New Roman" w:hAnsi="Times New Roman"/>
          <w:b/>
          <w:color w:val="000000"/>
          <w:sz w:val="21"/>
        </w:rPr>
        <w:t xml:space="preserve">Identification Numbers: </w:t>
      </w:r>
      <w:r>
        <w:rPr>
          <w:rFonts w:ascii="Times New Roman" w:hAnsi="Times New Roman"/>
          <w:color w:val="000000"/>
          <w:sz w:val="22"/>
        </w:rPr>
        <w:t>94-3268801</w:t>
      </w:r>
    </w:p>
    <w:p>
      <w:pPr>
        <w:pStyle w:val="TextBody"/>
        <w:bidi w:val="0"/>
        <w:jc w:val="left"/>
        <w:rPr/>
      </w:pPr>
      <w:r>
        <w:rPr/>
        <w:t> </w:t>
      </w:r>
    </w:p>
    <w:p>
      <w:pPr>
        <w:pStyle w:val="TextBody"/>
        <w:bidi w:val="0"/>
        <w:spacing w:before="91" w:after="283"/>
        <w:jc w:val="left"/>
        <w:rPr>
          <w:rFonts w:ascii="Times New Roman" w:hAnsi="Times New Roman"/>
          <w:sz w:val="20"/>
        </w:rPr>
      </w:pPr>
      <w:r>
        <w:rPr>
          <w:rFonts w:ascii="Times New Roman" w:hAnsi="Times New Roman"/>
          <w:b/>
          <w:color w:val="000000"/>
          <w:sz w:val="21"/>
        </w:rPr>
        <w:t xml:space="preserve">Plan Year: </w:t>
      </w:r>
      <w:r>
        <w:rPr>
          <w:rFonts w:ascii="Times New Roman" w:hAnsi="Times New Roman"/>
          <w:color w:val="000000"/>
          <w:sz w:val="22"/>
        </w:rPr>
        <w:t>Company's Fiscal Year</w:t>
      </w:r>
      <w:r>
        <w:rPr>
          <w:rFonts w:ascii="Times New Roman" w:hAnsi="Times New Roman"/>
          <w:color w:val="000000"/>
          <w:sz w:val="20"/>
        </w:rPr>
        <w:t xml:space="preserve"> </w:t>
      </w:r>
    </w:p>
    <w:p>
      <w:pPr>
        <w:pStyle w:val="TextBody"/>
        <w:bidi w:val="0"/>
        <w:spacing w:before="91" w:after="283"/>
        <w:jc w:val="left"/>
        <w:rPr/>
      </w:pPr>
      <w:r>
        <w:rPr/>
        <w:t> </w:t>
      </w:r>
    </w:p>
    <w:p>
      <w:pPr>
        <w:pStyle w:val="TextBody"/>
        <w:bidi w:val="0"/>
        <w:spacing w:before="91" w:after="283"/>
        <w:jc w:val="left"/>
        <w:rPr>
          <w:rFonts w:ascii="Times New Roman" w:hAnsi="Times New Roman"/>
          <w:sz w:val="20"/>
        </w:rPr>
      </w:pPr>
      <w:r>
        <w:rPr>
          <w:rFonts w:ascii="Times New Roman" w:hAnsi="Times New Roman"/>
          <w:b/>
          <w:color w:val="000000"/>
          <w:sz w:val="21"/>
        </w:rPr>
        <w:t xml:space="preserve">Plan Administrator: </w:t>
      </w:r>
      <w:r>
        <w:rPr>
          <w:rFonts w:ascii="Times New Roman" w:hAnsi="Times New Roman"/>
          <w:color w:val="000000"/>
          <w:sz w:val="22"/>
        </w:rPr>
        <w:t>RxSight,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1"/>
        </w:rPr>
        <w:t xml:space="preserve">Attention: </w:t>
      </w:r>
      <w:r>
        <w:rPr>
          <w:rFonts w:ascii="Times New Roman" w:hAnsi="Times New Roman"/>
          <w:color w:val="000000"/>
          <w:sz w:val="22"/>
        </w:rPr>
        <w:t>Administrator of the RxSight,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Executive Change in Control and Severance Policy</w:t>
      </w:r>
      <w:r>
        <w:rPr>
          <w:rFonts w:ascii="Times New Roman" w:hAnsi="Times New Roman"/>
          <w:color w:val="000000"/>
          <w:sz w:val="20"/>
        </w:rPr>
        <w:t xml:space="preserve"> </w:t>
      </w:r>
    </w:p>
    <w:p>
      <w:pPr>
        <w:pStyle w:val="TextBody"/>
        <w:bidi w:val="0"/>
        <w:spacing w:before="35" w:after="283"/>
        <w:jc w:val="left"/>
        <w:rPr>
          <w:rFonts w:ascii="Times New Roman" w:hAnsi="Times New Roman"/>
          <w:color w:val="000000"/>
          <w:sz w:val="22"/>
        </w:rPr>
      </w:pPr>
      <w:r>
        <w:rPr>
          <w:rFonts w:ascii="Times New Roman" w:hAnsi="Times New Roman"/>
          <w:color w:val="000000"/>
          <w:sz w:val="22"/>
        </w:rPr>
        <w:t>100 Columbia</w:t>
      </w:r>
    </w:p>
    <w:p>
      <w:pPr>
        <w:pStyle w:val="TextBody"/>
        <w:bidi w:val="0"/>
        <w:jc w:val="left"/>
        <w:rPr>
          <w:rFonts w:ascii="Times New Roman" w:hAnsi="Times New Roman"/>
          <w:color w:val="000000"/>
          <w:sz w:val="22"/>
        </w:rPr>
      </w:pPr>
      <w:r>
        <w:rPr>
          <w:rFonts w:ascii="Times New Roman" w:hAnsi="Times New Roman"/>
          <w:color w:val="000000"/>
          <w:sz w:val="22"/>
        </w:rPr>
        <w:t>Aliso Viejo, California 92656</w:t>
      </w:r>
    </w:p>
    <w:p>
      <w:pPr>
        <w:pStyle w:val="TextBody"/>
        <w:bidi w:val="0"/>
        <w:jc w:val="left"/>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Agent for Service of</w:t>
      </w:r>
    </w:p>
    <w:p>
      <w:pPr>
        <w:pStyle w:val="TextBody"/>
        <w:bidi w:val="0"/>
        <w:spacing w:before="4" w:after="283"/>
        <w:jc w:val="left"/>
        <w:rPr>
          <w:rFonts w:ascii="Times New Roman" w:hAnsi="Times New Roman"/>
          <w:sz w:val="20"/>
        </w:rPr>
      </w:pPr>
      <w:r>
        <w:rPr>
          <w:rFonts w:ascii="Times New Roman" w:hAnsi="Times New Roman"/>
          <w:b/>
          <w:color w:val="000000"/>
          <w:sz w:val="21"/>
        </w:rPr>
        <w:t>Legal Process:</w:t>
      </w:r>
      <w:r>
        <w:rPr>
          <w:rFonts w:ascii="Times New Roman" w:hAnsi="Times New Roman"/>
          <w:color w:val="000000"/>
          <w:sz w:val="20"/>
        </w:rPr>
        <w:t xml:space="preserve"> </w:t>
      </w:r>
      <w:r>
        <w:rPr>
          <w:rFonts w:ascii="Times New Roman" w:hAnsi="Times New Roman"/>
          <w:color w:val="000000"/>
          <w:sz w:val="22"/>
        </w:rPr>
        <w:t>RxSight, Inc.</w:t>
      </w:r>
    </w:p>
    <w:p>
      <w:pPr>
        <w:pStyle w:val="TextBody"/>
        <w:bidi w:val="0"/>
        <w:spacing w:before="2" w:after="283"/>
        <w:jc w:val="left"/>
        <w:rPr>
          <w:rFonts w:ascii="Times New Roman" w:hAnsi="Times New Roman"/>
          <w:sz w:val="20"/>
        </w:rPr>
      </w:pPr>
      <w:r>
        <w:rPr>
          <w:rFonts w:ascii="Times New Roman" w:hAnsi="Times New Roman"/>
          <w:i/>
          <w:color w:val="000000"/>
          <w:sz w:val="21"/>
        </w:rPr>
        <w:t xml:space="preserve">Attention: </w:t>
      </w:r>
      <w:r>
        <w:rPr>
          <w:rFonts w:ascii="Times New Roman" w:hAnsi="Times New Roman"/>
          <w:color w:val="000000"/>
          <w:sz w:val="22"/>
        </w:rPr>
        <w:t>General Counsel</w:t>
      </w:r>
      <w:r>
        <w:rPr>
          <w:rFonts w:ascii="Times New Roman" w:hAnsi="Times New Roman"/>
          <w:color w:val="000000"/>
          <w:sz w:val="20"/>
        </w:rPr>
        <w:t xml:space="preserve"> </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I00 Columbia</w:t>
      </w:r>
    </w:p>
    <w:p>
      <w:pPr>
        <w:pStyle w:val="TextBody"/>
        <w:bidi w:val="0"/>
        <w:jc w:val="left"/>
        <w:rPr>
          <w:rFonts w:ascii="Times New Roman" w:hAnsi="Times New Roman"/>
          <w:color w:val="000000"/>
          <w:sz w:val="22"/>
        </w:rPr>
      </w:pPr>
      <w:r>
        <w:rPr>
          <w:rFonts w:ascii="Times New Roman" w:hAnsi="Times New Roman"/>
          <w:color w:val="000000"/>
          <w:sz w:val="22"/>
        </w:rPr>
        <w:t>Aliso Viejo, California 92656</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Service of process may also be made upon the Plan Administrator.</w:t>
      </w:r>
    </w:p>
    <w:p>
      <w:pPr>
        <w:pStyle w:val="TextBody"/>
        <w:bidi w:val="0"/>
        <w:jc w:val="left"/>
        <w:rPr>
          <w:rFonts w:ascii="Times New Roman" w:hAnsi="Times New Roman"/>
          <w:color w:val="000000"/>
          <w:sz w:val="12"/>
        </w:rPr>
      </w:pPr>
      <w:r>
        <w:rPr>
          <w:rFonts w:ascii="Times New Roman" w:hAnsi="Times New Roman"/>
          <w:color w:val="000000"/>
          <w:sz w:val="12"/>
        </w:rPr>
      </w:r>
    </w:p>
    <w:p>
      <w:pPr>
        <w:pStyle w:val="TextBody"/>
        <w:bidi w:val="0"/>
        <w:spacing w:before="105" w:after="283"/>
        <w:jc w:val="left"/>
        <w:rPr>
          <w:rFonts w:ascii="Times New Roman" w:hAnsi="Times New Roman"/>
          <w:sz w:val="20"/>
        </w:rPr>
      </w:pPr>
      <w:r>
        <w:rPr>
          <w:rFonts w:ascii="Times New Roman" w:hAnsi="Times New Roman"/>
          <w:b/>
          <w:color w:val="000000"/>
          <w:sz w:val="21"/>
        </w:rPr>
        <w:t xml:space="preserve">Type of Plan </w:t>
      </w:r>
      <w:r>
        <w:rPr>
          <w:rFonts w:ascii="Times New Roman" w:hAnsi="Times New Roman"/>
          <w:color w:val="000000"/>
          <w:sz w:val="21"/>
        </w:rPr>
        <w:t>S</w:t>
      </w:r>
      <w:r>
        <w:rPr>
          <w:rFonts w:ascii="Times New Roman" w:hAnsi="Times New Roman"/>
          <w:color w:val="000000"/>
          <w:sz w:val="22"/>
        </w:rPr>
        <w:t>everance Plan/Employee Welfare Benefit Plan</w:t>
      </w:r>
      <w:r>
        <w:rPr>
          <w:rFonts w:ascii="Times New Roman" w:hAnsi="Times New Roman"/>
          <w:color w:val="000000"/>
          <w:sz w:val="20"/>
        </w:rPr>
        <w:t xml:space="preserve"> </w:t>
      </w:r>
    </w:p>
    <w:p>
      <w:pPr>
        <w:pStyle w:val="TextBody"/>
        <w:bidi w:val="0"/>
        <w:spacing w:before="91" w:after="283"/>
        <w:jc w:val="left"/>
        <w:rPr>
          <w:rFonts w:ascii="Times New Roman" w:hAnsi="Times New Roman"/>
          <w:sz w:val="20"/>
        </w:rPr>
      </w:pPr>
      <w:r>
        <w:rPr>
          <w:rFonts w:ascii="Times New Roman" w:hAnsi="Times New Roman"/>
          <w:b/>
          <w:color w:val="000000"/>
          <w:sz w:val="22"/>
        </w:rPr>
        <w:t>Plan Costs</w:t>
      </w:r>
      <w:r>
        <w:rPr>
          <w:rFonts w:ascii="Times New Roman" w:hAnsi="Times New Roman"/>
          <w:color w:val="000000"/>
          <w:sz w:val="20"/>
        </w:rPr>
        <w:t xml:space="preserve"> </w:t>
      </w:r>
      <w:r>
        <w:rPr>
          <w:rFonts w:ascii="Times New Roman" w:hAnsi="Times New Roman"/>
          <w:color w:val="000000"/>
          <w:sz w:val="22"/>
        </w:rPr>
        <w:t>The cost of the Policy is paid by the Company.</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6"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22.</w:t>
      </w:r>
    </w:p>
    <w:p>
      <w:pPr>
        <w:pStyle w:val="TextBody"/>
        <w:bidi w:val="0"/>
        <w:jc w:val="left"/>
        <w:rPr>
          <w:rFonts w:ascii="Times New Roman" w:hAnsi="Times New Roman"/>
          <w:b/>
          <w:color w:val="000000"/>
          <w:sz w:val="21"/>
        </w:rPr>
      </w:pPr>
      <w:r>
        <w:rPr>
          <w:rFonts w:ascii="Times New Roman" w:hAnsi="Times New Roman"/>
          <w:b/>
          <w:color w:val="000000"/>
          <w:sz w:val="21"/>
        </w:rPr>
        <w:t>Statement of ERISA Rights: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Eligible Employees have certain rights and protections under ERISA:</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They may examine (without charge) all Policy documents, including any amendments and copies of all documents filed with the U.S. Department of Labor, such as the Policy's annual report (Internal Revenue Service Form 5500). These documents are available for review in the Company's Human Resources Department.</w:t>
      </w:r>
    </w:p>
    <w:p>
      <w:pPr>
        <w:pStyle w:val="TextBody"/>
        <w:bidi w:val="0"/>
        <w:spacing w:before="231" w:after="283"/>
        <w:jc w:val="both"/>
        <w:rPr>
          <w:rFonts w:ascii="Times New Roman" w:hAnsi="Times New Roman"/>
          <w:color w:val="000000"/>
          <w:sz w:val="22"/>
        </w:rPr>
      </w:pPr>
      <w:r>
        <w:rPr>
          <w:rFonts w:ascii="Times New Roman" w:hAnsi="Times New Roman"/>
          <w:color w:val="000000"/>
          <w:sz w:val="22"/>
        </w:rPr>
        <w:t>They may obtain copies of all Policy documents and other Policy information upon written request to the Plan Administrator. A reasonable charge may be made for such copies.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In addition to creating rights for Eligible Employees, ERISA imposes duties upon the people who are responsible for the operation of the Policy. The people who operate the Policy (called "fiduciaries") have a duty to do so prudently and in the interests of Eligible Employees. No one, including the Company or any other person, may fire or otherwise discriminate against an Eligible Employee in any way to prevent them from obtaining a benefit under the Policy or exercising rights under ERISA. If an Eligible Employee's claim for a severance benefit is denied, in whole or in part, they must receive a written explanation of the reason for the denial. An Eligible Employee has the right to have the denial of their claim reviewed. (The claim review procedure is explained above.)</w:t>
      </w:r>
    </w:p>
    <w:p>
      <w:pPr>
        <w:pStyle w:val="TextBody"/>
        <w:bidi w:val="0"/>
        <w:spacing w:before="245" w:after="283"/>
        <w:jc w:val="both"/>
        <w:rPr>
          <w:rFonts w:ascii="Times New Roman" w:hAnsi="Times New Roman"/>
          <w:color w:val="000000"/>
          <w:sz w:val="22"/>
        </w:rPr>
      </w:pPr>
      <w:r>
        <w:rPr>
          <w:rFonts w:ascii="Times New Roman" w:hAnsi="Times New Roman"/>
          <w:color w:val="000000"/>
          <w:sz w:val="22"/>
        </w:rPr>
        <w:t>Under ERISA, there are steps Eligible Employees can take to enforce the above rights. For instance, if an Eligible Employee requests materials and does not receive them within thirty</w:t>
      </w:r>
    </w:p>
    <w:p>
      <w:pPr>
        <w:pStyle w:val="TextBody"/>
        <w:bidi w:val="0"/>
        <w:jc w:val="both"/>
        <w:rPr>
          <w:rFonts w:ascii="Times New Roman" w:hAnsi="Times New Roman"/>
          <w:color w:val="000000"/>
          <w:sz w:val="22"/>
        </w:rPr>
      </w:pPr>
      <w:r>
        <w:rPr>
          <w:rFonts w:ascii="Times New Roman" w:hAnsi="Times New Roman"/>
          <w:color w:val="000000"/>
          <w:sz w:val="22"/>
        </w:rPr>
        <w:t>(30) days, they may file suit in a federal court. In such a case, the court may require the Administrator to provide the materials and to pay the Eligible Employee up to $110 a day until they receive the materials, unless the materials were not sent because of reasons beyond the control of the Plan Administrator. If an Eligible Employee has a claim which is denied or ignored, in whole or in part, he or she may file suit in a state or federal court. If it should happen that an Eligible Employee is discriminated against for asserting their rights, he or she may seek assistance from the U.S. Department of Labor, or may file suit in a federal court.</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In any case, the court will decide who will pay court costs and legal fees. If the Eligible Employee is successful, the court may order the person sued to pay these costs and fees. If the Eligible Employee loses, the court may order the Eligible Employee to pay these costs and fees, for example, if it finds that the claim is frivolous.</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If an Eligible Employee has any questions regarding the Policy, please contact the Plan Administrator. If an Eligible Employee has any questions about this statement or about their rights under ERISA, they may contact the nearest area office of the Employee Benefits Security Administration (formerly the Pension and Welfare Benefits Administration), U.S. Department of Labor, listed in the telephone directory, or the Division of Technical Assistance and Inquiries, Employee Benefits Security Administration, U.S. Department of Labor, 200 Constitution Avenue, N.W. Washington, D.C. 20210. An Eligible Employee may also obtain certain publications about their rights and responsibilities under ERISA by calling the publications hotline of the Employee Benefits Security Administration.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8" w:after="283"/>
        <w:jc w:val="left"/>
        <w:rPr/>
      </w:pPr>
      <w:r>
        <w:rPr/>
        <w:t> </w:t>
      </w:r>
    </w:p>
    <w:p>
      <w:pPr>
        <w:pStyle w:val="TextBody"/>
        <w:bidi w:val="0"/>
        <w:jc w:val="center"/>
        <w:rPr>
          <w:rFonts w:ascii="Times New Roman" w:hAnsi="Times New Roman"/>
          <w:b/>
          <w:color w:val="000000"/>
          <w:sz w:val="21"/>
          <w:u w:val="single"/>
        </w:rPr>
      </w:pPr>
      <w:r>
        <w:rPr>
          <w:rFonts w:ascii="Times New Roman" w:hAnsi="Times New Roman"/>
          <w:b/>
          <w:color w:val="000000"/>
          <w:sz w:val="21"/>
          <w:u w:val="single"/>
        </w:rPr>
        <w:t>EXHIBIT A</w:t>
      </w:r>
    </w:p>
    <w:p>
      <w:pPr>
        <w:pStyle w:val="TextBody"/>
        <w:bidi w:val="0"/>
        <w:spacing w:before="7" w:after="283"/>
        <w:jc w:val="left"/>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Executive Change in Control and Severance Policy Participation Agreement</w:t>
      </w:r>
    </w:p>
    <w:p>
      <w:pPr>
        <w:pStyle w:val="TextBody"/>
        <w:bidi w:val="0"/>
        <w:spacing w:before="1" w:after="283"/>
        <w:jc w:val="left"/>
        <w:rPr/>
      </w:pPr>
      <w:r>
        <w:rPr/>
        <w:t> </w:t>
      </w:r>
    </w:p>
    <w:p>
      <w:pPr>
        <w:pStyle w:val="TextBody"/>
        <w:bidi w:val="0"/>
        <w:jc w:val="both"/>
        <w:rPr>
          <w:rFonts w:ascii="Times New Roman" w:hAnsi="Times New Roman"/>
          <w:sz w:val="20"/>
        </w:rPr>
      </w:pPr>
      <w:r>
        <w:rPr>
          <w:rFonts w:ascii="Times New Roman" w:hAnsi="Times New Roman"/>
          <w:color w:val="000000"/>
          <w:sz w:val="21"/>
        </w:rPr>
        <w:t xml:space="preserve">This Participation Agreement </w:t>
      </w:r>
      <w:r>
        <w:rPr>
          <w:rFonts w:ascii="Times New Roman" w:hAnsi="Times New Roman"/>
          <w:b/>
          <w:color w:val="000000"/>
          <w:sz w:val="21"/>
        </w:rPr>
        <w:t xml:space="preserve">("Agreement") </w:t>
      </w:r>
      <w:r>
        <w:rPr>
          <w:rFonts w:ascii="Times New Roman" w:hAnsi="Times New Roman"/>
          <w:color w:val="000000"/>
          <w:sz w:val="21"/>
        </w:rPr>
        <w:t xml:space="preserve">is made and entered into by and between Scott Gaines on the one hand, and RxSight, Inc. (the </w:t>
      </w:r>
      <w:r>
        <w:rPr>
          <w:rFonts w:ascii="Times New Roman" w:hAnsi="Times New Roman"/>
          <w:b/>
          <w:color w:val="000000"/>
          <w:sz w:val="21"/>
        </w:rPr>
        <w:t xml:space="preserve">"Company") </w:t>
      </w:r>
      <w:r>
        <w:rPr>
          <w:rFonts w:ascii="Times New Roman" w:hAnsi="Times New Roman"/>
          <w:color w:val="000000"/>
          <w:sz w:val="21"/>
        </w:rPr>
        <w:t>on the other.</w:t>
      </w:r>
    </w:p>
    <w:p>
      <w:pPr>
        <w:pStyle w:val="TextBody"/>
        <w:bidi w:val="0"/>
        <w:spacing w:before="5" w:after="283"/>
        <w:jc w:val="left"/>
        <w:rPr/>
      </w:pPr>
      <w:r>
        <w:rPr/>
        <w:t> </w:t>
      </w:r>
    </w:p>
    <w:p>
      <w:pPr>
        <w:pStyle w:val="TextBody"/>
        <w:bidi w:val="0"/>
        <w:jc w:val="both"/>
        <w:rPr>
          <w:rFonts w:ascii="Times New Roman" w:hAnsi="Times New Roman"/>
          <w:sz w:val="20"/>
        </w:rPr>
      </w:pPr>
      <w:r>
        <w:rPr>
          <w:rFonts w:ascii="Times New Roman" w:hAnsi="Times New Roman"/>
          <w:color w:val="000000"/>
          <w:sz w:val="21"/>
        </w:rPr>
        <w:t xml:space="preserve">You have been designated as eligible to participate in the Company's Executive Change in Control and Severance Policy (the </w:t>
      </w:r>
      <w:r>
        <w:rPr>
          <w:rFonts w:ascii="Times New Roman" w:hAnsi="Times New Roman"/>
          <w:b/>
          <w:color w:val="000000"/>
          <w:sz w:val="21"/>
        </w:rPr>
        <w:t xml:space="preserve">"Policy"), </w:t>
      </w:r>
      <w:r>
        <w:rPr>
          <w:rFonts w:ascii="Times New Roman" w:hAnsi="Times New Roman"/>
          <w:color w:val="000000"/>
          <w:sz w:val="21"/>
        </w:rPr>
        <w:t>a copy of which is attached hereto, pursuant to which you are eligible to receive the applicable Salary Severance, COBRA Benefit, Equity Benefits and Bonus Severance set forth in the Policy, subject to the terms and conditions of the Policy. Capitalized terms used but not defined in this Agreement have the meanings given to them in the Policy.</w:t>
      </w:r>
    </w:p>
    <w:p>
      <w:pPr>
        <w:pStyle w:val="TextBody"/>
        <w:bidi w:val="0"/>
        <w:spacing w:before="241" w:after="283"/>
        <w:jc w:val="both"/>
        <w:rPr>
          <w:rFonts w:ascii="Times New Roman" w:hAnsi="Times New Roman"/>
          <w:color w:val="000000"/>
          <w:sz w:val="21"/>
        </w:rPr>
      </w:pPr>
      <w:r>
        <w:rPr>
          <w:rFonts w:ascii="Times New Roman" w:hAnsi="Times New Roman"/>
          <w:color w:val="000000"/>
          <w:sz w:val="21"/>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change in control or severance provisions of any offer letter, employment agreement, or equity award agreement entered into between you and the Company.</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This Agreement may be executed in counterparts, each of which will be deemed an original, but all of which together will constitute one and the same instrument.</w:t>
      </w:r>
    </w:p>
    <w:p>
      <w:pPr>
        <w:pStyle w:val="TextBody"/>
        <w:bidi w:val="0"/>
        <w:spacing w:before="1" w:after="283"/>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By its signature below, each of the parties signifies its acceptance of the terms of the Policy, in the case of the Company by its duly authorized officer effective as of the last date set forth below.</w:t>
      </w:r>
    </w:p>
    <w:p>
      <w:pPr>
        <w:pStyle w:val="TextBody"/>
        <w:bidi w:val="0"/>
        <w:jc w:val="left"/>
        <w:rPr/>
      </w:pPr>
      <w:r>
        <w:rPr/>
        <w:t> </w:t>
      </w:r>
    </w:p>
    <w:p>
      <w:pPr>
        <w:pStyle w:val="TextBody"/>
        <w:bidi w:val="0"/>
        <w:spacing w:before="42" w:after="283"/>
        <w:jc w:val="left"/>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 xml:space="preserve">RXSIGHT, INC. ELIGIBLE EMPLOYEE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By: /s/ Ron Kurtz /s/ Scott Gaines</w:t>
      </w:r>
    </w:p>
    <w:p>
      <w:pPr>
        <w:pStyle w:val="TextBody"/>
        <w:bidi w:val="0"/>
        <w:jc w:val="left"/>
        <w:rPr/>
      </w:pPr>
      <w:r>
        <w:rPr/>
        <w:t> </w:t>
      </w:r>
    </w:p>
    <w:p>
      <w:pPr>
        <w:pStyle w:val="TextBody"/>
        <w:bidi w:val="0"/>
        <w:spacing w:before="32" w:after="283"/>
        <w:jc w:val="left"/>
        <w:rPr>
          <w:rFonts w:ascii="Times New Roman" w:hAnsi="Times New Roman"/>
          <w:i/>
          <w:color w:val="000000"/>
          <w:sz w:val="24"/>
        </w:rPr>
      </w:pPr>
      <w:r>
        <w:rPr>
          <w:rFonts w:ascii="Times New Roman" w:hAnsi="Times New Roman"/>
          <w:i/>
          <w:color w:val="000000"/>
          <w:sz w:val="24"/>
        </w:rPr>
        <w:t>Date: 8/1/2022 Date: 7/29/2022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7"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55" w:after="283"/>
        <w:jc w:val="right"/>
        <w:rPr>
          <w:rFonts w:ascii="Times New Roman" w:hAnsi="Times New Roman"/>
          <w:b/>
          <w:color w:val="000000"/>
          <w:sz w:val="23"/>
        </w:rPr>
      </w:pPr>
      <w:bookmarkStart w:id="39" w:name="rxst-ex10_31.htm"/>
      <w:bookmarkStart w:id="40" w:name="ksrxstex10_31"/>
      <w:bookmarkEnd w:id="39"/>
      <w:bookmarkEnd w:id="40"/>
      <w:r>
        <w:rPr>
          <w:rFonts w:ascii="Times New Roman" w:hAnsi="Times New Roman"/>
          <w:b/>
          <w:color w:val="000000"/>
          <w:sz w:val="23"/>
        </w:rPr>
        <w:t>EXHIBIT 10.31</w:t>
      </w:r>
      <w:r>
        <w:br w:type="page"/>
      </w:r>
    </w:p>
    <w:p>
      <w:pPr>
        <w:pStyle w:val="TextBody"/>
        <w:bidi w:val="0"/>
        <w:spacing w:before="255" w:after="283"/>
        <w:jc w:val="center"/>
        <w:rPr>
          <w:rFonts w:ascii="Times New Roman" w:hAnsi="Times New Roman"/>
          <w:b/>
          <w:color w:val="000000"/>
          <w:sz w:val="23"/>
        </w:rPr>
      </w:pPr>
      <w:r>
        <w:rPr>
          <w:rFonts w:ascii="Times New Roman" w:hAnsi="Times New Roman"/>
          <w:b/>
          <w:color w:val="000000"/>
          <w:sz w:val="23"/>
        </w:rPr>
        <w:t>RXSIGHT, INC.</w:t>
      </w:r>
    </w:p>
    <w:p>
      <w:pPr>
        <w:pStyle w:val="TextBody"/>
        <w:bidi w:val="0"/>
        <w:spacing w:before="255" w:after="283"/>
        <w:jc w:val="center"/>
        <w:rPr>
          <w:rFonts w:ascii="Times New Roman" w:hAnsi="Times New Roman"/>
          <w:b/>
          <w:color w:val="000000"/>
          <w:sz w:val="23"/>
        </w:rPr>
      </w:pPr>
      <w:r>
        <w:rPr>
          <w:rFonts w:ascii="Times New Roman" w:hAnsi="Times New Roman"/>
          <w:b/>
          <w:color w:val="000000"/>
          <w:sz w:val="23"/>
        </w:rPr>
        <w:t>CHANGE IN CONTROL SEVERANCE AGREEMENT</w:t>
      </w:r>
    </w:p>
    <w:p>
      <w:pPr>
        <w:pStyle w:val="TextBody"/>
        <w:bidi w:val="0"/>
        <w:spacing w:before="249" w:after="283"/>
        <w:jc w:val="both"/>
        <w:rPr>
          <w:rFonts w:ascii="Times New Roman" w:hAnsi="Times New Roman"/>
          <w:sz w:val="20"/>
        </w:rPr>
      </w:pPr>
      <w:r>
        <w:rPr>
          <w:rFonts w:ascii="Times New Roman" w:hAnsi="Times New Roman"/>
          <w:color w:val="000000"/>
          <w:sz w:val="23"/>
        </w:rPr>
        <w:t xml:space="preserve">This Change in Control Severance Agreement (the </w:t>
      </w:r>
      <w:r>
        <w:rPr>
          <w:rFonts w:ascii="Times New Roman" w:hAnsi="Times New Roman"/>
          <w:color w:val="000000"/>
          <w:sz w:val="20"/>
        </w:rPr>
        <w:t>“</w:t>
      </w:r>
      <w:r>
        <w:rPr>
          <w:rFonts w:ascii="Times New Roman" w:hAnsi="Times New Roman"/>
          <w:b/>
          <w:color w:val="000000"/>
          <w:sz w:val="23"/>
        </w:rPr>
        <w:t xml:space="preserve">Agreement”) </w:t>
      </w:r>
      <w:r>
        <w:rPr>
          <w:rFonts w:ascii="Times New Roman" w:hAnsi="Times New Roman"/>
          <w:color w:val="000000"/>
          <w:sz w:val="23"/>
        </w:rPr>
        <w:t xml:space="preserve">is made between RxSight, Inc. (the </w:t>
      </w:r>
      <w:r>
        <w:rPr>
          <w:rFonts w:ascii="Times New Roman" w:hAnsi="Times New Roman"/>
          <w:b/>
          <w:color w:val="000000"/>
          <w:sz w:val="23"/>
        </w:rPr>
        <w:t xml:space="preserve">"Company") </w:t>
      </w:r>
      <w:r>
        <w:rPr>
          <w:rFonts w:ascii="Times New Roman" w:hAnsi="Times New Roman"/>
          <w:color w:val="000000"/>
          <w:sz w:val="23"/>
        </w:rPr>
        <w:t xml:space="preserve">and Mark Wilterding (the </w:t>
      </w:r>
      <w:r>
        <w:rPr>
          <w:rFonts w:ascii="Times New Roman" w:hAnsi="Times New Roman"/>
          <w:b/>
          <w:color w:val="000000"/>
          <w:sz w:val="23"/>
        </w:rPr>
        <w:t xml:space="preserve">"Executive"), </w:t>
      </w:r>
      <w:r>
        <w:rPr>
          <w:rFonts w:ascii="Times New Roman" w:hAnsi="Times New Roman"/>
          <w:color w:val="000000"/>
          <w:sz w:val="23"/>
        </w:rPr>
        <w:t xml:space="preserve">effective as of January 13, 2026 (the </w:t>
      </w:r>
      <w:r>
        <w:rPr>
          <w:rFonts w:ascii="Times New Roman" w:hAnsi="Times New Roman"/>
          <w:color w:val="000000"/>
          <w:sz w:val="20"/>
        </w:rPr>
        <w:t>“</w:t>
      </w:r>
      <w:r>
        <w:rPr>
          <w:rFonts w:ascii="Times New Roman" w:hAnsi="Times New Roman"/>
          <w:b/>
          <w:color w:val="000000"/>
          <w:sz w:val="23"/>
        </w:rPr>
        <w:t>Effective Date'').</w:t>
      </w:r>
    </w:p>
    <w:p>
      <w:pPr>
        <w:pStyle w:val="TextBody"/>
        <w:bidi w:val="0"/>
        <w:spacing w:before="215" w:after="283"/>
        <w:jc w:val="both"/>
        <w:rPr>
          <w:rFonts w:ascii="Times New Roman" w:hAnsi="Times New Roman"/>
          <w:color w:val="000000"/>
          <w:sz w:val="23"/>
        </w:rPr>
      </w:pPr>
      <w:r>
        <w:rPr>
          <w:rFonts w:ascii="Times New Roman" w:hAnsi="Times New Roman"/>
          <w:color w:val="000000"/>
          <w:sz w:val="23"/>
        </w:rPr>
        <w:t>This Agreement provides certain protections to the Executive in connection with a change in control of the Company or in connection with the involuntary termination of the Executive's employment under the circumstances described in this Agreement. Certain capitalized terms are defined in Section 8 to the extent not otherwise defined in other Sections of the Agreement.</w:t>
      </w:r>
    </w:p>
    <w:p>
      <w:pPr>
        <w:pStyle w:val="TextBody"/>
        <w:bidi w:val="0"/>
        <w:spacing w:before="244" w:after="283"/>
        <w:jc w:val="left"/>
        <w:rPr>
          <w:rFonts w:ascii="Times New Roman" w:hAnsi="Times New Roman"/>
          <w:color w:val="000000"/>
          <w:sz w:val="23"/>
        </w:rPr>
      </w:pPr>
      <w:r>
        <w:rPr>
          <w:rFonts w:ascii="Times New Roman" w:hAnsi="Times New Roman"/>
          <w:color w:val="000000"/>
          <w:sz w:val="23"/>
        </w:rPr>
        <w:t>The Company and the Executive agree as follows:</w:t>
      </w:r>
    </w:p>
    <w:p>
      <w:pPr>
        <w:pStyle w:val="TextBody"/>
        <w:bidi w:val="0"/>
        <w:spacing w:before="252" w:after="283"/>
        <w:jc w:val="left"/>
        <w:rPr>
          <w:rFonts w:ascii="Times New Roman" w:hAnsi="Times New Roman"/>
          <w:color w:val="000000"/>
          <w:sz w:val="23"/>
        </w:rPr>
      </w:pPr>
      <w:r>
        <w:rPr>
          <w:rFonts w:ascii="Times New Roman" w:hAnsi="Times New Roman"/>
          <w:color w:val="000000"/>
          <w:sz w:val="23"/>
        </w:rPr>
        <w:t>1.</w:t>
      </w:r>
    </w:p>
    <w:p>
      <w:pPr>
        <w:pStyle w:val="TextBody"/>
        <w:bidi w:val="0"/>
        <w:spacing w:before="252" w:after="283"/>
        <w:jc w:val="left"/>
        <w:rPr/>
      </w:pPr>
      <w:r>
        <w:rPr>
          <w:rFonts w:ascii="Times New Roman" w:hAnsi="Times New Roman"/>
          <w:color w:val="000000"/>
          <w:sz w:val="23"/>
          <w:u w:val="single"/>
        </w:rPr>
        <w:t>Term of Agreement.</w:t>
      </w:r>
      <w:r>
        <w:rPr>
          <w:color w:val="000000"/>
        </w:rPr>
        <w:t xml:space="preserve"> </w:t>
      </w:r>
      <w:r>
        <w:rPr>
          <w:rFonts w:ascii="Times New Roman" w:hAnsi="Times New Roman"/>
          <w:color w:val="000000"/>
          <w:sz w:val="23"/>
        </w:rPr>
        <w:t>This Agreement will terminate upon the date that all of the obligations of the parties hereto with respect to this Agreement have been satisfied.</w:t>
      </w:r>
    </w:p>
    <w:p>
      <w:pPr>
        <w:pStyle w:val="TextBody"/>
        <w:bidi w:val="0"/>
        <w:spacing w:before="232" w:after="283"/>
        <w:jc w:val="left"/>
        <w:rPr>
          <w:rFonts w:ascii="Times New Roman" w:hAnsi="Times New Roman"/>
          <w:color w:val="000000"/>
          <w:sz w:val="23"/>
        </w:rPr>
      </w:pPr>
      <w:r>
        <w:rPr>
          <w:rFonts w:ascii="Times New Roman" w:hAnsi="Times New Roman"/>
          <w:color w:val="000000"/>
          <w:sz w:val="23"/>
        </w:rPr>
        <w:t>2.</w:t>
      </w:r>
    </w:p>
    <w:p>
      <w:pPr>
        <w:pStyle w:val="TextBody"/>
        <w:bidi w:val="0"/>
        <w:spacing w:before="232" w:after="283"/>
        <w:jc w:val="left"/>
        <w:rPr/>
      </w:pPr>
      <w:r>
        <w:rPr>
          <w:rFonts w:ascii="Times New Roman" w:hAnsi="Times New Roman"/>
          <w:color w:val="000000"/>
          <w:sz w:val="23"/>
          <w:u w:val="single"/>
        </w:rPr>
        <w:t>At-Will Employment.</w:t>
      </w:r>
      <w:r>
        <w:rPr>
          <w:color w:val="000000"/>
        </w:rPr>
        <w:t xml:space="preserve"> </w:t>
      </w:r>
      <w:r>
        <w:rPr>
          <w:rFonts w:ascii="Times New Roman" w:hAnsi="Times New Roman"/>
          <w:color w:val="000000"/>
          <w:sz w:val="23"/>
        </w:rPr>
        <w:t>The Company and the Executive acknowledge that the Executive's employment is and will continue to be at-will, as defined under applicable law.</w:t>
      </w:r>
    </w:p>
    <w:p>
      <w:pPr>
        <w:pStyle w:val="TextBody"/>
        <w:bidi w:val="0"/>
        <w:spacing w:before="232" w:after="283"/>
        <w:jc w:val="left"/>
        <w:rPr>
          <w:rFonts w:ascii="Times New Roman" w:hAnsi="Times New Roman"/>
          <w:color w:val="000000"/>
          <w:sz w:val="23"/>
        </w:rPr>
      </w:pPr>
      <w:r>
        <w:rPr>
          <w:rFonts w:ascii="Times New Roman" w:hAnsi="Times New Roman"/>
          <w:color w:val="000000"/>
          <w:sz w:val="23"/>
        </w:rPr>
        <w:t>3.</w:t>
      </w:r>
    </w:p>
    <w:p>
      <w:pPr>
        <w:pStyle w:val="TextBody"/>
        <w:bidi w:val="0"/>
        <w:spacing w:before="232" w:after="283"/>
        <w:jc w:val="left"/>
        <w:rPr>
          <w:rFonts w:ascii="Times New Roman" w:hAnsi="Times New Roman"/>
          <w:b/>
          <w:color w:val="000000"/>
          <w:sz w:val="23"/>
          <w:u w:val="single"/>
        </w:rPr>
      </w:pPr>
      <w:r>
        <w:rPr>
          <w:rFonts w:ascii="Times New Roman" w:hAnsi="Times New Roman"/>
          <w:b/>
          <w:color w:val="000000"/>
          <w:sz w:val="23"/>
          <w:u w:val="single"/>
        </w:rPr>
        <w:t>Severance Benefits.</w:t>
      </w:r>
    </w:p>
    <w:p>
      <w:pPr>
        <w:pStyle w:val="TextBody"/>
        <w:bidi w:val="0"/>
        <w:spacing w:before="247"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47" w:after="283"/>
        <w:jc w:val="both"/>
        <w:rPr/>
      </w:pPr>
      <w:r>
        <w:rPr>
          <w:rFonts w:ascii="Times New Roman" w:hAnsi="Times New Roman"/>
          <w:color w:val="000000"/>
          <w:sz w:val="23"/>
          <w:u w:val="single"/>
        </w:rPr>
        <w:t>Qualifying Non-CIC Termination.</w:t>
      </w:r>
      <w:r>
        <w:rPr>
          <w:color w:val="000000"/>
        </w:rPr>
        <w:t xml:space="preserve"> </w:t>
      </w:r>
      <w:r>
        <w:rPr>
          <w:rFonts w:ascii="Times New Roman" w:hAnsi="Times New Roman"/>
          <w:color w:val="000000"/>
          <w:sz w:val="23"/>
        </w:rPr>
        <w:t xml:space="preserve">In the event of a Qualifying </w:t>
      </w:r>
      <w:r>
        <w:rPr>
          <w:rFonts w:ascii="Times New Roman" w:hAnsi="Times New Roman"/>
          <w:color w:val="000000"/>
          <w:sz w:val="24"/>
        </w:rPr>
        <w:t xml:space="preserve">Non-CIC </w:t>
      </w:r>
      <w:r>
        <w:rPr>
          <w:rFonts w:ascii="Times New Roman" w:hAnsi="Times New Roman"/>
          <w:color w:val="000000"/>
          <w:sz w:val="23"/>
        </w:rPr>
        <w:t>Termination (as defined below), and subject to Sections 5 and 7, the Executive will be eligible to receive the following from the Company:</w:t>
      </w:r>
    </w:p>
    <w:p>
      <w:pPr>
        <w:pStyle w:val="TextBody"/>
        <w:bidi w:val="0"/>
        <w:spacing w:before="241"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41" w:after="283"/>
        <w:jc w:val="both"/>
        <w:rPr/>
      </w:pPr>
      <w:r>
        <w:rPr>
          <w:rFonts w:ascii="Times New Roman" w:hAnsi="Times New Roman"/>
          <w:color w:val="000000"/>
          <w:sz w:val="23"/>
          <w:u w:val="single"/>
        </w:rPr>
        <w:t>Salary Severance.</w:t>
      </w:r>
      <w:r>
        <w:rPr>
          <w:color w:val="000000"/>
        </w:rPr>
        <w:t xml:space="preserve"> </w:t>
      </w:r>
      <w:r>
        <w:rPr>
          <w:rFonts w:ascii="Times New Roman" w:hAnsi="Times New Roman"/>
          <w:color w:val="000000"/>
          <w:sz w:val="23"/>
        </w:rPr>
        <w:t>A single, lump sum payment equal to 12 months of the Executive's Salary (as defined below), less applicable withholdings.</w:t>
      </w:r>
    </w:p>
    <w:p>
      <w:pPr>
        <w:pStyle w:val="TextBody"/>
        <w:bidi w:val="0"/>
        <w:spacing w:before="239"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39" w:after="283"/>
        <w:jc w:val="both"/>
        <w:rPr/>
      </w:pPr>
      <w:r>
        <w:rPr>
          <w:rFonts w:ascii="Times New Roman" w:hAnsi="Times New Roman"/>
          <w:color w:val="000000"/>
          <w:sz w:val="23"/>
          <w:u w:val="single"/>
        </w:rPr>
        <w:t>Bonus Severance.</w:t>
      </w:r>
      <w:r>
        <w:rPr>
          <w:color w:val="000000"/>
        </w:rPr>
        <w:t xml:space="preserve"> </w:t>
      </w:r>
      <w:r>
        <w:rPr>
          <w:rFonts w:ascii="Times New Roman" w:hAnsi="Times New Roman"/>
          <w:color w:val="000000"/>
          <w:sz w:val="23"/>
        </w:rPr>
        <w:t>A single, lump sum payment equal to 12 months of the Executive's target annual bonus as in effect for the fiscal year in which the Qualifying Non-CIC Termination occurs, less applicable withholdings.</w:t>
      </w:r>
    </w:p>
    <w:p>
      <w:pPr>
        <w:pStyle w:val="TextBody"/>
        <w:bidi w:val="0"/>
        <w:spacing w:before="244" w:after="283"/>
        <w:jc w:val="both"/>
        <w:rPr>
          <w:rFonts w:ascii="Times New Roman" w:hAnsi="Times New Roman"/>
          <w:color w:val="000000"/>
          <w:sz w:val="23"/>
        </w:rPr>
      </w:pPr>
      <w:r>
        <w:rPr>
          <w:rFonts w:ascii="Times New Roman" w:hAnsi="Times New Roman"/>
          <w:color w:val="000000"/>
          <w:sz w:val="23"/>
        </w:rPr>
        <w:t>(iii)</w:t>
      </w:r>
    </w:p>
    <w:p>
      <w:pPr>
        <w:pStyle w:val="TextBody"/>
        <w:bidi w:val="0"/>
        <w:spacing w:before="244" w:after="283"/>
        <w:jc w:val="both"/>
        <w:rPr/>
      </w:pPr>
      <w:r>
        <w:rPr>
          <w:rFonts w:ascii="Times New Roman" w:hAnsi="Times New Roman"/>
          <w:color w:val="000000"/>
          <w:sz w:val="23"/>
          <w:u w:val="single"/>
        </w:rPr>
        <w:t>COBRA Coverage.</w:t>
      </w:r>
      <w:r>
        <w:rPr>
          <w:color w:val="000000"/>
        </w:rPr>
        <w:t xml:space="preserve"> </w:t>
      </w:r>
      <w:r>
        <w:rPr>
          <w:rFonts w:ascii="Times New Roman" w:hAnsi="Times New Roman"/>
          <w:color w:val="000000"/>
          <w:sz w:val="23"/>
        </w:rPr>
        <w:t xml:space="preserve">Subject to Section 3(d), the Company will pay the premiums for coverage under COBRA (as defined below) for the Executive and the Executive's eligible dependents, if any, at the rates then in effect, subject to any subsequent changes in rates that are generally applicable to the Company’s active employees (the </w:t>
      </w:r>
      <w:r>
        <w:rPr>
          <w:rFonts w:ascii="Times New Roman" w:hAnsi="Times New Roman"/>
          <w:b/>
          <w:color w:val="000000"/>
          <w:sz w:val="23"/>
        </w:rPr>
        <w:t xml:space="preserve">''COBRA Coverage"), </w:t>
      </w:r>
      <w:r>
        <w:rPr>
          <w:rFonts w:ascii="Times New Roman" w:hAnsi="Times New Roman"/>
          <w:color w:val="000000"/>
          <w:sz w:val="23"/>
        </w:rPr>
        <w:t>until the earliest of (A) a period of 12 months from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pStyle w:val="TextBody"/>
        <w:bidi w:val="0"/>
        <w:spacing w:before="234"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34" w:after="283"/>
        <w:jc w:val="both"/>
        <w:rPr/>
      </w:pPr>
      <w:r>
        <w:rPr>
          <w:rFonts w:ascii="Times New Roman" w:hAnsi="Times New Roman"/>
          <w:color w:val="000000"/>
          <w:sz w:val="23"/>
          <w:u w:val="single"/>
        </w:rPr>
        <w:t>Qualifying CIC Termination.</w:t>
      </w:r>
      <w:r>
        <w:rPr>
          <w:color w:val="000000"/>
        </w:rPr>
        <w:t xml:space="preserve"> </w:t>
      </w:r>
      <w:r>
        <w:rPr>
          <w:rFonts w:ascii="Times New Roman" w:hAnsi="Times New Roman"/>
          <w:color w:val="000000"/>
          <w:sz w:val="23"/>
        </w:rPr>
        <w:t>In the event of a Qualifying CIC Termination (as defined below), and subject to Sections 5 and 7, the Executive will be eligible to receive the following from the Company:</w:t>
      </w:r>
    </w:p>
    <w:p>
      <w:pPr>
        <w:pStyle w:val="TextBody"/>
        <w:bidi w:val="0"/>
        <w:spacing w:before="221"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21" w:after="283"/>
        <w:jc w:val="both"/>
        <w:rPr/>
      </w:pPr>
      <w:r>
        <w:rPr>
          <w:rFonts w:ascii="Times New Roman" w:hAnsi="Times New Roman"/>
          <w:color w:val="000000"/>
          <w:sz w:val="23"/>
          <w:u w:val="single"/>
        </w:rPr>
        <w:t>Salary Severance.</w:t>
      </w:r>
      <w:r>
        <w:rPr>
          <w:color w:val="000000"/>
        </w:rPr>
        <w:t xml:space="preserve"> </w:t>
      </w:r>
      <w:r>
        <w:rPr>
          <w:rFonts w:ascii="Times New Roman" w:hAnsi="Times New Roman"/>
          <w:color w:val="000000"/>
          <w:sz w:val="23"/>
        </w:rPr>
        <w:t xml:space="preserve">A single, lump sum payment equal to 12 months of </w:t>
      </w:r>
    </w:p>
    <w:p>
      <w:pPr>
        <w:pStyle w:val="HorizontalLine"/>
        <w:pBdr>
          <w:bottom w:val="double" w:sz="2" w:space="0" w:color="808080"/>
        </w:pBdr>
        <w:bidi w:val="0"/>
        <w:spacing w:before="0" w:after="283"/>
        <w:jc w:val="left"/>
        <w:rPr/>
      </w:pPr>
      <w:r>
        <w:rPr/>
      </w:r>
    </w:p>
    <w:p>
      <w:pPr>
        <w:pStyle w:val="TextBody"/>
        <w:bidi w:val="0"/>
        <w:spacing w:before="221" w:after="283"/>
        <w:jc w:val="both"/>
        <w:rPr>
          <w:rFonts w:ascii="Times New Roman" w:hAnsi="Times New Roman"/>
          <w:color w:val="000000"/>
          <w:sz w:val="23"/>
        </w:rPr>
      </w:pPr>
      <w:r>
        <w:rPr>
          <w:rFonts w:ascii="Times New Roman" w:hAnsi="Times New Roman"/>
          <w:color w:val="000000"/>
          <w:sz w:val="23"/>
        </w:rPr>
        <w:t>the Executive's Salary, less applicable withholdings.</w:t>
      </w:r>
    </w:p>
    <w:p>
      <w:pPr>
        <w:pStyle w:val="TextBody"/>
        <w:bidi w:val="0"/>
        <w:spacing w:before="241"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41" w:after="283"/>
        <w:jc w:val="both"/>
        <w:rPr/>
      </w:pPr>
      <w:r>
        <w:rPr>
          <w:rFonts w:ascii="Times New Roman" w:hAnsi="Times New Roman"/>
          <w:color w:val="000000"/>
          <w:sz w:val="23"/>
          <w:u w:val="single"/>
        </w:rPr>
        <w:t>Bonus Severance.</w:t>
      </w:r>
      <w:r>
        <w:rPr>
          <w:color w:val="000000"/>
        </w:rPr>
        <w:t xml:space="preserve"> </w:t>
      </w:r>
      <w:r>
        <w:rPr>
          <w:rFonts w:ascii="Times New Roman" w:hAnsi="Times New Roman"/>
          <w:color w:val="000000"/>
          <w:sz w:val="23"/>
        </w:rPr>
        <w:t>A single, lump sum payment equal to 12 months of the Executive's target annual bonus as in effect for the fiscal year in which the Qualifying CIC Termination occurs, less applicable withholdings.</w:t>
      </w:r>
    </w:p>
    <w:p>
      <w:pPr>
        <w:pStyle w:val="TextBody"/>
        <w:bidi w:val="0"/>
        <w:spacing w:before="241" w:after="283"/>
        <w:jc w:val="both"/>
        <w:rPr>
          <w:rFonts w:ascii="Times New Roman" w:hAnsi="Times New Roman"/>
          <w:color w:val="000000"/>
          <w:sz w:val="23"/>
        </w:rPr>
      </w:pPr>
      <w:r>
        <w:rPr>
          <w:rFonts w:ascii="Times New Roman" w:hAnsi="Times New Roman"/>
          <w:color w:val="000000"/>
          <w:sz w:val="23"/>
        </w:rPr>
        <w:t>(iii)</w:t>
      </w:r>
    </w:p>
    <w:p>
      <w:pPr>
        <w:pStyle w:val="TextBody"/>
        <w:bidi w:val="0"/>
        <w:spacing w:before="241" w:after="283"/>
        <w:jc w:val="both"/>
        <w:rPr/>
      </w:pPr>
      <w:r>
        <w:rPr>
          <w:rFonts w:ascii="Times New Roman" w:hAnsi="Times New Roman"/>
          <w:color w:val="000000"/>
          <w:sz w:val="21"/>
          <w:u w:val="single"/>
        </w:rPr>
        <w:t xml:space="preserve">COBRA </w:t>
      </w:r>
      <w:r>
        <w:rPr>
          <w:rFonts w:ascii="Times New Roman" w:hAnsi="Times New Roman"/>
          <w:color w:val="000000"/>
          <w:sz w:val="23"/>
          <w:u w:val="single"/>
        </w:rPr>
        <w:t>Coverage.</w:t>
      </w:r>
      <w:r>
        <w:rPr>
          <w:color w:val="000000"/>
        </w:rPr>
        <w:t xml:space="preserve"> </w:t>
      </w:r>
      <w:r>
        <w:rPr>
          <w:rFonts w:ascii="Times New Roman" w:hAnsi="Times New Roman"/>
          <w:color w:val="000000"/>
          <w:sz w:val="23"/>
        </w:rPr>
        <w:t xml:space="preserve">Subject to Section 3(d), the Company will provide COBRA Coverage until the earliest of (A) a period of 12 months from the date of the Executive’s termination of employment, (B) the date upon which the Executive (and the Executive's eligible dependents, as applicable) becomes covered under similar plans, or (c) the date upon which </w:t>
      </w:r>
      <w:r>
        <w:rPr>
          <w:rFonts w:ascii="Times New Roman" w:hAnsi="Times New Roman"/>
          <w:color w:val="000000"/>
          <w:sz w:val="22"/>
        </w:rPr>
        <w:t xml:space="preserve">the </w:t>
      </w:r>
      <w:r>
        <w:rPr>
          <w:rFonts w:ascii="Times New Roman" w:hAnsi="Times New Roman"/>
          <w:color w:val="000000"/>
          <w:sz w:val="24"/>
        </w:rPr>
        <w:t>Executive ceases to be eligible for coverage under COBRA</w:t>
      </w:r>
      <w:r>
        <w:rPr>
          <w:rFonts w:ascii="Times New Roman" w:hAnsi="Times New Roman"/>
          <w:color w:val="000000"/>
          <w:sz w:val="22"/>
        </w:rPr>
        <w:t>.</w:t>
      </w:r>
    </w:p>
    <w:p>
      <w:pPr>
        <w:pStyle w:val="TextBody"/>
        <w:bidi w:val="0"/>
        <w:spacing w:before="255" w:after="283"/>
        <w:jc w:val="both"/>
        <w:rPr>
          <w:rFonts w:ascii="Times New Roman" w:hAnsi="Times New Roman"/>
          <w:color w:val="000000"/>
          <w:sz w:val="23"/>
        </w:rPr>
      </w:pPr>
      <w:r>
        <w:rPr>
          <w:rFonts w:ascii="Times New Roman" w:hAnsi="Times New Roman"/>
          <w:color w:val="000000"/>
          <w:sz w:val="23"/>
        </w:rPr>
        <w:t>(iv)</w:t>
      </w:r>
    </w:p>
    <w:p>
      <w:pPr>
        <w:pStyle w:val="TextBody"/>
        <w:bidi w:val="0"/>
        <w:spacing w:before="255" w:after="283"/>
        <w:jc w:val="both"/>
        <w:rPr/>
      </w:pPr>
      <w:r>
        <w:rPr>
          <w:rFonts w:ascii="Times New Roman" w:hAnsi="Times New Roman"/>
          <w:color w:val="000000"/>
          <w:sz w:val="23"/>
          <w:u w:val="single"/>
        </w:rPr>
        <w:t>Equity Vesting.</w:t>
      </w:r>
      <w:r>
        <w:rPr>
          <w:color w:val="000000"/>
        </w:rPr>
        <w:t xml:space="preserve"> </w:t>
      </w:r>
      <w:r>
        <w:rPr>
          <w:rFonts w:ascii="Times New Roman" w:hAnsi="Times New Roman"/>
          <w:color w:val="000000"/>
          <w:sz w:val="23"/>
        </w:rPr>
        <w:t>Vesting acceleration (and exercisability, as applicable) as to one hundred percent (100%) of the then-unvested shares subject to each of the Company equity awards granted to the Executive that is outstanding as of the date of the Qualifying Termination (each, an “</w:t>
      </w:r>
      <w:r>
        <w:rPr>
          <w:rFonts w:ascii="Times New Roman" w:hAnsi="Times New Roman"/>
          <w:b/>
          <w:color w:val="000000"/>
          <w:sz w:val="23"/>
        </w:rPr>
        <w:t>Equity Award</w:t>
      </w:r>
      <w:r>
        <w:rPr>
          <w:color w:val="000000"/>
        </w:rPr>
        <w:t>”</w:t>
      </w:r>
      <w:r>
        <w:rPr>
          <w:rFonts w:ascii="Times New Roman" w:hAnsi="Times New Roman"/>
          <w:color w:val="000000"/>
          <w:sz w:val="23"/>
        </w:rPr>
        <w:t>). In the case of an Equity Award that is subject to performance-based vesting, unless otherwise specified in the applicable Equity Award agreement governing the Equity Award, all performance goals and other vesting criteria will be deemed achieved at one hundred percent (100%) of target levels. For the avoidance of doubt, in the event of the Executive’s Qualifying Pre-CIC Termination (as defined below), any then outstanding Equity Awards will remain outstanding until the earlier of (x) nine (9) months following the Qualifying Termination or (y) the occurrence of a Change in Control, solely so that any benefits due on a Qualifying Pre-CIC Termination can be provided if a Change in Control occurs within nine (9) months following the Qualifying Termination (provided that in no event will the Executive's stock options or similar Equity Awards remain outstanding beyond the earlier to occur of (i) the Equity Award’s maximum term to expiration or (ii) the Equity Award’s post-termination exercise period). If no Change in Control occurs within nine (9) months following a Qualifying Pre-CIC Termination, any unvested portion of the Executive's Equity Awards automatically and permanently will be forfeited on the date nine (9) months following the date of the Qualifying Pre-CIC Termination without having vested.</w:t>
      </w:r>
    </w:p>
    <w:p>
      <w:pPr>
        <w:pStyle w:val="TextBody"/>
        <w:bidi w:val="0"/>
        <w:spacing w:before="222"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22" w:after="283"/>
        <w:jc w:val="both"/>
        <w:rPr/>
      </w:pPr>
      <w:r>
        <w:rPr>
          <w:rFonts w:ascii="Times New Roman" w:hAnsi="Times New Roman"/>
          <w:color w:val="000000"/>
          <w:sz w:val="23"/>
          <w:u w:val="single"/>
        </w:rPr>
        <w:t>Termination Other Than a Qualifying Termination.</w:t>
      </w:r>
      <w:r>
        <w:rPr>
          <w:color w:val="000000"/>
        </w:rPr>
        <w:t xml:space="preserve"> </w:t>
      </w:r>
      <w:r>
        <w:rPr>
          <w:rFonts w:ascii="Times New Roman" w:hAnsi="Times New Roman"/>
          <w:color w:val="000000"/>
          <w:sz w:val="23"/>
        </w:rPr>
        <w:t>If the termination of the Executive’s employment with the Company Group (as defined below) is not a Qualifying Termination, then the Executive will not be entitled to receive the severance payments or other benefits specified in this Agreement.</w:t>
      </w:r>
    </w:p>
    <w:p>
      <w:pPr>
        <w:pStyle w:val="TextBody"/>
        <w:bidi w:val="0"/>
        <w:spacing w:before="234"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34" w:after="283"/>
        <w:jc w:val="both"/>
        <w:rPr/>
      </w:pPr>
      <w:r>
        <w:rPr>
          <w:rFonts w:ascii="Times New Roman" w:hAnsi="Times New Roman"/>
          <w:color w:val="000000"/>
          <w:sz w:val="23"/>
          <w:u w:val="single"/>
        </w:rPr>
        <w:t>Conditions to Receipt of COBRA Coverage.</w:t>
      </w:r>
      <w:r>
        <w:rPr>
          <w:color w:val="000000"/>
        </w:rPr>
        <w:t xml:space="preserve"> </w:t>
      </w:r>
      <w:r>
        <w:rPr>
          <w:rFonts w:ascii="Times New Roman" w:hAnsi="Times New Roman"/>
          <w:color w:val="000000"/>
          <w:sz w:val="23"/>
        </w:rPr>
        <w:t xml:space="preserve">The Executive's receipt of COBRA Coverage is subject to the Executive electing COBRA continuation coverage within the time period prescribed pursuant to COBRA for the Executive and the Executive's eligible dependents, if any. If the Company determines in its sole discretion that it cannot provide the COBRA Coverage without potentially violating, or being subject to an excise tax under, applicable law (including, without limitation, Section 2716 of the Public Health Service Act), then in lieu of any COBRA Coverage, the Company will provide to the Executive a taxable monthly payment payable on the last day of a given month, in an amount equal to the monthly COBRA premium that the Executive would be required to pay to continue his or her group health coverage in effect on the date of his or her Qualifying Termination (which amount will be based on the premium rates applicable for the first month of COBRA Coverage for the Executive and any of eligible dependents of the Executive) (each, a </w:t>
      </w:r>
      <w:r>
        <w:rPr>
          <w:color w:val="000000"/>
        </w:rPr>
        <w:t>“</w:t>
      </w:r>
      <w:r>
        <w:rPr>
          <w:rFonts w:ascii="Times New Roman" w:hAnsi="Times New Roman"/>
          <w:b/>
          <w:color w:val="000000"/>
          <w:sz w:val="23"/>
        </w:rPr>
        <w:t xml:space="preserve">COBRA Replacement Payment”) </w:t>
      </w:r>
      <w:r>
        <w:rPr>
          <w:rFonts w:ascii="Times New Roman" w:hAnsi="Times New Roman"/>
          <w:color w:val="000000"/>
          <w:sz w:val="23"/>
        </w:rPr>
        <w:t>which COBRA Replacement Payments will be made regardless of whether the Executive elects COBRA</w:t>
      </w:r>
      <w:r>
        <w:rPr>
          <w:color w:val="000000"/>
        </w:rPr>
        <w:t xml:space="preserve"> </w:t>
      </w:r>
      <w:r>
        <w:rPr>
          <w:rFonts w:ascii="Times New Roman" w:hAnsi="Times New Roman"/>
          <w:color w:val="000000"/>
          <w:sz w:val="22"/>
        </w:rPr>
        <w:t xml:space="preserve">continuation coverage and will end on the earlier of (x) the date upon which the Executive obtains other employment (which offers group health coverage) or (y) the date the Company has paid an amount totaling the number of COBRA Replacement Payments </w:t>
      </w:r>
    </w:p>
    <w:p>
      <w:pPr>
        <w:pStyle w:val="HorizontalLine"/>
        <w:pBdr>
          <w:bottom w:val="double" w:sz="2" w:space="0" w:color="808080"/>
        </w:pBdr>
        <w:bidi w:val="0"/>
        <w:spacing w:before="0" w:after="283"/>
        <w:jc w:val="left"/>
        <w:rPr/>
      </w:pPr>
      <w:r>
        <w:rPr/>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equal to the number of months in the applicable COBRA Coverage period.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the Executive will not receive the COBRA Replacement Payments or any further COBRA Coverage.</w:t>
      </w:r>
    </w:p>
    <w:p>
      <w:pPr>
        <w:pStyle w:val="TextBody"/>
        <w:bidi w:val="0"/>
        <w:spacing w:before="224"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24" w:after="283"/>
        <w:jc w:val="both"/>
        <w:rPr/>
      </w:pPr>
      <w:r>
        <w:rPr>
          <w:rFonts w:ascii="Times New Roman" w:hAnsi="Times New Roman"/>
          <w:color w:val="000000"/>
          <w:sz w:val="23"/>
          <w:u w:val="single"/>
        </w:rPr>
        <w:t>Non-Duplication of Payment or Benefits.</w:t>
      </w:r>
      <w:r>
        <w:rPr>
          <w:color w:val="000000"/>
        </w:rPr>
        <w:t xml:space="preserve"> </w:t>
      </w:r>
      <w:r>
        <w:rPr>
          <w:rFonts w:ascii="Times New Roman" w:hAnsi="Times New Roman"/>
          <w:color w:val="000000"/>
          <w:sz w:val="23"/>
        </w:rPr>
        <w:t xml:space="preserve">For purposes of clarity, in the event of a Qualifying Pre-CIC Termination, any severance payments and benefits to be provided to the Executive under Section 3(b) will be reduced by any amounts that already were provided to the Executive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in connection with the Executive’s separation </w:t>
      </w:r>
      <w:r>
        <w:rPr>
          <w:rFonts w:ascii="Times New Roman" w:hAnsi="Times New Roman"/>
          <w:b/>
          <w:color w:val="000000"/>
          <w:sz w:val="23"/>
        </w:rPr>
        <w:t xml:space="preserve">(“Other Benefits''), </w:t>
      </w:r>
      <w:r>
        <w:rPr>
          <w:rFonts w:ascii="Times New Roman" w:hAnsi="Times New Roman"/>
          <w:color w:val="000000"/>
          <w:sz w:val="23"/>
        </w:rPr>
        <w:t>then the corresponding severance payments and benefits under this Agreement will be reduced by the amount of Other Benefits paid or provided to the Executive.</w:t>
      </w:r>
    </w:p>
    <w:p>
      <w:pPr>
        <w:pStyle w:val="TextBody"/>
        <w:bidi w:val="0"/>
        <w:spacing w:before="235" w:after="283"/>
        <w:jc w:val="both"/>
        <w:rPr>
          <w:rFonts w:ascii="Times New Roman" w:hAnsi="Times New Roman"/>
          <w:color w:val="000000"/>
          <w:sz w:val="23"/>
        </w:rPr>
      </w:pPr>
      <w:r>
        <w:rPr>
          <w:rFonts w:ascii="Times New Roman" w:hAnsi="Times New Roman"/>
          <w:color w:val="000000"/>
          <w:sz w:val="23"/>
        </w:rPr>
        <w:t>(f)</w:t>
      </w:r>
    </w:p>
    <w:p>
      <w:pPr>
        <w:pStyle w:val="TextBody"/>
        <w:bidi w:val="0"/>
        <w:spacing w:before="235" w:after="283"/>
        <w:jc w:val="both"/>
        <w:rPr/>
      </w:pPr>
      <w:r>
        <w:rPr>
          <w:rFonts w:ascii="Times New Roman" w:hAnsi="Times New Roman"/>
          <w:color w:val="000000"/>
          <w:sz w:val="23"/>
          <w:u w:val="single"/>
        </w:rPr>
        <w:t>Death of the Executive.</w:t>
      </w:r>
      <w:r>
        <w:rPr>
          <w:color w:val="000000"/>
        </w:rPr>
        <w:t xml:space="preserve"> </w:t>
      </w:r>
      <w:r>
        <w:rPr>
          <w:rFonts w:ascii="Times New Roman" w:hAnsi="Times New Roman"/>
          <w:color w:val="000000"/>
          <w:sz w:val="23"/>
        </w:rPr>
        <w:t>In the event of the Executive's death before all payments or benefits the Executive is entitled to receive under this Agreement have been provided, the unpaid amounts will be provided to the Executive’s designated beneficiary, if living, or otherwise to the Executive’s personal representative in a single lump sum as soon as possible following the Executive's death.</w:t>
      </w:r>
    </w:p>
    <w:p>
      <w:pPr>
        <w:pStyle w:val="TextBody"/>
        <w:bidi w:val="0"/>
        <w:spacing w:before="237" w:after="283"/>
        <w:jc w:val="both"/>
        <w:rPr>
          <w:rFonts w:ascii="Times New Roman" w:hAnsi="Times New Roman"/>
          <w:color w:val="000000"/>
          <w:sz w:val="23"/>
        </w:rPr>
      </w:pPr>
      <w:r>
        <w:rPr>
          <w:rFonts w:ascii="Times New Roman" w:hAnsi="Times New Roman"/>
          <w:color w:val="000000"/>
          <w:sz w:val="23"/>
        </w:rPr>
        <w:t>(g)</w:t>
      </w:r>
    </w:p>
    <w:p>
      <w:pPr>
        <w:pStyle w:val="TextBody"/>
        <w:bidi w:val="0"/>
        <w:spacing w:before="237" w:after="283"/>
        <w:jc w:val="both"/>
        <w:rPr/>
      </w:pPr>
      <w:r>
        <w:rPr>
          <w:rFonts w:ascii="Times New Roman" w:hAnsi="Times New Roman"/>
          <w:color w:val="000000"/>
          <w:sz w:val="23"/>
          <w:u w:val="single"/>
        </w:rPr>
        <w:t>Transfer Between Members of the Company Group.</w:t>
      </w:r>
      <w:r>
        <w:rPr>
          <w:color w:val="000000"/>
        </w:rPr>
        <w:t xml:space="preserve"> </w:t>
      </w:r>
      <w:r>
        <w:rPr>
          <w:rFonts w:ascii="Times New Roman" w:hAnsi="Times New Roman"/>
          <w:color w:val="000000"/>
          <w:sz w:val="23"/>
        </w:rPr>
        <w:t>For purposes of this Agreement, if the Executive is involuntarily transferred from one member of the Company Group to another, the transfer will not be a termination without Cause but may give the Executive the ability to resign for Good Reason.</w:t>
      </w:r>
    </w:p>
    <w:p>
      <w:pPr>
        <w:pStyle w:val="TextBody"/>
        <w:bidi w:val="0"/>
        <w:spacing w:before="237" w:after="283"/>
        <w:jc w:val="both"/>
        <w:rPr>
          <w:rFonts w:ascii="Times New Roman" w:hAnsi="Times New Roman"/>
          <w:color w:val="000000"/>
          <w:sz w:val="23"/>
        </w:rPr>
      </w:pPr>
      <w:r>
        <w:rPr>
          <w:rFonts w:ascii="Times New Roman" w:hAnsi="Times New Roman"/>
          <w:color w:val="000000"/>
          <w:sz w:val="23"/>
        </w:rPr>
        <w:t>(h)</w:t>
      </w:r>
    </w:p>
    <w:p>
      <w:pPr>
        <w:pStyle w:val="TextBody"/>
        <w:bidi w:val="0"/>
        <w:spacing w:before="237" w:after="283"/>
        <w:jc w:val="both"/>
        <w:rPr/>
      </w:pPr>
      <w:r>
        <w:rPr>
          <w:rFonts w:ascii="Times New Roman" w:hAnsi="Times New Roman"/>
          <w:color w:val="000000"/>
          <w:sz w:val="23"/>
          <w:u w:val="single"/>
        </w:rPr>
        <w:t>Exclusive Remedy.</w:t>
      </w:r>
      <w:r>
        <w:rPr>
          <w:color w:val="000000"/>
        </w:rPr>
        <w:t xml:space="preserve"> </w:t>
      </w:r>
      <w:r>
        <w:rPr>
          <w:rFonts w:ascii="Times New Roman" w:hAnsi="Times New Roman"/>
          <w:color w:val="000000"/>
          <w:sz w:val="23"/>
        </w:rPr>
        <w:t>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w:t>
      </w:r>
    </w:p>
    <w:p>
      <w:pPr>
        <w:pStyle w:val="TextBody"/>
        <w:bidi w:val="0"/>
        <w:spacing w:before="120" w:after="283"/>
        <w:jc w:val="both"/>
        <w:rPr>
          <w:rFonts w:ascii="Times New Roman" w:hAnsi="Times New Roman"/>
          <w:color w:val="000000"/>
          <w:sz w:val="23"/>
        </w:rPr>
      </w:pPr>
      <w:r>
        <w:rPr>
          <w:rFonts w:ascii="Times New Roman" w:hAnsi="Times New Roman"/>
          <w:color w:val="000000"/>
          <w:sz w:val="23"/>
        </w:rPr>
        <w:t>4.</w:t>
      </w:r>
    </w:p>
    <w:p>
      <w:pPr>
        <w:pStyle w:val="TextBody"/>
        <w:bidi w:val="0"/>
        <w:spacing w:before="120" w:after="283"/>
        <w:jc w:val="both"/>
        <w:rPr/>
      </w:pPr>
      <w:r>
        <w:rPr>
          <w:rFonts w:ascii="Times New Roman" w:hAnsi="Times New Roman"/>
          <w:color w:val="000000"/>
          <w:sz w:val="23"/>
          <w:u w:val="single"/>
        </w:rPr>
        <w:t>Accrued Compensation.</w:t>
      </w:r>
      <w:r>
        <w:rPr>
          <w:color w:val="000000"/>
        </w:rPr>
        <w:t xml:space="preserve"> </w:t>
      </w:r>
      <w:r>
        <w:rPr>
          <w:rFonts w:ascii="Times New Roman" w:hAnsi="Times New Roman"/>
          <w:color w:val="000000"/>
          <w:sz w:val="23"/>
        </w:rPr>
        <w:t>On any termination of the Executive's employment with the Company Group, the Executive will be entitled to receive all accrued but unpaid vacation, expense reimbursements, wages, and other benefits due to the Executive under any Company-provided plans, policies, and arrangements. For avoidance of doubt, receipt of accrued compensation is not subject to the Release Requirement discussed in Section 5(a).</w:t>
      </w:r>
    </w:p>
    <w:p>
      <w:pPr>
        <w:pStyle w:val="TextBody"/>
        <w:bidi w:val="0"/>
        <w:spacing w:before="240" w:after="283"/>
        <w:jc w:val="left"/>
        <w:rPr>
          <w:rFonts w:ascii="Times New Roman" w:hAnsi="Times New Roman"/>
          <w:color w:val="000000"/>
          <w:sz w:val="23"/>
        </w:rPr>
      </w:pPr>
      <w:r>
        <w:rPr>
          <w:rFonts w:ascii="Times New Roman" w:hAnsi="Times New Roman"/>
          <w:color w:val="000000"/>
          <w:sz w:val="23"/>
        </w:rPr>
        <w:t>5.</w:t>
      </w:r>
    </w:p>
    <w:p>
      <w:pPr>
        <w:pStyle w:val="TextBody"/>
        <w:bidi w:val="0"/>
        <w:spacing w:before="240" w:after="283"/>
        <w:jc w:val="left"/>
        <w:rPr>
          <w:rFonts w:ascii="Times New Roman" w:hAnsi="Times New Roman"/>
          <w:color w:val="000000"/>
          <w:sz w:val="23"/>
          <w:u w:val="single"/>
        </w:rPr>
      </w:pPr>
      <w:r>
        <w:rPr>
          <w:rFonts w:ascii="Times New Roman" w:hAnsi="Times New Roman"/>
          <w:color w:val="000000"/>
          <w:sz w:val="23"/>
          <w:u w:val="single"/>
        </w:rPr>
        <w:t>Conditions to Receipt of Severance.</w:t>
      </w:r>
    </w:p>
    <w:p>
      <w:pPr>
        <w:pStyle w:val="TextBody"/>
        <w:bidi w:val="0"/>
        <w:spacing w:before="255"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55" w:after="283"/>
        <w:jc w:val="both"/>
        <w:rPr/>
      </w:pPr>
      <w:r>
        <w:rPr>
          <w:rFonts w:ascii="Times New Roman" w:hAnsi="Times New Roman"/>
          <w:color w:val="000000"/>
          <w:sz w:val="23"/>
          <w:u w:val="single"/>
        </w:rPr>
        <w:t>Separation Agreement and Release of Claims.</w:t>
      </w:r>
      <w:r>
        <w:rPr>
          <w:color w:val="000000"/>
        </w:rPr>
        <w:t xml:space="preserve"> </w:t>
      </w:r>
      <w:r>
        <w:rPr>
          <w:rFonts w:ascii="Times New Roman" w:hAnsi="Times New Roman"/>
          <w:color w:val="000000"/>
          <w:sz w:val="23"/>
        </w:rPr>
        <w:t xml:space="preserve">The Executive's receipt of any severance payments or benefits upon the Executive’s Qualifying Termination under Section 3 is subject to the Executive signing and not revoking the Company's then-standard separation agreement and release of claims (which may include an agreement not to disparage any member of the Company Group, non-solicit provisions. an agreement to assist in any litigation matters, and other standard terms and conditions) (the </w:t>
      </w:r>
      <w:r>
        <w:rPr>
          <w:color w:val="000000"/>
        </w:rPr>
        <w:t>“</w:t>
      </w:r>
      <w:r>
        <w:rPr>
          <w:rFonts w:ascii="Times New Roman" w:hAnsi="Times New Roman"/>
          <w:b/>
          <w:color w:val="000000"/>
          <w:sz w:val="23"/>
        </w:rPr>
        <w:t xml:space="preserve">Release” </w:t>
      </w:r>
      <w:r>
        <w:rPr>
          <w:rFonts w:ascii="Times New Roman" w:hAnsi="Times New Roman"/>
          <w:color w:val="000000"/>
          <w:sz w:val="23"/>
        </w:rPr>
        <w:t xml:space="preserve">and that requirement, the </w:t>
      </w:r>
      <w:r>
        <w:rPr>
          <w:color w:val="000000"/>
        </w:rPr>
        <w:t>“</w:t>
      </w:r>
      <w:r>
        <w:rPr>
          <w:rFonts w:ascii="Times New Roman" w:hAnsi="Times New Roman"/>
          <w:b/>
          <w:color w:val="000000"/>
          <w:sz w:val="23"/>
        </w:rPr>
        <w:t xml:space="preserve">Release Requirement'), </w:t>
      </w:r>
      <w:r>
        <w:rPr>
          <w:rFonts w:ascii="Times New Roman" w:hAnsi="Times New Roman"/>
          <w:color w:val="000000"/>
          <w:sz w:val="23"/>
        </w:rPr>
        <w:t xml:space="preserve">which must </w:t>
      </w:r>
    </w:p>
    <w:p>
      <w:pPr>
        <w:pStyle w:val="HorizontalLine"/>
        <w:pBdr>
          <w:bottom w:val="double" w:sz="2" w:space="0" w:color="808080"/>
        </w:pBdr>
        <w:bidi w:val="0"/>
        <w:spacing w:before="0" w:after="283"/>
        <w:jc w:val="left"/>
        <w:rPr/>
      </w:pPr>
      <w:r>
        <w:rPr/>
      </w:r>
    </w:p>
    <w:p>
      <w:pPr>
        <w:pStyle w:val="TextBody"/>
        <w:bidi w:val="0"/>
        <w:spacing w:before="255" w:after="283"/>
        <w:jc w:val="both"/>
        <w:rPr/>
      </w:pPr>
      <w:r>
        <w:rPr>
          <w:rFonts w:ascii="Times New Roman" w:hAnsi="Times New Roman"/>
          <w:color w:val="000000"/>
          <w:sz w:val="23"/>
        </w:rPr>
        <w:t>become effective and irrevocable no later than the sixtieth (60</w:t>
      </w:r>
      <w:r>
        <w:rPr>
          <w:rFonts w:ascii="Times New Roman" w:hAnsi="Times New Roman"/>
          <w:color w:val="000000"/>
          <w:sz w:val="15"/>
        </w:rPr>
        <w:t>th</w:t>
      </w:r>
      <w:r>
        <w:rPr>
          <w:rFonts w:ascii="Times New Roman" w:hAnsi="Times New Roman"/>
          <w:color w:val="000000"/>
          <w:sz w:val="16"/>
        </w:rPr>
        <w:t xml:space="preserve">) </w:t>
      </w:r>
      <w:r>
        <w:rPr>
          <w:rFonts w:ascii="Times New Roman" w:hAnsi="Times New Roman"/>
          <w:color w:val="000000"/>
          <w:sz w:val="23"/>
        </w:rPr>
        <w:t xml:space="preserve">day following the date of the Executive’s Qualifying Termination (the </w:t>
      </w:r>
      <w:r>
        <w:rPr>
          <w:color w:val="000000"/>
        </w:rPr>
        <w:t>“</w:t>
      </w:r>
      <w:r>
        <w:rPr>
          <w:rFonts w:ascii="Times New Roman" w:hAnsi="Times New Roman"/>
          <w:b/>
          <w:color w:val="000000"/>
          <w:sz w:val="23"/>
        </w:rPr>
        <w:t>Release Deadline Date”</w:t>
      </w:r>
      <w:r>
        <w:rPr>
          <w:rFonts w:ascii="Times New Roman" w:hAnsi="Times New Roman"/>
          <w:color w:val="000000"/>
          <w:sz w:val="23"/>
        </w:rPr>
        <w:t>)</w:t>
      </w:r>
      <w:r>
        <w:rPr>
          <w:rFonts w:ascii="Times New Roman" w:hAnsi="Times New Roman"/>
          <w:b/>
          <w:color w:val="000000"/>
          <w:sz w:val="23"/>
        </w:rPr>
        <w:t xml:space="preserve">. </w:t>
      </w:r>
      <w:r>
        <w:rPr>
          <w:rFonts w:ascii="Times New Roman" w:hAnsi="Times New Roman"/>
          <w:color w:val="000000"/>
          <w:sz w:val="23"/>
        </w:rPr>
        <w:t xml:space="preserve">If the Release does not become effective and irrevocable by the Release Deadline Date, the Executive will forfeit </w:t>
      </w:r>
      <w:r>
        <w:rPr>
          <w:rFonts w:ascii="Times New Roman" w:hAnsi="Times New Roman"/>
          <w:color w:val="000000"/>
          <w:sz w:val="24"/>
        </w:rPr>
        <w:t xml:space="preserve">any </w:t>
      </w:r>
      <w:r>
        <w:rPr>
          <w:rFonts w:ascii="Times New Roman" w:hAnsi="Times New Roman"/>
          <w:color w:val="000000"/>
          <w:sz w:val="23"/>
        </w:rPr>
        <w:t>right to the severance payments or benefits under Section 3.</w:t>
      </w:r>
    </w:p>
    <w:p>
      <w:pPr>
        <w:pStyle w:val="TextBody"/>
        <w:bidi w:val="0"/>
        <w:spacing w:before="247"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47" w:after="283"/>
        <w:jc w:val="both"/>
        <w:rPr/>
      </w:pPr>
      <w:r>
        <w:rPr>
          <w:rFonts w:ascii="Times New Roman" w:hAnsi="Times New Roman"/>
          <w:color w:val="000000"/>
          <w:sz w:val="23"/>
          <w:u w:val="single"/>
        </w:rPr>
        <w:t>Payment Timing.</w:t>
      </w:r>
      <w:r>
        <w:rPr>
          <w:color w:val="000000"/>
        </w:rPr>
        <w:t xml:space="preserve"> </w:t>
      </w:r>
      <w:r>
        <w:rPr>
          <w:rFonts w:ascii="Times New Roman" w:hAnsi="Times New Roman"/>
          <w:color w:val="000000"/>
          <w:sz w:val="23"/>
        </w:rPr>
        <w:t xml:space="preserve">Any lump sum salary or bonus payments under Sections 3(a) and 3(b) will be provided on the first regularly scheduled payroll date of the Company following the date the Release becomes effective and irrevocable (the </w:t>
      </w:r>
      <w:r>
        <w:rPr>
          <w:color w:val="000000"/>
        </w:rPr>
        <w:t>“</w:t>
      </w:r>
      <w:r>
        <w:rPr>
          <w:rFonts w:ascii="Times New Roman" w:hAnsi="Times New Roman"/>
          <w:b/>
          <w:color w:val="000000"/>
          <w:sz w:val="23"/>
        </w:rPr>
        <w:t xml:space="preserve">Severance Start Date"), </w:t>
      </w:r>
      <w:r>
        <w:rPr>
          <w:rFonts w:ascii="Times New Roman" w:hAnsi="Times New Roman"/>
          <w:color w:val="000000"/>
          <w:sz w:val="23"/>
        </w:rPr>
        <w:t xml:space="preserve">subject to any delay required by Section 5(d) below. Any taxable installments of any COBRA-related severance benefits that otherwise would have been made to the Executive on or before the Severance Start Date will be paid on the Severance Start Date, and any remaining installments thereafter will be provided as specified in this Agreement. Subject to Section 5(d), any restricted stock units, performance shares, performance units, and/or similar full value awards that accelerate vesting under Section </w:t>
      </w:r>
      <w:r>
        <w:rPr>
          <w:rFonts w:ascii="Times New Roman" w:hAnsi="Times New Roman"/>
          <w:color w:val="000000"/>
          <w:sz w:val="21"/>
        </w:rPr>
        <w:t xml:space="preserve">3(b) </w:t>
      </w:r>
      <w:r>
        <w:rPr>
          <w:rFonts w:ascii="Times New Roman" w:hAnsi="Times New Roman"/>
          <w:color w:val="000000"/>
          <w:sz w:val="23"/>
        </w:rPr>
        <w:t>will be settled (x) within ten (10) days following the date the Release becomes effective and irrevocable, or (y) if later in the event of a Qualifying Pre-CIC Termination, on the date of the Change in Control.</w:t>
      </w:r>
    </w:p>
    <w:p>
      <w:pPr>
        <w:pStyle w:val="TextBody"/>
        <w:bidi w:val="0"/>
        <w:spacing w:before="254"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54" w:after="283"/>
        <w:jc w:val="both"/>
        <w:rPr/>
      </w:pPr>
      <w:r>
        <w:rPr>
          <w:rFonts w:ascii="Times New Roman" w:hAnsi="Times New Roman"/>
          <w:color w:val="000000"/>
          <w:sz w:val="23"/>
          <w:u w:val="single"/>
        </w:rPr>
        <w:t>Return of Company Property.</w:t>
      </w:r>
      <w:r>
        <w:rPr>
          <w:color w:val="000000"/>
        </w:rPr>
        <w:t xml:space="preserve"> </w:t>
      </w:r>
      <w:r>
        <w:rPr>
          <w:rFonts w:ascii="Times New Roman" w:hAnsi="Times New Roman"/>
          <w:color w:val="000000"/>
          <w:sz w:val="23"/>
        </w:rPr>
        <w:t>The Executive's receipt of any severance payments or benefits upon the Executive's Qualifying Termination under Section 3 is subject to the Executive having returned all documents and other property provided to the Executive by any member of the Company Group (with the exception of a copy of the Company employee handbook and personnel documents specifically relating to the Executive), developed or obtained by the Executive in connection with his or her employment with the Company Group, or otherwise belonging to the Company Group, by no later than ten (10) days following the date of the Qualifying Termination.</w:t>
      </w:r>
    </w:p>
    <w:p>
      <w:pPr>
        <w:pStyle w:val="TextBody"/>
        <w:bidi w:val="0"/>
        <w:spacing w:before="254"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54" w:after="283"/>
        <w:jc w:val="both"/>
        <w:rPr/>
      </w:pPr>
      <w:r>
        <w:rPr>
          <w:rFonts w:ascii="Times New Roman" w:hAnsi="Times New Roman"/>
          <w:color w:val="000000"/>
          <w:sz w:val="23"/>
          <w:u w:val="single"/>
        </w:rPr>
        <w:t>Section 409A.</w:t>
      </w:r>
      <w:r>
        <w:rPr>
          <w:color w:val="000000"/>
        </w:rPr>
        <w:t xml:space="preserve"> </w:t>
      </w:r>
      <w:r>
        <w:rPr>
          <w:rFonts w:ascii="Times New Roman" w:hAnsi="Times New Roman"/>
          <w:color w:val="000000"/>
          <w:sz w:val="23"/>
        </w:rPr>
        <w:t xml:space="preserve">The Company intends that all payments and benefits provided under this Agreement or otherwise are exempt from, or comply with, the requirements of Section 409A of the Code (as defined below) and any guidance promulgated under Section 409A of the Code (collectively, </w:t>
      </w:r>
      <w:r>
        <w:rPr>
          <w:color w:val="000000"/>
        </w:rPr>
        <w:t>“</w:t>
      </w:r>
      <w:r>
        <w:rPr>
          <w:rFonts w:ascii="Times New Roman" w:hAnsi="Times New Roman"/>
          <w:b/>
          <w:color w:val="000000"/>
          <w:sz w:val="23"/>
        </w:rPr>
        <w:t>Section 409A”</w:t>
      </w:r>
      <w:r>
        <w:rPr>
          <w:rFonts w:ascii="Times New Roman" w:hAnsi="Times New Roman"/>
          <w:color w:val="000000"/>
          <w:sz w:val="23"/>
        </w:rPr>
        <w:t xml:space="preserve">) so that none of the payments or benefits will be subject to the additional tax imposed under Section 409A, and any ambiguities in this Agreement will be interpreted in accordance with this intent. No payment or benefits to be paid to the Executive, if any such payments or benefits, under this Agreement or otherwise, when considered together with any other severance payments or separation benefits that are considered deferred compensation under Section 409A (together, the </w:t>
      </w:r>
      <w:r>
        <w:rPr>
          <w:color w:val="000000"/>
        </w:rPr>
        <w:t>“</w:t>
      </w:r>
      <w:r>
        <w:rPr>
          <w:rFonts w:ascii="Times New Roman" w:hAnsi="Times New Roman"/>
          <w:b/>
          <w:color w:val="000000"/>
          <w:sz w:val="23"/>
        </w:rPr>
        <w:t xml:space="preserve">Deferred Payments”) </w:t>
      </w:r>
      <w:r>
        <w:rPr>
          <w:rFonts w:ascii="Times New Roman" w:hAnsi="Times New Roman"/>
          <w:color w:val="000000"/>
          <w:sz w:val="23"/>
        </w:rPr>
        <w:t>will be paid or otherwise provided until the Executive has a "separation from service" within the meaning of Section 409A. If, at the time of the Executive's termination 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six (6) months and one (1) day following the Executive’s termination of employment. The Company reserves the right to amend this Agreement as it considers necessary or advisable, in its sole discretion and without the consent of the Executive or the consent of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l.409A-2(b)(2). In no event will any member of the Company Group reimburse, indemnify or hold harmless the Executive for any taxes, penalties and interest that may be imposed, or other costs that may be incurred, as a result of Section 409A.</w:t>
      </w:r>
    </w:p>
    <w:p>
      <w:pPr>
        <w:pStyle w:val="TextBody"/>
        <w:bidi w:val="0"/>
        <w:spacing w:before="261"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61" w:after="283"/>
        <w:jc w:val="both"/>
        <w:rPr/>
      </w:pPr>
      <w:r>
        <w:rPr>
          <w:rFonts w:ascii="Times New Roman" w:hAnsi="Times New Roman"/>
          <w:color w:val="000000"/>
          <w:sz w:val="23"/>
          <w:u w:val="single"/>
        </w:rPr>
        <w:t>Resignation of Officer and Director Positions.</w:t>
      </w:r>
      <w:r>
        <w:rPr>
          <w:color w:val="000000"/>
        </w:rPr>
        <w:t xml:space="preserve"> </w:t>
      </w:r>
      <w:r>
        <w:rPr>
          <w:rFonts w:ascii="Times New Roman" w:hAnsi="Times New Roman"/>
          <w:color w:val="000000"/>
          <w:sz w:val="23"/>
        </w:rPr>
        <w:t xml:space="preserve">The Executive's receipt of any </w:t>
      </w:r>
    </w:p>
    <w:p>
      <w:pPr>
        <w:pStyle w:val="HorizontalLine"/>
        <w:pBdr>
          <w:bottom w:val="double" w:sz="2" w:space="0" w:color="808080"/>
        </w:pBdr>
        <w:bidi w:val="0"/>
        <w:spacing w:before="0" w:after="283"/>
        <w:jc w:val="left"/>
        <w:rPr/>
      </w:pPr>
      <w:r>
        <w:rPr/>
      </w:r>
    </w:p>
    <w:p>
      <w:pPr>
        <w:pStyle w:val="TextBody"/>
        <w:bidi w:val="0"/>
        <w:spacing w:before="261" w:after="283"/>
        <w:jc w:val="both"/>
        <w:rPr>
          <w:rFonts w:ascii="Times New Roman" w:hAnsi="Times New Roman"/>
          <w:color w:val="000000"/>
          <w:sz w:val="23"/>
        </w:rPr>
      </w:pPr>
      <w:r>
        <w:rPr>
          <w:rFonts w:ascii="Times New Roman" w:hAnsi="Times New Roman"/>
          <w:color w:val="000000"/>
          <w:sz w:val="23"/>
        </w:rPr>
        <w:t>severance payments or benefits upon the Executive’s Qualifying Termination under Section 3 is subject to the Executive having resigned from all officer and director positions with all members of the Company Group and the Executive executing any documents the Company may require in connection with the same.</w:t>
      </w:r>
    </w:p>
    <w:p>
      <w:pPr>
        <w:pStyle w:val="TextBody"/>
        <w:bidi w:val="0"/>
        <w:spacing w:before="250" w:after="283"/>
        <w:jc w:val="both"/>
        <w:rPr>
          <w:rFonts w:ascii="Times New Roman" w:hAnsi="Times New Roman"/>
          <w:color w:val="000000"/>
          <w:sz w:val="23"/>
        </w:rPr>
      </w:pPr>
      <w:r>
        <w:rPr>
          <w:rFonts w:ascii="Times New Roman" w:hAnsi="Times New Roman"/>
          <w:color w:val="000000"/>
          <w:sz w:val="23"/>
        </w:rPr>
        <w:t>6.</w:t>
      </w:r>
    </w:p>
    <w:p>
      <w:pPr>
        <w:pStyle w:val="TextBody"/>
        <w:bidi w:val="0"/>
        <w:spacing w:before="250" w:after="283"/>
        <w:jc w:val="both"/>
        <w:rPr/>
      </w:pPr>
      <w:r>
        <w:rPr>
          <w:rFonts w:ascii="Times New Roman" w:hAnsi="Times New Roman"/>
          <w:color w:val="000000"/>
          <w:sz w:val="23"/>
          <w:u w:val="single"/>
        </w:rPr>
        <w:t>Change in Control Benefits.</w:t>
      </w:r>
      <w:r>
        <w:rPr>
          <w:color w:val="000000"/>
        </w:rPr>
        <w:t xml:space="preserve"> </w:t>
      </w:r>
      <w:r>
        <w:rPr>
          <w:rFonts w:ascii="Times New Roman" w:hAnsi="Times New Roman"/>
          <w:color w:val="000000"/>
          <w:sz w:val="23"/>
        </w:rPr>
        <w:t>If the Company experiences a Change in Control, and Executive remains an employee of any member of the Company Group through the date of such Change in Control. one hundred percent (100%) of the then-unvested shares subject to each Equity Award that is outstanding as of the date of such Change in Control will accelerate and fully vest. In the case of an Equity Award that is subject to performance-based vesting, unless otherwise specified in the applicable Equity Award agreement governing the Equity Award, all performance goals and other vesting criteria will be deemed achieved at one hundred percent (100%) of target levels.</w:t>
      </w:r>
    </w:p>
    <w:p>
      <w:pPr>
        <w:pStyle w:val="TextBody"/>
        <w:bidi w:val="0"/>
        <w:spacing w:before="250" w:after="283"/>
        <w:jc w:val="both"/>
        <w:rPr>
          <w:rFonts w:ascii="Times New Roman" w:hAnsi="Times New Roman"/>
          <w:color w:val="000000"/>
          <w:sz w:val="23"/>
        </w:rPr>
      </w:pPr>
      <w:r>
        <w:rPr>
          <w:rFonts w:ascii="Times New Roman" w:hAnsi="Times New Roman"/>
          <w:color w:val="000000"/>
          <w:sz w:val="23"/>
        </w:rPr>
        <w:t>7.</w:t>
      </w:r>
    </w:p>
    <w:p>
      <w:pPr>
        <w:pStyle w:val="TextBody"/>
        <w:bidi w:val="0"/>
        <w:spacing w:before="250" w:after="283"/>
        <w:jc w:val="both"/>
        <w:rPr>
          <w:rFonts w:ascii="Times New Roman" w:hAnsi="Times New Roman"/>
          <w:color w:val="000000"/>
          <w:sz w:val="23"/>
          <w:u w:val="single"/>
        </w:rPr>
      </w:pPr>
      <w:r>
        <w:rPr>
          <w:rFonts w:ascii="Times New Roman" w:hAnsi="Times New Roman"/>
          <w:color w:val="000000"/>
          <w:sz w:val="23"/>
          <w:u w:val="single"/>
        </w:rPr>
        <w:t>Limitation on Payments.</w:t>
      </w:r>
    </w:p>
    <w:p>
      <w:pPr>
        <w:pStyle w:val="TextBody"/>
        <w:bidi w:val="0"/>
        <w:spacing w:before="25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50" w:after="283"/>
        <w:jc w:val="both"/>
        <w:rPr/>
      </w:pPr>
      <w:r>
        <w:rPr>
          <w:rFonts w:ascii="Times New Roman" w:hAnsi="Times New Roman"/>
          <w:color w:val="000000"/>
          <w:sz w:val="23"/>
          <w:u w:val="single"/>
        </w:rPr>
        <w:t>Reduction of Severance Benefits</w:t>
      </w:r>
      <w:r>
        <w:rPr>
          <w:rFonts w:ascii="Times New Roman" w:hAnsi="Times New Roman"/>
          <w:color w:val="000000"/>
          <w:sz w:val="23"/>
        </w:rPr>
        <w:t xml:space="preserve">. If any payment or benefit that the Executive would receive from any Company Group member or any other party whether in connection with the provisions in this Agreement or otherwise (the </w:t>
      </w:r>
      <w:r>
        <w:rPr>
          <w:color w:val="000000"/>
        </w:rPr>
        <w:t>“</w:t>
      </w:r>
      <w:r>
        <w:rPr>
          <w:rFonts w:ascii="Times New Roman" w:hAnsi="Times New Roman"/>
          <w:b/>
          <w:color w:val="000000"/>
          <w:sz w:val="23"/>
        </w:rPr>
        <w:t>Payment”</w:t>
      </w:r>
      <w:r>
        <w:rPr>
          <w:rFonts w:ascii="Times New Roman" w:hAnsi="Times New Roman"/>
          <w:color w:val="000000"/>
          <w:sz w:val="23"/>
        </w:rPr>
        <w:t xml:space="preserve">) would (i) constitute a “parachute payment” within the meaning of Section 280G of the Code, and (ii) but for this sentence, be subject to the excise tax imposed by Section 4999 of the Code (the </w:t>
      </w:r>
      <w:r>
        <w:rPr>
          <w:color w:val="000000"/>
        </w:rPr>
        <w:t>“</w:t>
      </w:r>
      <w:r>
        <w:rPr>
          <w:rFonts w:ascii="Times New Roman" w:hAnsi="Times New Roman"/>
          <w:b/>
          <w:color w:val="000000"/>
          <w:sz w:val="23"/>
        </w:rPr>
        <w:t>Excise Tax”</w:t>
      </w:r>
      <w:r>
        <w:rPr>
          <w:rFonts w:ascii="Times New Roman" w:hAnsi="Times New Roman"/>
          <w:color w:val="000000"/>
          <w:sz w:val="23"/>
        </w:rPr>
        <w:t xml:space="preserve">), then the Payment will be equal to the Best Results Amount. The </w:t>
      </w:r>
      <w:r>
        <w:rPr>
          <w:rFonts w:ascii="Times New Roman" w:hAnsi="Times New Roman"/>
          <w:b/>
          <w:color w:val="000000"/>
          <w:sz w:val="23"/>
        </w:rPr>
        <w:t>"Best Results Amount”</w:t>
      </w:r>
      <w:r>
        <w:rPr>
          <w:color w:val="000000"/>
        </w:rPr>
        <w:t xml:space="preserve"> </w:t>
      </w:r>
      <w:r>
        <w:rPr>
          <w:rFonts w:ascii="Times New Roman" w:hAnsi="Times New Roman"/>
          <w:color w:val="000000"/>
          <w:sz w:val="23"/>
        </w:rPr>
        <w:t xml:space="preserve">will be either (x) the full amount of the Payment or (y) a lesser amount that would result in no </w:t>
      </w:r>
      <w:r>
        <w:rPr>
          <w:rFonts w:ascii="Times New Roman" w:hAnsi="Times New Roman"/>
          <w:color w:val="000000"/>
          <w:sz w:val="22"/>
        </w:rPr>
        <w:t xml:space="preserve">portion of the Payment being subject to the </w:t>
      </w:r>
      <w:r>
        <w:rPr>
          <w:rFonts w:ascii="Times New Roman" w:hAnsi="Times New Roman"/>
          <w:color w:val="000000"/>
          <w:sz w:val="23"/>
        </w:rPr>
        <w:t xml:space="preserve">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this Agreement and the Executive will not be reimbursed, indemnified, or held harmless by any member of the Company Group for any of those payments of personal tax liability. </w:t>
      </w:r>
    </w:p>
    <w:p>
      <w:pPr>
        <w:pStyle w:val="TextBody"/>
        <w:bidi w:val="0"/>
        <w:spacing w:before="248" w:after="283"/>
        <w:jc w:val="left"/>
        <w:rPr>
          <w:rFonts w:ascii="Times New Roman" w:hAnsi="Times New Roman"/>
          <w:color w:val="000000"/>
          <w:sz w:val="23"/>
        </w:rPr>
      </w:pPr>
      <w:r>
        <w:rPr>
          <w:rFonts w:ascii="Times New Roman" w:hAnsi="Times New Roman"/>
          <w:color w:val="000000"/>
          <w:sz w:val="23"/>
        </w:rPr>
        <w:t>(b)</w:t>
      </w:r>
    </w:p>
    <w:p>
      <w:pPr>
        <w:pStyle w:val="TextBody"/>
        <w:bidi w:val="0"/>
        <w:spacing w:before="248" w:after="283"/>
        <w:jc w:val="left"/>
        <w:rPr/>
      </w:pPr>
      <w:r>
        <w:rPr>
          <w:rFonts w:ascii="Times New Roman" w:hAnsi="Times New Roman"/>
          <w:color w:val="000000"/>
          <w:sz w:val="23"/>
          <w:u w:val="single"/>
        </w:rPr>
        <w:t>Determination of Excise Tax Liability.</w:t>
      </w:r>
      <w:r>
        <w:rPr>
          <w:color w:val="000000"/>
        </w:rPr>
        <w:t xml:space="preserve"> </w:t>
      </w:r>
      <w:r>
        <w:rPr>
          <w:rFonts w:ascii="Times New Roman" w:hAnsi="Times New Roman"/>
          <w:color w:val="000000"/>
          <w:sz w:val="23"/>
        </w:rPr>
        <w:t xml:space="preserve">Unless the Company and the Executive otherwise agree in writing, the Company will select a professional services firm (the </w:t>
      </w:r>
      <w:r>
        <w:rPr>
          <w:color w:val="000000"/>
        </w:rPr>
        <w:t>“</w:t>
      </w:r>
      <w:r>
        <w:rPr>
          <w:rFonts w:ascii="Times New Roman" w:hAnsi="Times New Roman"/>
          <w:b/>
          <w:color w:val="000000"/>
          <w:sz w:val="23"/>
        </w:rPr>
        <w:t>Firm”</w:t>
      </w:r>
      <w:r>
        <w:rPr>
          <w:rFonts w:ascii="Times New Roman" w:hAnsi="Times New Roman"/>
          <w:color w:val="000000"/>
          <w:sz w:val="23"/>
        </w:rPr>
        <w:t xml:space="preserve">) to make all determinations required under this Section 7, which determinations will be conclusive and binding upon the Executive and the Company for all purposes. For purposes of making the calculations required by this Section 76,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reasonably may request in order to make determinations under this Section 7. The Company will bear the costs and make all </w:t>
      </w:r>
    </w:p>
    <w:p>
      <w:pPr>
        <w:pStyle w:val="HorizontalLine"/>
        <w:pBdr>
          <w:bottom w:val="double" w:sz="2" w:space="0" w:color="808080"/>
        </w:pBdr>
        <w:bidi w:val="0"/>
        <w:spacing w:before="0" w:after="283"/>
        <w:jc w:val="left"/>
        <w:rPr/>
      </w:pPr>
      <w:r>
        <w:rPr/>
      </w:r>
    </w:p>
    <w:p>
      <w:pPr>
        <w:pStyle w:val="TextBody"/>
        <w:bidi w:val="0"/>
        <w:spacing w:before="248" w:after="283"/>
        <w:jc w:val="left"/>
        <w:rPr>
          <w:rFonts w:ascii="Times New Roman" w:hAnsi="Times New Roman"/>
          <w:color w:val="000000"/>
          <w:sz w:val="23"/>
        </w:rPr>
      </w:pPr>
      <w:r>
        <w:rPr>
          <w:rFonts w:ascii="Times New Roman" w:hAnsi="Times New Roman"/>
          <w:color w:val="000000"/>
          <w:sz w:val="23"/>
        </w:rPr>
        <w:t>payments for the Firm's services in connection with any calculations contemplated by this Section 7. The Company will have no liability to the Executive for the determinations of the Firm.</w:t>
      </w:r>
    </w:p>
    <w:p>
      <w:pPr>
        <w:pStyle w:val="TextBody"/>
        <w:bidi w:val="0"/>
        <w:spacing w:before="256" w:after="283"/>
        <w:jc w:val="left"/>
        <w:rPr>
          <w:rFonts w:ascii="Times New Roman" w:hAnsi="Times New Roman"/>
          <w:color w:val="000000"/>
          <w:sz w:val="23"/>
        </w:rPr>
      </w:pPr>
      <w:r>
        <w:rPr>
          <w:rFonts w:ascii="Times New Roman" w:hAnsi="Times New Roman"/>
          <w:color w:val="000000"/>
          <w:sz w:val="23"/>
        </w:rPr>
        <w:t>8.</w:t>
      </w:r>
    </w:p>
    <w:p>
      <w:pPr>
        <w:pStyle w:val="TextBody"/>
        <w:bidi w:val="0"/>
        <w:spacing w:before="256" w:after="283"/>
        <w:jc w:val="left"/>
        <w:rPr/>
      </w:pPr>
      <w:r>
        <w:rPr>
          <w:rFonts w:ascii="Times New Roman" w:hAnsi="Times New Roman"/>
          <w:color w:val="000000"/>
          <w:sz w:val="23"/>
          <w:u w:val="single"/>
        </w:rPr>
        <w:t>Definitions.</w:t>
      </w:r>
      <w:r>
        <w:rPr>
          <w:color w:val="000000"/>
        </w:rPr>
        <w:t xml:space="preserve"> </w:t>
      </w:r>
      <w:r>
        <w:rPr>
          <w:rFonts w:ascii="Times New Roman" w:hAnsi="Times New Roman"/>
          <w:color w:val="000000"/>
          <w:sz w:val="23"/>
        </w:rPr>
        <w:t>The following terms referred to in this Agreement will have the following meanings:</w:t>
      </w:r>
    </w:p>
    <w:p>
      <w:pPr>
        <w:pStyle w:val="TextBody"/>
        <w:bidi w:val="0"/>
        <w:spacing w:before="256" w:after="283"/>
        <w:jc w:val="left"/>
        <w:rPr>
          <w:rFonts w:ascii="Times New Roman" w:hAnsi="Times New Roman"/>
          <w:color w:val="000000"/>
          <w:sz w:val="23"/>
        </w:rPr>
      </w:pPr>
      <w:r>
        <w:rPr>
          <w:rFonts w:ascii="Times New Roman" w:hAnsi="Times New Roman"/>
          <w:color w:val="000000"/>
          <w:sz w:val="23"/>
        </w:rPr>
        <w:t>(a)</w:t>
      </w:r>
    </w:p>
    <w:p>
      <w:pPr>
        <w:pStyle w:val="TextBody"/>
        <w:bidi w:val="0"/>
        <w:spacing w:before="256" w:after="283"/>
        <w:jc w:val="left"/>
        <w:rPr/>
      </w:pPr>
      <w:r>
        <w:rPr>
          <w:color w:val="000000"/>
        </w:rPr>
        <w:t>“</w:t>
      </w:r>
      <w:r>
        <w:rPr>
          <w:rFonts w:ascii="Times New Roman" w:hAnsi="Times New Roman"/>
          <w:b/>
          <w:color w:val="000000"/>
          <w:sz w:val="23"/>
        </w:rPr>
        <w:t xml:space="preserve">Board” </w:t>
      </w:r>
      <w:r>
        <w:rPr>
          <w:rFonts w:ascii="Times New Roman" w:hAnsi="Times New Roman"/>
          <w:color w:val="000000"/>
          <w:sz w:val="23"/>
        </w:rPr>
        <w:t>means the Company’s Board of Directors.</w:t>
      </w:r>
    </w:p>
    <w:p>
      <w:pPr>
        <w:pStyle w:val="TextBody"/>
        <w:bidi w:val="0"/>
        <w:spacing w:before="253"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53" w:after="283"/>
        <w:jc w:val="both"/>
        <w:rPr/>
      </w:pPr>
      <w:r>
        <w:rPr>
          <w:rFonts w:ascii="Times New Roman" w:hAnsi="Times New Roman"/>
          <w:b/>
          <w:color w:val="000000"/>
          <w:sz w:val="23"/>
        </w:rPr>
        <w:t>"Cause”</w:t>
      </w:r>
      <w:r>
        <w:rPr>
          <w:color w:val="000000"/>
        </w:rPr>
        <w:t xml:space="preserve"> </w:t>
      </w:r>
      <w:r>
        <w:rPr>
          <w:rFonts w:ascii="Times New Roman" w:hAnsi="Times New Roman"/>
          <w:color w:val="000000"/>
          <w:sz w:val="23"/>
        </w:rPr>
        <w:t>means (i) the Executive’s willful and repeated failure, in the reasonable judgment of the Board, to substantially perform his or her assigned duties or responsibility as an employee as directed or assigned by the Board (other than the Executive's failure resulting from a Disability); (ii) the Executive engaging in intentional illegal conduct that was or is materially injurious to the Company Group or its affiliates; (iii) the Executive's knowing violation of a federal or state law or regulation directly or indirectly applicable to the business of the Company Group or its affiliates, which violation was or is reasonably likely to be injurious to the Company Group or its affiliates; (iv) the Executive's material breach of the terms of any confidentiality agreement or invention assignment agreement between the Executive and the Company Group (or any affiliate); or (v) the Executive being convicted of or entering a plea of guilty or nolo contendere to, a felony or committing any act of moral turpitude, dishonesty, or fraud against, or the misappropriation of material property belonging to, the Company Group or its affiliates. The foregoing definition does not in any way limit the Company's ability to terminate the Executive’s employment at any time, and the term “Company” will be interpreted to include any subsidiary, parent, affiliate, or any successor thereto, if appropriate.</w:t>
      </w:r>
    </w:p>
    <w:p>
      <w:pPr>
        <w:pStyle w:val="TextBody"/>
        <w:bidi w:val="0"/>
        <w:spacing w:before="225"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25" w:after="283"/>
        <w:jc w:val="both"/>
        <w:rPr/>
      </w:pPr>
      <w:r>
        <w:rPr>
          <w:color w:val="000000"/>
        </w:rPr>
        <w:t>“</w:t>
      </w:r>
      <w:r>
        <w:rPr>
          <w:rFonts w:ascii="Times New Roman" w:hAnsi="Times New Roman"/>
          <w:b/>
          <w:color w:val="000000"/>
          <w:sz w:val="24"/>
        </w:rPr>
        <w:t xml:space="preserve">Change </w:t>
      </w:r>
      <w:r>
        <w:rPr>
          <w:rFonts w:ascii="Times New Roman" w:hAnsi="Times New Roman"/>
          <w:b/>
          <w:color w:val="000000"/>
          <w:sz w:val="22"/>
        </w:rPr>
        <w:t xml:space="preserve">in Control” </w:t>
      </w:r>
      <w:r>
        <w:rPr>
          <w:rFonts w:ascii="Times New Roman" w:hAnsi="Times New Roman"/>
          <w:color w:val="000000"/>
          <w:sz w:val="23"/>
        </w:rPr>
        <w:t>means the occurrence of any of the following events:</w:t>
      </w:r>
    </w:p>
    <w:p>
      <w:pPr>
        <w:pStyle w:val="TextBody"/>
        <w:bidi w:val="0"/>
        <w:spacing w:before="254"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54" w:after="283"/>
        <w:jc w:val="both"/>
        <w:rPr/>
      </w:pPr>
      <w:r>
        <w:rPr>
          <w:rFonts w:ascii="Times New Roman" w:hAnsi="Times New Roman"/>
          <w:color w:val="000000"/>
          <w:sz w:val="23"/>
        </w:rPr>
        <w:t xml:space="preserve">A change in the ownership of the Company which occurs on the date that any one person, or more than one person acting as a group </w:t>
      </w:r>
      <w:r>
        <w:rPr>
          <w:rFonts w:ascii="Times New Roman" w:hAnsi="Times New Roman"/>
          <w:b/>
          <w:color w:val="000000"/>
          <w:sz w:val="23"/>
        </w:rPr>
        <w:t xml:space="preserve">("Person''), </w:t>
      </w:r>
      <w:r>
        <w:rPr>
          <w:rFonts w:ascii="Times New Roman" w:hAnsi="Times New Roman"/>
          <w:color w:val="000000"/>
          <w:sz w:val="23"/>
        </w:rPr>
        <w:t>acquires ownership of the stock of the Company that, with the stock held by such Person, constitutes more than fifty percent (50%) of the total voting power of the stock of the Company; provided, that for this subsection, the acquisition of additional stock by any one Person, who prior to such acquisition is considered to own more than fifty percent (50%) of the total voting power of the stock of the Company will not be considered a Change in Control and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8(c)(i).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221"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21" w:after="283"/>
        <w:jc w:val="both"/>
        <w:rPr>
          <w:rFonts w:ascii="Times New Roman" w:hAnsi="Times New Roman"/>
          <w:color w:val="000000"/>
          <w:sz w:val="23"/>
        </w:rPr>
      </w:pPr>
      <w:r>
        <w:rPr>
          <w:rFonts w:ascii="Times New Roman" w:hAnsi="Times New Roman"/>
          <w:color w:val="000000"/>
          <w:sz w:val="23"/>
        </w:rPr>
        <w:t>A change in the effective control of the Company which occurs on the date a majority of members of the Board is replaced during any twelve (12)-month period by members of the Board whose appointment or election is not endorsed by a majority of the members of the Board prior to the appointment or election. For purposes of this Section 8(c)(ii). if any Person is considered to be in effective control of the Company, the acquisition of additional control of the Company by the same Person will not be considered a Change in Control; or</w:t>
      </w:r>
    </w:p>
    <w:p>
      <w:pPr>
        <w:pStyle w:val="HorizontalLine"/>
        <w:pBdr>
          <w:bottom w:val="double" w:sz="2" w:space="0" w:color="808080"/>
        </w:pBdr>
        <w:bidi w:val="0"/>
        <w:spacing w:before="0" w:after="283"/>
        <w:jc w:val="left"/>
        <w:rPr/>
      </w:pPr>
      <w:r>
        <w:rPr/>
      </w:r>
    </w:p>
    <w:p>
      <w:pPr>
        <w:pStyle w:val="TextBody"/>
        <w:bidi w:val="0"/>
        <w:spacing w:before="238" w:after="283"/>
        <w:jc w:val="both"/>
        <w:rPr>
          <w:rFonts w:ascii="Times New Roman" w:hAnsi="Times New Roman"/>
          <w:color w:val="000000"/>
          <w:sz w:val="23"/>
        </w:rPr>
      </w:pPr>
      <w:r>
        <w:rPr>
          <w:rFonts w:ascii="Times New Roman" w:hAnsi="Times New Roman"/>
          <w:color w:val="000000"/>
          <w:sz w:val="23"/>
        </w:rPr>
        <w:t>(iii)</w:t>
      </w:r>
    </w:p>
    <w:p>
      <w:pPr>
        <w:pStyle w:val="TextBody"/>
        <w:bidi w:val="0"/>
        <w:spacing w:before="238" w:after="283"/>
        <w:jc w:val="both"/>
        <w:rPr>
          <w:rFonts w:ascii="Times New Roman" w:hAnsi="Times New Roman"/>
          <w:color w:val="000000"/>
          <w:sz w:val="23"/>
        </w:rPr>
      </w:pPr>
      <w:r>
        <w:rPr>
          <w:rFonts w:ascii="Times New Roman" w:hAnsi="Times New Roman"/>
          <w:color w:val="000000"/>
          <w:sz w:val="23"/>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that for this Section 8(c)(iii), the following will not constitute a change in the ownership of a substantial portion of the Company's assets:</w:t>
      </w:r>
    </w:p>
    <w:p>
      <w:pPr>
        <w:pStyle w:val="TextBody"/>
        <w:bidi w:val="0"/>
        <w:spacing w:before="2" w:after="283"/>
        <w:jc w:val="left"/>
        <w:rPr/>
      </w:pPr>
      <w:r>
        <w:rPr/>
        <w:t> </w:t>
      </w:r>
    </w:p>
    <w:p>
      <w:pPr>
        <w:pStyle w:val="TextBody"/>
        <w:bidi w:val="0"/>
        <w:spacing w:before="97" w:after="283"/>
        <w:jc w:val="both"/>
        <w:rPr>
          <w:rFonts w:ascii="Times New Roman" w:hAnsi="Times New Roman"/>
          <w:color w:val="000000"/>
          <w:sz w:val="23"/>
        </w:rPr>
      </w:pPr>
      <w:r>
        <w:rPr>
          <w:rFonts w:ascii="Times New Roman" w:hAnsi="Times New Roman"/>
          <w:color w:val="000000"/>
          <w:sz w:val="23"/>
        </w:rPr>
        <w:t>(1)</w:t>
      </w:r>
    </w:p>
    <w:p>
      <w:pPr>
        <w:pStyle w:val="TextBody"/>
        <w:bidi w:val="0"/>
        <w:spacing w:before="97" w:after="283"/>
        <w:jc w:val="both"/>
        <w:rPr>
          <w:rFonts w:ascii="Times New Roman" w:hAnsi="Times New Roman"/>
          <w:color w:val="000000"/>
          <w:sz w:val="23"/>
        </w:rPr>
      </w:pPr>
      <w:r>
        <w:rPr>
          <w:rFonts w:ascii="Times New Roman" w:hAnsi="Times New Roman"/>
          <w:color w:val="000000"/>
          <w:sz w:val="23"/>
        </w:rPr>
        <w:t xml:space="preserve">a transfer to an entity controlled by the Company’s stockholders immediately after the transfer, or </w:t>
      </w:r>
    </w:p>
    <w:p>
      <w:pPr>
        <w:pStyle w:val="TextBody"/>
        <w:bidi w:val="0"/>
        <w:spacing w:before="252" w:after="283"/>
        <w:jc w:val="both"/>
        <w:rPr>
          <w:rFonts w:ascii="Times New Roman" w:hAnsi="Times New Roman"/>
          <w:color w:val="000000"/>
          <w:sz w:val="23"/>
        </w:rPr>
      </w:pPr>
      <w:r>
        <w:rPr>
          <w:rFonts w:ascii="Times New Roman" w:hAnsi="Times New Roman"/>
          <w:color w:val="000000"/>
          <w:sz w:val="23"/>
        </w:rPr>
        <w:t>(2)</w:t>
      </w:r>
    </w:p>
    <w:p>
      <w:pPr>
        <w:pStyle w:val="TextBody"/>
        <w:bidi w:val="0"/>
        <w:spacing w:before="252" w:after="283"/>
        <w:jc w:val="both"/>
        <w:rPr>
          <w:rFonts w:ascii="Times New Roman" w:hAnsi="Times New Roman"/>
          <w:color w:val="000000"/>
          <w:sz w:val="23"/>
        </w:rPr>
      </w:pPr>
      <w:r>
        <w:rPr>
          <w:rFonts w:ascii="Times New Roman" w:hAnsi="Times New Roman"/>
          <w:color w:val="000000"/>
          <w:sz w:val="23"/>
        </w:rPr>
        <w:t>a transfer of assets by the Company to:</w:t>
      </w:r>
    </w:p>
    <w:p>
      <w:pPr>
        <w:pStyle w:val="TextBody"/>
        <w:bidi w:val="0"/>
        <w:spacing w:before="245"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45" w:after="283"/>
        <w:jc w:val="both"/>
        <w:rPr>
          <w:rFonts w:ascii="Times New Roman" w:hAnsi="Times New Roman"/>
          <w:color w:val="000000"/>
          <w:sz w:val="23"/>
        </w:rPr>
      </w:pPr>
      <w:r>
        <w:rPr>
          <w:rFonts w:ascii="Times New Roman" w:hAnsi="Times New Roman"/>
          <w:color w:val="000000"/>
          <w:sz w:val="23"/>
        </w:rPr>
        <w:t>a stockholder of the Company (immediately before the asset transfer) in exchange for or with respect to the Company's stock,</w:t>
      </w:r>
    </w:p>
    <w:p>
      <w:pPr>
        <w:pStyle w:val="TextBody"/>
        <w:bidi w:val="0"/>
        <w:spacing w:before="243"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43" w:after="283"/>
        <w:jc w:val="both"/>
        <w:rPr>
          <w:rFonts w:ascii="Times New Roman" w:hAnsi="Times New Roman"/>
          <w:color w:val="000000"/>
          <w:sz w:val="23"/>
        </w:rPr>
      </w:pPr>
      <w:r>
        <w:rPr>
          <w:rFonts w:ascii="Times New Roman" w:hAnsi="Times New Roman"/>
          <w:color w:val="000000"/>
          <w:sz w:val="23"/>
        </w:rPr>
        <w:t>an entity, fifty percent (50%) or more of the total value or voting power of which is owned, directly or indirectly, by the Company,</w:t>
      </w:r>
    </w:p>
    <w:p>
      <w:pPr>
        <w:pStyle w:val="TextBody"/>
        <w:bidi w:val="0"/>
        <w:spacing w:before="239"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39" w:after="283"/>
        <w:jc w:val="both"/>
        <w:rPr>
          <w:rFonts w:ascii="Times New Roman" w:hAnsi="Times New Roman"/>
          <w:color w:val="000000"/>
          <w:sz w:val="23"/>
        </w:rPr>
      </w:pPr>
      <w:r>
        <w:rPr>
          <w:rFonts w:ascii="Times New Roman" w:hAnsi="Times New Roman"/>
          <w:color w:val="000000"/>
          <w:sz w:val="23"/>
        </w:rPr>
        <w:t>a Person, that owns, directly or indirectly, fifty percent (50%) or more of the total value or voting power of all the outstanding stock of the Company, or</w:t>
      </w:r>
    </w:p>
    <w:p>
      <w:pPr>
        <w:pStyle w:val="TextBody"/>
        <w:bidi w:val="0"/>
        <w:spacing w:before="252"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52" w:after="283"/>
        <w:jc w:val="both"/>
        <w:rPr>
          <w:rFonts w:ascii="Times New Roman" w:hAnsi="Times New Roman"/>
          <w:color w:val="000000"/>
          <w:sz w:val="23"/>
        </w:rPr>
      </w:pPr>
      <w:r>
        <w:rPr>
          <w:rFonts w:ascii="Times New Roman" w:hAnsi="Times New Roman"/>
          <w:color w:val="000000"/>
          <w:sz w:val="23"/>
        </w:rPr>
        <w:t>an entity, at least fifty percent (50%) of the total value or voting power of ·which is owned, directly or indirectly, by a Person described in Section 8(c)(iii)(2)(A) to Section 8(c)(iii)(2)(C).</w:t>
      </w:r>
    </w:p>
    <w:p>
      <w:pPr>
        <w:pStyle w:val="TextBody"/>
        <w:bidi w:val="0"/>
        <w:spacing w:before="244" w:after="283"/>
        <w:jc w:val="both"/>
        <w:rPr>
          <w:rFonts w:ascii="Times New Roman" w:hAnsi="Times New Roman"/>
          <w:color w:val="000000"/>
          <w:sz w:val="23"/>
        </w:rPr>
      </w:pPr>
      <w:r>
        <w:rPr>
          <w:rFonts w:ascii="Times New Roman" w:hAnsi="Times New Roman"/>
          <w:color w:val="000000"/>
          <w:sz w:val="23"/>
        </w:rPr>
        <w:t>For this definition, gross fair market value means the value of the assets of the Company, or the value of the assets being disposed of determined without regard to any liabilities associated with such assets.</w:t>
      </w:r>
    </w:p>
    <w:p>
      <w:pPr>
        <w:pStyle w:val="TextBody"/>
        <w:bidi w:val="0"/>
        <w:spacing w:before="238" w:after="283"/>
        <w:jc w:val="both"/>
        <w:rPr>
          <w:rFonts w:ascii="Times New Roman" w:hAnsi="Times New Roman"/>
          <w:sz w:val="20"/>
        </w:rPr>
      </w:pPr>
      <w:r>
        <w:rPr>
          <w:rFonts w:ascii="Times New Roman" w:hAnsi="Times New Roman"/>
          <w:color w:val="000000"/>
          <w:sz w:val="23"/>
        </w:rPr>
        <w:t xml:space="preserve">For purposes of this Section 8(c), persons </w:t>
      </w:r>
      <w:r>
        <w:rPr>
          <w:rFonts w:ascii="Times New Roman" w:hAnsi="Times New Roman"/>
          <w:color w:val="000000"/>
          <w:sz w:val="24"/>
        </w:rPr>
        <w:t xml:space="preserve">will </w:t>
      </w:r>
      <w:r>
        <w:rPr>
          <w:rFonts w:ascii="Times New Roman" w:hAnsi="Times New Roman"/>
          <w:color w:val="000000"/>
          <w:sz w:val="23"/>
        </w:rPr>
        <w:t xml:space="preserve">be considered to be acting as a group if they are owners of a corporation that enters into a merger, consolidation, purchase or acquisition of stock, or similar business transaction with the Company. For the avoidance of doubt, wholly owned subsidiaries of the Company shall not be considered “Persons” for purposes of this Section </w:t>
      </w:r>
      <w:r>
        <w:rPr>
          <w:rFonts w:ascii="Times New Roman" w:hAnsi="Times New Roman"/>
          <w:color w:val="000000"/>
          <w:sz w:val="22"/>
        </w:rPr>
        <w:t>8(c).</w:t>
      </w:r>
    </w:p>
    <w:p>
      <w:pPr>
        <w:pStyle w:val="TextBody"/>
        <w:bidi w:val="0"/>
        <w:spacing w:before="240" w:after="283"/>
        <w:jc w:val="right"/>
        <w:rPr>
          <w:rFonts w:ascii="Times New Roman" w:hAnsi="Times New Roman"/>
          <w:color w:val="000000"/>
          <w:sz w:val="23"/>
        </w:rPr>
      </w:pPr>
      <w:r>
        <w:rPr>
          <w:rFonts w:ascii="Times New Roman" w:hAnsi="Times New Roman"/>
          <w:color w:val="000000"/>
          <w:sz w:val="23"/>
        </w:rPr>
        <w:t>(iv)</w:t>
      </w:r>
    </w:p>
    <w:p>
      <w:pPr>
        <w:pStyle w:val="TextBody"/>
        <w:bidi w:val="0"/>
        <w:spacing w:before="240" w:after="283"/>
        <w:jc w:val="right"/>
        <w:rPr>
          <w:rFonts w:ascii="Times New Roman" w:hAnsi="Times New Roman"/>
          <w:color w:val="000000"/>
          <w:sz w:val="23"/>
        </w:rPr>
      </w:pPr>
      <w:r>
        <w:rPr>
          <w:rFonts w:ascii="Times New Roman" w:hAnsi="Times New Roman"/>
          <w:color w:val="000000"/>
          <w:sz w:val="23"/>
        </w:rPr>
        <w:t>A transaction will not be a Change in Control:</w:t>
      </w:r>
    </w:p>
    <w:p>
      <w:pPr>
        <w:pStyle w:val="TextBody"/>
        <w:bidi w:val="0"/>
        <w:spacing w:before="259" w:after="283"/>
        <w:jc w:val="both"/>
        <w:rPr>
          <w:rFonts w:ascii="Times New Roman" w:hAnsi="Times New Roman"/>
          <w:color w:val="000000"/>
          <w:sz w:val="23"/>
        </w:rPr>
      </w:pPr>
      <w:r>
        <w:rPr>
          <w:rFonts w:ascii="Times New Roman" w:hAnsi="Times New Roman"/>
          <w:color w:val="000000"/>
          <w:sz w:val="23"/>
        </w:rPr>
        <w:t>(1)</w:t>
      </w:r>
    </w:p>
    <w:p>
      <w:pPr>
        <w:pStyle w:val="TextBody"/>
        <w:bidi w:val="0"/>
        <w:spacing w:before="259" w:after="283"/>
        <w:jc w:val="both"/>
        <w:rPr>
          <w:rFonts w:ascii="Times New Roman" w:hAnsi="Times New Roman"/>
          <w:color w:val="000000"/>
          <w:sz w:val="23"/>
        </w:rPr>
      </w:pPr>
      <w:r>
        <w:rPr>
          <w:rFonts w:ascii="Times New Roman" w:hAnsi="Times New Roman"/>
          <w:color w:val="000000"/>
          <w:sz w:val="23"/>
        </w:rPr>
        <w:t>unless the transaction qualifies as a change in control event within the meaning of Code Section 409A; or</w:t>
      </w:r>
    </w:p>
    <w:p>
      <w:pPr>
        <w:pStyle w:val="TextBody"/>
        <w:bidi w:val="0"/>
        <w:spacing w:before="255" w:after="283"/>
        <w:jc w:val="both"/>
        <w:rPr>
          <w:rFonts w:ascii="Times New Roman" w:hAnsi="Times New Roman"/>
          <w:color w:val="000000"/>
          <w:sz w:val="23"/>
        </w:rPr>
      </w:pPr>
      <w:r>
        <w:rPr>
          <w:rFonts w:ascii="Times New Roman" w:hAnsi="Times New Roman"/>
          <w:color w:val="000000"/>
          <w:sz w:val="23"/>
        </w:rPr>
        <w:t>(2)</w:t>
      </w:r>
    </w:p>
    <w:p>
      <w:pPr>
        <w:pStyle w:val="TextBody"/>
        <w:bidi w:val="0"/>
        <w:spacing w:before="255" w:after="283"/>
        <w:jc w:val="both"/>
        <w:rPr/>
      </w:pPr>
      <w:r>
        <w:rPr>
          <w:rFonts w:ascii="Times New Roman" w:hAnsi="Times New Roman"/>
          <w:color w:val="000000"/>
          <w:sz w:val="23"/>
        </w:rPr>
        <w:t xml:space="preserve">if its primary purpose is to </w:t>
      </w:r>
      <w:r>
        <w:rPr>
          <w:rFonts w:ascii="Times New Roman" w:hAnsi="Times New Roman"/>
          <w:color w:val="000000"/>
          <w:sz w:val="22"/>
        </w:rPr>
        <w:t xml:space="preserve">(1) </w:t>
      </w:r>
      <w:r>
        <w:rPr>
          <w:rFonts w:ascii="Times New Roman" w:hAnsi="Times New Roman"/>
          <w:color w:val="000000"/>
          <w:sz w:val="23"/>
        </w:rPr>
        <w:t>change the jurisdiction of the Company's incorporation, or (2) create a holding company owned in substantially the same proportions by the persons who held the Company’s securities immediately before such transaction.</w:t>
      </w:r>
    </w:p>
    <w:p>
      <w:pPr>
        <w:pStyle w:val="TextBody"/>
        <w:bidi w:val="0"/>
        <w:spacing w:before="255" w:after="283"/>
        <w:jc w:val="both"/>
        <w:rPr/>
      </w:pPr>
      <w:r>
        <w:rPr/>
        <w:t> </w:t>
      </w:r>
    </w:p>
    <w:p>
      <w:pPr>
        <w:pStyle w:val="TextBody"/>
        <w:bidi w:val="0"/>
        <w:spacing w:before="18" w:after="283"/>
        <w:jc w:val="left"/>
        <w:rPr>
          <w:rFonts w:ascii="Times New Roman" w:hAnsi="Times New Roman"/>
          <w:color w:val="000000"/>
          <w:sz w:val="23"/>
        </w:rPr>
      </w:pPr>
      <w:r>
        <w:rPr>
          <w:rFonts w:ascii="Times New Roman" w:hAnsi="Times New Roman"/>
          <w:color w:val="000000"/>
          <w:sz w:val="23"/>
        </w:rPr>
        <w:t>(d)</w:t>
      </w:r>
    </w:p>
    <w:p>
      <w:pPr>
        <w:pStyle w:val="TextBody"/>
        <w:bidi w:val="0"/>
        <w:spacing w:before="18" w:after="283"/>
        <w:jc w:val="left"/>
        <w:rPr/>
      </w:pPr>
      <w:r>
        <w:rPr>
          <w:color w:val="000000"/>
        </w:rPr>
        <w:t>“</w:t>
      </w:r>
      <w:r>
        <w:rPr>
          <w:rFonts w:ascii="Times New Roman" w:hAnsi="Times New Roman"/>
          <w:b/>
          <w:color w:val="000000"/>
          <w:sz w:val="23"/>
        </w:rPr>
        <w:t>Change in Control Period</w:t>
      </w:r>
      <w:r>
        <w:rPr>
          <w:color w:val="000000"/>
        </w:rPr>
        <w:t xml:space="preserve">” </w:t>
      </w:r>
      <w:r>
        <w:rPr>
          <w:rFonts w:ascii="Times New Roman" w:hAnsi="Times New Roman"/>
          <w:color w:val="000000"/>
          <w:sz w:val="23"/>
        </w:rPr>
        <w:t>means the period beginning on the date a LOI or similar agreement is made between the Company and an acquiror, provided such date occurs no earlier than nine (9) months prior to a Change in Control, and ending twelve (12) months following a Change in Control.</w:t>
      </w:r>
    </w:p>
    <w:p>
      <w:pPr>
        <w:pStyle w:val="TextBody"/>
        <w:bidi w:val="0"/>
        <w:spacing w:before="18" w:after="283"/>
        <w:jc w:val="left"/>
        <w:rPr>
          <w:rFonts w:ascii="Times New Roman" w:hAnsi="Times New Roman"/>
          <w:color w:val="000000"/>
          <w:sz w:val="23"/>
        </w:rPr>
      </w:pPr>
      <w:r>
        <w:rPr>
          <w:rFonts w:ascii="Times New Roman" w:hAnsi="Times New Roman"/>
          <w:color w:val="000000"/>
          <w:sz w:val="23"/>
        </w:rPr>
        <w:t>(e)</w:t>
      </w:r>
    </w:p>
    <w:p>
      <w:pPr>
        <w:pStyle w:val="TextBody"/>
        <w:bidi w:val="0"/>
        <w:spacing w:before="18" w:after="283"/>
        <w:jc w:val="left"/>
        <w:rPr/>
      </w:pPr>
      <w:r>
        <w:rPr>
          <w:color w:val="000000"/>
        </w:rPr>
        <w:t>“</w:t>
      </w:r>
      <w:r>
        <w:rPr>
          <w:rFonts w:ascii="Times New Roman" w:hAnsi="Times New Roman"/>
          <w:b/>
          <w:color w:val="000000"/>
          <w:sz w:val="22"/>
        </w:rPr>
        <w:t>COBRA”</w:t>
      </w:r>
      <w:r>
        <w:rPr>
          <w:rFonts w:ascii="Times New Roman" w:hAnsi="Times New Roman"/>
          <w:color w:val="000000"/>
          <w:sz w:val="22"/>
        </w:rPr>
        <w:t>' means the Consolidated Omnibus Budget Reconciliation Act of 1985, as amended.</w:t>
      </w:r>
    </w:p>
    <w:p>
      <w:pPr>
        <w:pStyle w:val="HorizontalLine"/>
        <w:pBdr>
          <w:bottom w:val="double" w:sz="2" w:space="0" w:color="808080"/>
        </w:pBdr>
        <w:bidi w:val="0"/>
        <w:spacing w:before="0" w:after="283"/>
        <w:jc w:val="left"/>
        <w:rPr/>
      </w:pPr>
      <w:r>
        <w:rPr/>
      </w:r>
    </w:p>
    <w:p>
      <w:pPr>
        <w:pStyle w:val="TextBody"/>
        <w:bidi w:val="0"/>
        <w:spacing w:before="18" w:after="283"/>
        <w:jc w:val="left"/>
        <w:rPr>
          <w:rFonts w:ascii="Times New Roman" w:hAnsi="Times New Roman"/>
          <w:color w:val="000000"/>
          <w:sz w:val="23"/>
        </w:rPr>
      </w:pPr>
      <w:r>
        <w:rPr>
          <w:rFonts w:ascii="Times New Roman" w:hAnsi="Times New Roman"/>
          <w:color w:val="000000"/>
          <w:sz w:val="23"/>
        </w:rPr>
        <w:t>(f)</w:t>
      </w:r>
    </w:p>
    <w:p>
      <w:pPr>
        <w:pStyle w:val="TextBody"/>
        <w:bidi w:val="0"/>
        <w:spacing w:before="18" w:after="283"/>
        <w:jc w:val="left"/>
        <w:rPr/>
      </w:pPr>
      <w:r>
        <w:rPr>
          <w:color w:val="000000"/>
        </w:rPr>
        <w:t>“</w:t>
      </w:r>
      <w:r>
        <w:rPr>
          <w:rFonts w:ascii="Times New Roman" w:hAnsi="Times New Roman"/>
          <w:b/>
          <w:color w:val="000000"/>
          <w:sz w:val="23"/>
        </w:rPr>
        <w:t xml:space="preserve">Code” </w:t>
      </w:r>
      <w:r>
        <w:rPr>
          <w:rFonts w:ascii="Times New Roman" w:hAnsi="Times New Roman"/>
          <w:color w:val="000000"/>
          <w:sz w:val="23"/>
        </w:rPr>
        <w:t>means the Internal Revenue Code of 1986, as amended.</w:t>
      </w:r>
    </w:p>
    <w:p>
      <w:pPr>
        <w:pStyle w:val="TextBody"/>
        <w:bidi w:val="0"/>
        <w:spacing w:before="18" w:after="283"/>
        <w:jc w:val="left"/>
        <w:rPr>
          <w:rFonts w:ascii="Times New Roman" w:hAnsi="Times New Roman"/>
          <w:color w:val="000000"/>
          <w:sz w:val="23"/>
        </w:rPr>
      </w:pPr>
      <w:r>
        <w:rPr>
          <w:rFonts w:ascii="Times New Roman" w:hAnsi="Times New Roman"/>
          <w:color w:val="000000"/>
          <w:sz w:val="23"/>
        </w:rPr>
        <w:t>(g)</w:t>
      </w:r>
    </w:p>
    <w:p>
      <w:pPr>
        <w:pStyle w:val="TextBody"/>
        <w:bidi w:val="0"/>
        <w:spacing w:before="18" w:after="283"/>
        <w:jc w:val="left"/>
        <w:rPr/>
      </w:pPr>
      <w:r>
        <w:rPr>
          <w:color w:val="000000"/>
        </w:rPr>
        <w:t>“</w:t>
      </w:r>
      <w:r>
        <w:rPr>
          <w:rFonts w:ascii="Times New Roman" w:hAnsi="Times New Roman"/>
          <w:b/>
          <w:color w:val="000000"/>
          <w:sz w:val="23"/>
        </w:rPr>
        <w:t>Company Group”</w:t>
      </w:r>
      <w:r>
        <w:rPr>
          <w:color w:val="000000"/>
        </w:rPr>
        <w:t xml:space="preserve"> </w:t>
      </w:r>
      <w:r>
        <w:rPr>
          <w:rFonts w:ascii="Times New Roman" w:hAnsi="Times New Roman"/>
          <w:color w:val="000000"/>
          <w:sz w:val="23"/>
        </w:rPr>
        <w:t>means the Company and its subsidiaries.</w:t>
      </w:r>
    </w:p>
    <w:p>
      <w:pPr>
        <w:pStyle w:val="TextBody"/>
        <w:bidi w:val="0"/>
        <w:spacing w:before="18" w:after="283"/>
        <w:jc w:val="left"/>
        <w:rPr>
          <w:rFonts w:ascii="Times New Roman" w:hAnsi="Times New Roman"/>
          <w:color w:val="000000"/>
          <w:sz w:val="23"/>
        </w:rPr>
      </w:pPr>
      <w:r>
        <w:rPr>
          <w:rFonts w:ascii="Times New Roman" w:hAnsi="Times New Roman"/>
          <w:color w:val="000000"/>
          <w:sz w:val="23"/>
        </w:rPr>
        <w:t>(h)</w:t>
      </w:r>
    </w:p>
    <w:p>
      <w:pPr>
        <w:pStyle w:val="TextBody"/>
        <w:bidi w:val="0"/>
        <w:spacing w:before="18" w:after="283"/>
        <w:jc w:val="left"/>
        <w:rPr/>
      </w:pPr>
      <w:r>
        <w:rPr>
          <w:color w:val="000000"/>
        </w:rPr>
        <w:t>“</w:t>
      </w:r>
      <w:r>
        <w:rPr>
          <w:rFonts w:ascii="Times New Roman" w:hAnsi="Times New Roman"/>
          <w:b/>
          <w:color w:val="000000"/>
          <w:sz w:val="23"/>
        </w:rPr>
        <w:t xml:space="preserve">Disability” </w:t>
      </w:r>
      <w:r>
        <w:rPr>
          <w:rFonts w:ascii="Times New Roman" w:hAnsi="Times New Roman"/>
          <w:color w:val="000000"/>
          <w:sz w:val="23"/>
        </w:rPr>
        <w:t xml:space="preserve">means a total and permanent disability as defined m Section </w:t>
      </w:r>
      <w:r>
        <w:rPr>
          <w:rFonts w:ascii="Times New Roman" w:hAnsi="Times New Roman"/>
          <w:color w:val="000000"/>
          <w:sz w:val="22"/>
        </w:rPr>
        <w:t>22(</w:t>
      </w:r>
      <w:r>
        <w:rPr>
          <w:rFonts w:ascii="Times New Roman" w:hAnsi="Times New Roman"/>
          <w:color w:val="000000"/>
          <w:sz w:val="23"/>
        </w:rPr>
        <w:t>e</w:t>
      </w:r>
      <w:r>
        <w:rPr>
          <w:rFonts w:ascii="Times New Roman" w:hAnsi="Times New Roman"/>
          <w:color w:val="000000"/>
          <w:sz w:val="22"/>
        </w:rPr>
        <w:t xml:space="preserve">)(3) </w:t>
      </w:r>
      <w:r>
        <w:rPr>
          <w:rFonts w:ascii="Times New Roman" w:hAnsi="Times New Roman"/>
          <w:color w:val="000000"/>
          <w:sz w:val="23"/>
        </w:rPr>
        <w:t>of the Code.</w:t>
      </w:r>
    </w:p>
    <w:p>
      <w:pPr>
        <w:pStyle w:val="TextBody"/>
        <w:bidi w:val="0"/>
        <w:spacing w:before="18"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18" w:after="283"/>
        <w:jc w:val="both"/>
        <w:rPr/>
      </w:pPr>
      <w:r>
        <w:rPr>
          <w:color w:val="000000"/>
        </w:rPr>
        <w:t>“</w:t>
      </w:r>
      <w:r>
        <w:rPr>
          <w:rFonts w:ascii="Times New Roman" w:hAnsi="Times New Roman"/>
          <w:b/>
          <w:color w:val="000000"/>
          <w:sz w:val="23"/>
        </w:rPr>
        <w:t xml:space="preserve">Good Reason'' </w:t>
      </w:r>
      <w:r>
        <w:rPr>
          <w:rFonts w:ascii="Times New Roman" w:hAnsi="Times New Roman"/>
          <w:color w:val="000000"/>
          <w:sz w:val="23"/>
        </w:rPr>
        <w:t xml:space="preserve">means the Executive's resignation due to the occurrence of any of the following conditions which occurs without the Executive's written consent, provided that the requirements regarding advance notice and an opportunity to cure set forth below are satisfied: (i) a material reduction in the Executive's Salary, which the parties agree is a reduction of at least ten percent (10%) of the Executive's Salary; (ii) a material reduction of the Executive's duties, authorities, or responsibilities relative to the Executive's duties, authorities, or responsibilities in effect immediately prior to the reduction, including where such material reduction results solely by virtue of the Company being acquired and made part of a larger entity (as, for example, when the Chief Financial Officer of the Company remains as such following a Change in Control but is not made the Chief Financial Officer of the acquiring corporation); or (iii) a change by more than fifty (50) miles in the geographic location at which the Executive must perform services; </w:t>
      </w:r>
      <w:r>
        <w:rPr>
          <w:rFonts w:ascii="Times New Roman" w:hAnsi="Times New Roman"/>
          <w:i/>
          <w:color w:val="000000"/>
          <w:sz w:val="23"/>
        </w:rPr>
        <w:t xml:space="preserve">provided, however, </w:t>
      </w:r>
      <w:r>
        <w:rPr>
          <w:rFonts w:ascii="Times New Roman" w:hAnsi="Times New Roman"/>
          <w:color w:val="000000"/>
          <w:sz w:val="23"/>
        </w:rPr>
        <w:t xml:space="preserve">that no condition described herein will constitute “Good Reason" for purposes of this Agreement unless (1) the Executive will have first provided written notice to the Board of the existence of the condition within ninety (90) days of the initial existence of such Good Reason condition; (2) the Board will have failed to remedy the condition within thirty (30) days following the receipt of such notice (the </w:t>
      </w:r>
      <w:r>
        <w:rPr>
          <w:color w:val="000000"/>
        </w:rPr>
        <w:t>“</w:t>
      </w:r>
      <w:r>
        <w:rPr>
          <w:rFonts w:ascii="Times New Roman" w:hAnsi="Times New Roman"/>
          <w:b/>
          <w:color w:val="000000"/>
          <w:sz w:val="23"/>
        </w:rPr>
        <w:t xml:space="preserve">Cure Period”); </w:t>
      </w:r>
      <w:r>
        <w:rPr>
          <w:rFonts w:ascii="Times New Roman" w:hAnsi="Times New Roman"/>
          <w:color w:val="000000"/>
          <w:sz w:val="23"/>
        </w:rPr>
        <w:t>(3) the Executive must cooperate in good faith with any efforts by the Company to remedy the Good Reason condition; (4) the Good Reason condition must continue to exist upon completion of the Cure Period; and (5) the date of termination of employment occurs no more than thirty (30) days after the end of the Cure Period. In no instance will a termination by the Executive be deemed to be for Good Reason for purposes of this Agreement if it becomes effective more than twelve (12) months following the initial existence of the Good Reason condition.</w:t>
      </w:r>
    </w:p>
    <w:p>
      <w:pPr>
        <w:pStyle w:val="TextBody"/>
        <w:bidi w:val="0"/>
        <w:spacing w:before="246" w:after="283"/>
        <w:jc w:val="both"/>
        <w:rPr>
          <w:rFonts w:ascii="Times New Roman" w:hAnsi="Times New Roman"/>
          <w:color w:val="000000"/>
          <w:sz w:val="23"/>
        </w:rPr>
      </w:pPr>
      <w:r>
        <w:rPr>
          <w:rFonts w:ascii="Times New Roman" w:hAnsi="Times New Roman"/>
          <w:color w:val="000000"/>
          <w:sz w:val="23"/>
        </w:rPr>
        <w:t>(j)</w:t>
      </w:r>
    </w:p>
    <w:p>
      <w:pPr>
        <w:pStyle w:val="TextBody"/>
        <w:bidi w:val="0"/>
        <w:spacing w:before="246" w:after="283"/>
        <w:jc w:val="both"/>
        <w:rPr/>
      </w:pPr>
      <w:r>
        <w:rPr>
          <w:color w:val="000000"/>
        </w:rPr>
        <w:t>“</w:t>
      </w:r>
      <w:r>
        <w:rPr>
          <w:rFonts w:ascii="Times New Roman" w:hAnsi="Times New Roman"/>
          <w:b/>
          <w:color w:val="000000"/>
          <w:sz w:val="23"/>
        </w:rPr>
        <w:t>Qualifying Pre</w:t>
      </w:r>
      <w:r>
        <w:rPr>
          <w:rFonts w:ascii="Times New Roman" w:hAnsi="Times New Roman"/>
          <w:color w:val="000000"/>
          <w:sz w:val="23"/>
        </w:rPr>
        <w:t>-</w:t>
      </w:r>
      <w:r>
        <w:rPr>
          <w:rFonts w:ascii="Times New Roman" w:hAnsi="Times New Roman"/>
          <w:b/>
          <w:color w:val="000000"/>
          <w:sz w:val="23"/>
        </w:rPr>
        <w:t>CIC</w:t>
      </w:r>
      <w:r>
        <w:rPr>
          <w:color w:val="000000"/>
        </w:rPr>
        <w:t xml:space="preserve"> </w:t>
      </w:r>
      <w:r>
        <w:rPr>
          <w:rFonts w:ascii="Times New Roman" w:hAnsi="Times New Roman"/>
          <w:b/>
          <w:color w:val="000000"/>
          <w:sz w:val="23"/>
        </w:rPr>
        <w:t xml:space="preserve">Termination” </w:t>
      </w:r>
      <w:r>
        <w:rPr>
          <w:rFonts w:ascii="Times New Roman" w:hAnsi="Times New Roman"/>
          <w:color w:val="000000"/>
          <w:sz w:val="23"/>
        </w:rPr>
        <w:t>means a Qualifying CIC Termination that occurs after a letter of intent (an “</w:t>
      </w:r>
      <w:r>
        <w:rPr>
          <w:rFonts w:ascii="Times New Roman" w:hAnsi="Times New Roman"/>
          <w:b/>
          <w:color w:val="000000"/>
          <w:sz w:val="23"/>
        </w:rPr>
        <w:t>LOI</w:t>
      </w:r>
      <w:r>
        <w:rPr>
          <w:color w:val="000000"/>
        </w:rPr>
        <w:t>”</w:t>
      </w:r>
      <w:r>
        <w:rPr>
          <w:rFonts w:ascii="Arial" w:hAnsi="Arial"/>
          <w:b/>
          <w:color w:val="000000"/>
          <w:sz w:val="22"/>
        </w:rPr>
        <w:t xml:space="preserve">) </w:t>
      </w:r>
      <w:r>
        <w:rPr>
          <w:rFonts w:ascii="Times New Roman" w:hAnsi="Times New Roman"/>
          <w:color w:val="000000"/>
          <w:sz w:val="23"/>
        </w:rPr>
        <w:t>or similar agreement is made between the Company and an acquiror, but prior to the date of the Change in Control.</w:t>
      </w:r>
    </w:p>
    <w:p>
      <w:pPr>
        <w:pStyle w:val="TextBody"/>
        <w:bidi w:val="0"/>
        <w:spacing w:before="236" w:after="283"/>
        <w:jc w:val="both"/>
        <w:rPr>
          <w:rFonts w:ascii="Times New Roman" w:hAnsi="Times New Roman"/>
          <w:color w:val="000000"/>
          <w:sz w:val="23"/>
        </w:rPr>
      </w:pPr>
      <w:r>
        <w:rPr>
          <w:rFonts w:ascii="Times New Roman" w:hAnsi="Times New Roman"/>
          <w:color w:val="000000"/>
          <w:sz w:val="23"/>
        </w:rPr>
        <w:t>(k)</w:t>
      </w:r>
    </w:p>
    <w:p>
      <w:pPr>
        <w:pStyle w:val="TextBody"/>
        <w:bidi w:val="0"/>
        <w:spacing w:before="236" w:after="283"/>
        <w:jc w:val="both"/>
        <w:rPr/>
      </w:pPr>
      <w:r>
        <w:rPr>
          <w:color w:val="000000"/>
        </w:rPr>
        <w:t>“</w:t>
      </w:r>
      <w:r>
        <w:rPr>
          <w:rFonts w:ascii="Times New Roman" w:hAnsi="Times New Roman"/>
          <w:b/>
          <w:color w:val="000000"/>
          <w:sz w:val="23"/>
        </w:rPr>
        <w:t xml:space="preserve">Qualifying Termination” </w:t>
      </w:r>
      <w:r>
        <w:rPr>
          <w:rFonts w:ascii="Times New Roman" w:hAnsi="Times New Roman"/>
          <w:color w:val="000000"/>
          <w:sz w:val="23"/>
        </w:rPr>
        <w:t xml:space="preserve">means a termination of the Executive’s employment either </w:t>
      </w:r>
      <w:r>
        <w:rPr>
          <w:rFonts w:ascii="Times New Roman" w:hAnsi="Times New Roman"/>
          <w:color w:val="000000"/>
          <w:sz w:val="22"/>
        </w:rPr>
        <w:t xml:space="preserve">(i) </w:t>
      </w:r>
      <w:r>
        <w:rPr>
          <w:rFonts w:ascii="Times New Roman" w:hAnsi="Times New Roman"/>
          <w:color w:val="000000"/>
          <w:sz w:val="23"/>
        </w:rPr>
        <w:t>by a Company Group member without Cause and other than by reason of the Executive's death or Disability, or (ii) by the Executive for Good Reason, in either case, during the Change in Control Period (a "</w:t>
      </w:r>
      <w:r>
        <w:rPr>
          <w:rFonts w:ascii="Times New Roman" w:hAnsi="Times New Roman"/>
          <w:b/>
          <w:color w:val="000000"/>
          <w:sz w:val="23"/>
        </w:rPr>
        <w:t>Qualifying</w:t>
      </w:r>
      <w:r>
        <w:rPr>
          <w:color w:val="000000"/>
        </w:rPr>
        <w:t xml:space="preserve"> </w:t>
      </w:r>
      <w:r>
        <w:rPr>
          <w:rFonts w:ascii="Times New Roman" w:hAnsi="Times New Roman"/>
          <w:b/>
          <w:color w:val="000000"/>
          <w:sz w:val="23"/>
        </w:rPr>
        <w:t xml:space="preserve">CIC Termination”) </w:t>
      </w:r>
      <w:r>
        <w:rPr>
          <w:rFonts w:ascii="Times New Roman" w:hAnsi="Times New Roman"/>
          <w:color w:val="000000"/>
          <w:sz w:val="23"/>
        </w:rPr>
        <w:t xml:space="preserve">or outside of the Change in Control Period (a </w:t>
      </w:r>
      <w:r>
        <w:rPr>
          <w:color w:val="000000"/>
        </w:rPr>
        <w:t>“</w:t>
      </w:r>
      <w:r>
        <w:rPr>
          <w:rFonts w:ascii="Times New Roman" w:hAnsi="Times New Roman"/>
          <w:b/>
          <w:color w:val="000000"/>
          <w:sz w:val="23"/>
        </w:rPr>
        <w:t>Qualifying Non-CIC Termination”)</w:t>
      </w:r>
    </w:p>
    <w:p>
      <w:pPr>
        <w:pStyle w:val="TextBody"/>
        <w:bidi w:val="0"/>
        <w:spacing w:before="236" w:after="283"/>
        <w:jc w:val="both"/>
        <w:rPr>
          <w:rFonts w:ascii="Times New Roman" w:hAnsi="Times New Roman"/>
          <w:color w:val="000000"/>
          <w:sz w:val="23"/>
        </w:rPr>
      </w:pPr>
      <w:r>
        <w:rPr>
          <w:rFonts w:ascii="Times New Roman" w:hAnsi="Times New Roman"/>
          <w:color w:val="000000"/>
          <w:sz w:val="23"/>
        </w:rPr>
        <w:t>(l)</w:t>
      </w:r>
    </w:p>
    <w:p>
      <w:pPr>
        <w:pStyle w:val="TextBody"/>
        <w:bidi w:val="0"/>
        <w:spacing w:before="236" w:after="283"/>
        <w:jc w:val="both"/>
        <w:rPr/>
      </w:pPr>
      <w:r>
        <w:rPr>
          <w:color w:val="000000"/>
        </w:rPr>
        <w:t>“</w:t>
      </w:r>
      <w:r>
        <w:rPr>
          <w:rFonts w:ascii="Times New Roman" w:hAnsi="Times New Roman"/>
          <w:b/>
          <w:color w:val="000000"/>
          <w:sz w:val="23"/>
        </w:rPr>
        <w:t xml:space="preserve">Salary” </w:t>
      </w:r>
      <w:r>
        <w:rPr>
          <w:rFonts w:ascii="Times New Roman" w:hAnsi="Times New Roman"/>
          <w:color w:val="000000"/>
          <w:sz w:val="23"/>
        </w:rPr>
        <w:t>means the Executive's rate of base salary as in effect immediately prior to the Executive’s Qualifying Termination (or if the termination is due to a resignation for Good Reason based on a material reduction in base salary, then the Executive's rate of base salary in effect immediately prior to the reduction) or, if the Executive's Qualifying Termination is a Qualifying CIC Termination and the amount is greater, at the level in effect immediately prior to the Change in Control.</w:t>
      </w:r>
    </w:p>
    <w:p>
      <w:pPr>
        <w:pStyle w:val="TextBody"/>
        <w:bidi w:val="0"/>
        <w:jc w:val="left"/>
        <w:rPr/>
      </w:pPr>
      <w:r>
        <w:rPr/>
        <w:t> </w:t>
      </w:r>
    </w:p>
    <w:p>
      <w:pPr>
        <w:pStyle w:val="TextBody"/>
        <w:bidi w:val="0"/>
        <w:jc w:val="left"/>
        <w:rPr/>
      </w:pPr>
      <w:r>
        <w:rPr/>
        <w:t> </w:t>
      </w:r>
    </w:p>
    <w:p>
      <w:pPr>
        <w:pStyle w:val="TextBody"/>
        <w:bidi w:val="0"/>
        <w:spacing w:before="245" w:after="283"/>
        <w:jc w:val="both"/>
        <w:rPr>
          <w:rFonts w:ascii="Times New Roman" w:hAnsi="Times New Roman"/>
          <w:color w:val="000000"/>
          <w:sz w:val="23"/>
        </w:rPr>
      </w:pPr>
      <w:r>
        <w:rPr>
          <w:rFonts w:ascii="Times New Roman" w:hAnsi="Times New Roman"/>
          <w:color w:val="000000"/>
          <w:sz w:val="23"/>
        </w:rPr>
        <w:t>9.</w:t>
      </w:r>
    </w:p>
    <w:p>
      <w:pPr>
        <w:pStyle w:val="TextBody"/>
        <w:bidi w:val="0"/>
        <w:spacing w:before="245" w:after="283"/>
        <w:jc w:val="both"/>
        <w:rPr/>
      </w:pPr>
      <w:r>
        <w:rPr>
          <w:rFonts w:ascii="Times New Roman" w:hAnsi="Times New Roman"/>
          <w:color w:val="000000"/>
          <w:sz w:val="23"/>
          <w:u w:val="single"/>
        </w:rPr>
        <w:t>Successors.</w:t>
      </w:r>
      <w:r>
        <w:rPr>
          <w:color w:val="000000"/>
        </w:rPr>
        <w:t xml:space="preserve"> </w:t>
      </w:r>
      <w:r>
        <w:rPr>
          <w:rFonts w:ascii="Times New Roman" w:hAnsi="Times New Roman"/>
          <w:color w:val="000000"/>
          <w:sz w:val="23"/>
        </w:rPr>
        <w:t xml:space="preserve">This Agreement will be binding upon and inure to the benefit of (a) the heirs, executors, and legal representatives of the Executive upon the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w:t>
      </w:r>
    </w:p>
    <w:p>
      <w:pPr>
        <w:pStyle w:val="HorizontalLine"/>
        <w:pBdr>
          <w:bottom w:val="double" w:sz="2" w:space="0" w:color="808080"/>
        </w:pBdr>
        <w:bidi w:val="0"/>
        <w:spacing w:before="0" w:after="283"/>
        <w:jc w:val="left"/>
        <w:rPr/>
      </w:pPr>
      <w:r>
        <w:rPr/>
      </w:r>
    </w:p>
    <w:p>
      <w:pPr>
        <w:pStyle w:val="TextBody"/>
        <w:bidi w:val="0"/>
        <w:spacing w:before="245" w:after="283"/>
        <w:jc w:val="both"/>
        <w:rPr>
          <w:rFonts w:ascii="Times New Roman" w:hAnsi="Times New Roman"/>
          <w:color w:val="000000"/>
          <w:sz w:val="23"/>
        </w:rPr>
      </w:pPr>
      <w:r>
        <w:rPr>
          <w:rFonts w:ascii="Times New Roman" w:hAnsi="Times New Roman"/>
          <w:color w:val="000000"/>
          <w:sz w:val="23"/>
        </w:rPr>
        <w:t>Company. None of the rights of the Executive to receive any form of compensation payable pursuant to this Agreement may be assigned or transferred except by will or the laws of descent and distribution. Any other attempted assignment transfer, conveyance, or other disposition of the Executive’s right to compensation or other benefits will be null and void.</w:t>
      </w:r>
    </w:p>
    <w:p>
      <w:pPr>
        <w:pStyle w:val="TextBody"/>
        <w:bidi w:val="0"/>
        <w:spacing w:before="247" w:after="283"/>
        <w:jc w:val="left"/>
        <w:rPr>
          <w:rFonts w:ascii="Times New Roman" w:hAnsi="Times New Roman"/>
          <w:color w:val="000000"/>
          <w:sz w:val="23"/>
        </w:rPr>
      </w:pPr>
      <w:r>
        <w:rPr>
          <w:rFonts w:ascii="Times New Roman" w:hAnsi="Times New Roman"/>
          <w:color w:val="000000"/>
          <w:sz w:val="23"/>
        </w:rPr>
        <w:t>10.</w:t>
      </w:r>
    </w:p>
    <w:p>
      <w:pPr>
        <w:pStyle w:val="TextBody"/>
        <w:bidi w:val="0"/>
        <w:spacing w:before="247" w:after="283"/>
        <w:jc w:val="left"/>
        <w:rPr>
          <w:rFonts w:ascii="Times New Roman" w:hAnsi="Times New Roman"/>
          <w:color w:val="000000"/>
          <w:sz w:val="23"/>
          <w:u w:val="single"/>
        </w:rPr>
      </w:pPr>
      <w:r>
        <w:rPr>
          <w:rFonts w:ascii="Times New Roman" w:hAnsi="Times New Roman"/>
          <w:color w:val="000000"/>
          <w:sz w:val="23"/>
          <w:u w:val="single"/>
        </w:rPr>
        <w:t>Notice.</w:t>
      </w:r>
    </w:p>
    <w:p>
      <w:pPr>
        <w:pStyle w:val="TextBody"/>
        <w:bidi w:val="0"/>
        <w:spacing w:before="247"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47" w:after="283"/>
        <w:jc w:val="both"/>
        <w:rPr>
          <w:rFonts w:ascii="Times New Roman" w:hAnsi="Times New Roman"/>
          <w:color w:val="000000"/>
          <w:sz w:val="23"/>
        </w:rPr>
      </w:pPr>
      <w:r>
        <w:rPr>
          <w:rFonts w:ascii="Times New Roman" w:hAnsi="Times New Roman"/>
          <w:color w:val="000000"/>
          <w:sz w:val="23"/>
        </w:rPr>
        <w:t>General. All notices and other communications required or permitted under this Agreement will be in writing and will be effectively given (i) upon actual delivery to the party to be notified; (ii) upon transmission by email; (iii) twenty-four (24) hours after confirmed facsimile transmission; (iv) one (1) business day after deposit with a recognized overnight courier; or (v) three (3) business days after deposit with the U.S. Postal Service by first class certified or registered mail, return receipt requested, postage prepaid, addressed (A) if to the Executive, at the address the Executive will have most recently furnished to the Company in writing, (B) if to the Company, at the following address:</w:t>
      </w:r>
    </w:p>
    <w:p>
      <w:pPr>
        <w:pStyle w:val="TextBody"/>
        <w:bidi w:val="0"/>
        <w:spacing w:before="232" w:after="283"/>
        <w:jc w:val="left"/>
        <w:rPr>
          <w:rFonts w:ascii="Times New Roman" w:hAnsi="Times New Roman"/>
          <w:color w:val="000000"/>
          <w:sz w:val="23"/>
        </w:rPr>
      </w:pPr>
      <w:r>
        <w:rPr>
          <w:rFonts w:ascii="Times New Roman" w:hAnsi="Times New Roman"/>
          <w:color w:val="000000"/>
          <w:sz w:val="23"/>
        </w:rPr>
        <w:t>RxSight, Inc. l00 Columbia</w:t>
      </w:r>
    </w:p>
    <w:p>
      <w:pPr>
        <w:pStyle w:val="TextBody"/>
        <w:bidi w:val="0"/>
        <w:jc w:val="left"/>
        <w:rPr>
          <w:rFonts w:ascii="Times New Roman" w:hAnsi="Times New Roman"/>
          <w:color w:val="000000"/>
          <w:sz w:val="23"/>
        </w:rPr>
      </w:pPr>
      <w:r>
        <w:rPr>
          <w:rFonts w:ascii="Times New Roman" w:hAnsi="Times New Roman"/>
          <w:color w:val="000000"/>
          <w:sz w:val="23"/>
        </w:rPr>
        <w:t>Aliso Viejo, CA 92656</w:t>
      </w:r>
    </w:p>
    <w:p>
      <w:pPr>
        <w:pStyle w:val="TextBody"/>
        <w:bidi w:val="0"/>
        <w:spacing w:before="17" w:after="283"/>
        <w:jc w:val="left"/>
        <w:rPr>
          <w:rFonts w:ascii="Times New Roman" w:hAnsi="Times New Roman"/>
          <w:color w:val="000000"/>
          <w:sz w:val="23"/>
        </w:rPr>
      </w:pPr>
      <w:r>
        <w:rPr>
          <w:rFonts w:ascii="Times New Roman" w:hAnsi="Times New Roman"/>
          <w:color w:val="000000"/>
          <w:sz w:val="23"/>
        </w:rPr>
        <w:t>Attention: Chief Executive Of1icer</w:t>
      </w:r>
    </w:p>
    <w:p>
      <w:pPr>
        <w:pStyle w:val="TextBody"/>
        <w:bidi w:val="0"/>
        <w:spacing w:before="248" w:after="283"/>
        <w:jc w:val="both"/>
        <w:rPr>
          <w:rFonts w:ascii="Times New Roman" w:hAnsi="Times New Roman"/>
          <w:sz w:val="20"/>
        </w:rPr>
      </w:pPr>
      <w:r>
        <w:rPr>
          <w:rFonts w:ascii="Times New Roman" w:hAnsi="Times New Roman"/>
          <w:color w:val="000000"/>
          <w:sz w:val="23"/>
        </w:rPr>
        <w:t xml:space="preserve">(b) </w:t>
      </w:r>
      <w:r>
        <w:rPr>
          <w:rFonts w:ascii="Times New Roman" w:hAnsi="Times New Roman"/>
          <w:color w:val="000000"/>
          <w:sz w:val="23"/>
          <w:u w:val="single"/>
        </w:rPr>
        <w:t>Notice of Termination.</w:t>
      </w:r>
      <w:r>
        <w:rPr>
          <w:rFonts w:ascii="Times New Roman" w:hAnsi="Times New Roman"/>
          <w:color w:val="000000"/>
          <w:sz w:val="20"/>
        </w:rPr>
        <w:t xml:space="preserve"> </w:t>
      </w:r>
      <w:r>
        <w:rPr>
          <w:rFonts w:ascii="Times New Roman" w:hAnsi="Times New Roman"/>
          <w:color w:val="000000"/>
          <w:sz w:val="23"/>
        </w:rPr>
        <w:t xml:space="preserve">Any termination by a Company Group member for Cause will be communicated by a notice of termination to the Executive and any termination by the Executive for Good Reason will be communicated by a notice of termination to the Company, in each case given in accordance with Section 10(a) of this Agreement. The notice will indicate the specific termination provision in this Agreement relied upon, will set forih in reasonable detail the facts and circumstances claimed to provide a basis for termination under the provision so indicated, and will specify the termination date (which will be not more than thirty (30) days after the later of (i) the giving of the notice. or </w:t>
      </w:r>
      <w:r>
        <w:rPr>
          <w:rFonts w:ascii="Times New Roman" w:hAnsi="Times New Roman"/>
          <w:color w:val="000000"/>
          <w:sz w:val="22"/>
        </w:rPr>
        <w:t xml:space="preserve">(ii) </w:t>
      </w:r>
      <w:r>
        <w:rPr>
          <w:rFonts w:ascii="Times New Roman" w:hAnsi="Times New Roman"/>
          <w:color w:val="000000"/>
          <w:sz w:val="23"/>
        </w:rPr>
        <w:t>the end of any applicable cure period).</w:t>
      </w:r>
    </w:p>
    <w:p>
      <w:pPr>
        <w:pStyle w:val="TextBody"/>
        <w:bidi w:val="0"/>
        <w:spacing w:before="239" w:after="283"/>
        <w:jc w:val="both"/>
        <w:rPr>
          <w:rFonts w:ascii="Times New Roman" w:hAnsi="Times New Roman"/>
          <w:color w:val="000000"/>
          <w:sz w:val="23"/>
        </w:rPr>
      </w:pPr>
      <w:r>
        <w:rPr>
          <w:rFonts w:ascii="Times New Roman" w:hAnsi="Times New Roman"/>
          <w:color w:val="000000"/>
          <w:sz w:val="23"/>
        </w:rPr>
        <w:t>11.</w:t>
      </w:r>
    </w:p>
    <w:p>
      <w:pPr>
        <w:pStyle w:val="TextBody"/>
        <w:bidi w:val="0"/>
        <w:spacing w:before="239" w:after="283"/>
        <w:jc w:val="both"/>
        <w:rPr/>
      </w:pPr>
      <w:r>
        <w:rPr>
          <w:rFonts w:ascii="Times New Roman" w:hAnsi="Times New Roman"/>
          <w:color w:val="000000"/>
          <w:sz w:val="23"/>
          <w:u w:val="single"/>
        </w:rPr>
        <w:t>Resignation.</w:t>
      </w:r>
      <w:r>
        <w:rPr>
          <w:color w:val="000000"/>
        </w:rPr>
        <w:t xml:space="preserve"> </w:t>
      </w:r>
      <w:r>
        <w:rPr>
          <w:rFonts w:ascii="Times New Roman" w:hAnsi="Times New Roman"/>
          <w:color w:val="000000"/>
          <w:sz w:val="23"/>
        </w:rPr>
        <w:t>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the resignations.</w:t>
      </w:r>
    </w:p>
    <w:p>
      <w:pPr>
        <w:pStyle w:val="TextBody"/>
        <w:bidi w:val="0"/>
        <w:spacing w:before="126" w:after="283"/>
        <w:jc w:val="left"/>
        <w:rPr/>
      </w:pPr>
      <w:r>
        <w:rPr/>
        <w:t> </w:t>
      </w:r>
    </w:p>
    <w:p>
      <w:pPr>
        <w:pStyle w:val="TextBody"/>
        <w:bidi w:val="0"/>
        <w:jc w:val="left"/>
        <w:rPr/>
      </w:pPr>
      <w:r>
        <w:rPr/>
        <w:t> </w:t>
      </w:r>
    </w:p>
    <w:p>
      <w:pPr>
        <w:pStyle w:val="TextBody"/>
        <w:bidi w:val="0"/>
        <w:spacing w:before="204" w:after="283"/>
        <w:jc w:val="left"/>
        <w:rPr>
          <w:rFonts w:ascii="Times New Roman" w:hAnsi="Times New Roman"/>
          <w:color w:val="000000"/>
          <w:sz w:val="23"/>
        </w:rPr>
      </w:pPr>
      <w:r>
        <w:rPr>
          <w:rFonts w:ascii="Times New Roman" w:hAnsi="Times New Roman"/>
          <w:color w:val="000000"/>
          <w:sz w:val="23"/>
        </w:rPr>
        <w:t>12.</w:t>
      </w:r>
    </w:p>
    <w:p>
      <w:pPr>
        <w:pStyle w:val="TextBody"/>
        <w:bidi w:val="0"/>
        <w:spacing w:before="204" w:after="283"/>
        <w:jc w:val="left"/>
        <w:rPr>
          <w:rFonts w:ascii="Times New Roman" w:hAnsi="Times New Roman"/>
          <w:color w:val="000000"/>
          <w:sz w:val="23"/>
          <w:u w:val="single"/>
        </w:rPr>
      </w:pPr>
      <w:r>
        <w:rPr>
          <w:rFonts w:ascii="Times New Roman" w:hAnsi="Times New Roman"/>
          <w:color w:val="000000"/>
          <w:sz w:val="23"/>
          <w:u w:val="single"/>
        </w:rPr>
        <w:t>Miscellaneous Provisions.</w:t>
      </w:r>
    </w:p>
    <w:p>
      <w:pPr>
        <w:pStyle w:val="TextBody"/>
        <w:bidi w:val="0"/>
        <w:spacing w:before="248"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48" w:after="283"/>
        <w:jc w:val="both"/>
        <w:rPr/>
      </w:pPr>
      <w:r>
        <w:rPr>
          <w:rFonts w:ascii="Times New Roman" w:hAnsi="Times New Roman"/>
          <w:color w:val="000000"/>
          <w:sz w:val="23"/>
          <w:u w:val="single"/>
        </w:rPr>
        <w:t>No Duty to Mitigate.</w:t>
      </w:r>
      <w:r>
        <w:rPr>
          <w:color w:val="000000"/>
        </w:rPr>
        <w:t xml:space="preserve"> </w:t>
      </w:r>
      <w:r>
        <w:rPr>
          <w:rFonts w:ascii="Times New Roman" w:hAnsi="Times New Roman"/>
          <w:color w:val="000000"/>
          <w:sz w:val="23"/>
        </w:rPr>
        <w:t>The Executive will not be required to mitigate the amount of any payment contemplated by this Agreement nor will any payment be reduced by any earnings that the Executive may receive from any other source except as specified in Section 3(e).</w:t>
      </w:r>
    </w:p>
    <w:p>
      <w:pPr>
        <w:pStyle w:val="TextBody"/>
        <w:bidi w:val="0"/>
        <w:spacing w:before="243"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43" w:after="283"/>
        <w:jc w:val="both"/>
        <w:rPr/>
      </w:pPr>
      <w:r>
        <w:rPr>
          <w:rFonts w:ascii="Times New Roman" w:hAnsi="Times New Roman"/>
          <w:color w:val="000000"/>
          <w:sz w:val="23"/>
          <w:u w:val="single"/>
        </w:rPr>
        <w:t>Waiver: Amendment.</w:t>
      </w:r>
      <w:r>
        <w:rPr>
          <w:color w:val="000000"/>
        </w:rPr>
        <w:t xml:space="preserve"> </w:t>
      </w:r>
      <w:r>
        <w:rPr>
          <w:rFonts w:ascii="Times New Roman" w:hAnsi="Times New Roman"/>
          <w:color w:val="000000"/>
          <w:sz w:val="23"/>
        </w:rPr>
        <w:t>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before="238"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38" w:after="283"/>
        <w:jc w:val="both"/>
        <w:rPr/>
      </w:pPr>
      <w:r>
        <w:rPr>
          <w:rFonts w:ascii="Times New Roman" w:hAnsi="Times New Roman"/>
          <w:color w:val="000000"/>
          <w:sz w:val="23"/>
          <w:u w:val="single"/>
        </w:rPr>
        <w:t>Headings.</w:t>
      </w:r>
      <w:r>
        <w:rPr>
          <w:color w:val="000000"/>
        </w:rPr>
        <w:t xml:space="preserve"> </w:t>
      </w:r>
      <w:r>
        <w:rPr>
          <w:rFonts w:ascii="Times New Roman" w:hAnsi="Times New Roman"/>
          <w:color w:val="000000"/>
          <w:sz w:val="23"/>
        </w:rPr>
        <w:t xml:space="preserve">All captions and section headings used in this Agreement are for </w:t>
      </w:r>
    </w:p>
    <w:p>
      <w:pPr>
        <w:pStyle w:val="HorizontalLine"/>
        <w:pBdr>
          <w:bottom w:val="double" w:sz="2" w:space="0" w:color="808080"/>
        </w:pBdr>
        <w:bidi w:val="0"/>
        <w:spacing w:before="0" w:after="283"/>
        <w:jc w:val="left"/>
        <w:rPr/>
      </w:pPr>
      <w:r>
        <w:rPr/>
      </w:r>
    </w:p>
    <w:p>
      <w:pPr>
        <w:pStyle w:val="TextBody"/>
        <w:bidi w:val="0"/>
        <w:spacing w:before="238" w:after="283"/>
        <w:jc w:val="both"/>
        <w:rPr>
          <w:rFonts w:ascii="Times New Roman" w:hAnsi="Times New Roman"/>
          <w:color w:val="000000"/>
          <w:sz w:val="23"/>
        </w:rPr>
      </w:pPr>
      <w:r>
        <w:rPr>
          <w:rFonts w:ascii="Times New Roman" w:hAnsi="Times New Roman"/>
          <w:color w:val="000000"/>
          <w:sz w:val="23"/>
        </w:rPr>
        <w:t>convenient reference only and do not form a part of this Agreement.</w:t>
      </w:r>
    </w:p>
    <w:p>
      <w:pPr>
        <w:pStyle w:val="TextBody"/>
        <w:bidi w:val="0"/>
        <w:spacing w:before="237"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37" w:after="283"/>
        <w:jc w:val="both"/>
        <w:rPr/>
      </w:pPr>
      <w:r>
        <w:rPr>
          <w:rFonts w:ascii="Times New Roman" w:hAnsi="Times New Roman"/>
          <w:color w:val="000000"/>
          <w:sz w:val="23"/>
          <w:u w:val="single"/>
        </w:rPr>
        <w:t>Entire Agreement</w:t>
      </w:r>
      <w:r>
        <w:rPr>
          <w:color w:val="000000"/>
        </w:rPr>
        <w:t xml:space="preserve"> </w:t>
      </w:r>
      <w:r>
        <w:rPr>
          <w:rFonts w:ascii="Times New Roman" w:hAnsi="Times New Roman"/>
          <w:color w:val="000000"/>
          <w:sz w:val="23"/>
        </w:rPr>
        <w:t>This Agreement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change in control severance agreement, severance policy or program, or Equity Award agreement.</w:t>
      </w:r>
    </w:p>
    <w:p>
      <w:pPr>
        <w:pStyle w:val="TextBody"/>
        <w:bidi w:val="0"/>
        <w:spacing w:before="238"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38" w:after="283"/>
        <w:jc w:val="both"/>
        <w:rPr/>
      </w:pPr>
      <w:r>
        <w:rPr>
          <w:rFonts w:ascii="Times New Roman" w:hAnsi="Times New Roman"/>
          <w:color w:val="000000"/>
          <w:sz w:val="23"/>
          <w:u w:val="single"/>
        </w:rPr>
        <w:t>Choice of Law.</w:t>
      </w:r>
      <w:r>
        <w:rPr>
          <w:color w:val="000000"/>
        </w:rPr>
        <w:t xml:space="preserve"> </w:t>
      </w:r>
      <w:r>
        <w:rPr>
          <w:rFonts w:ascii="Times New Roman" w:hAnsi="Times New Roman"/>
          <w:color w:val="000000"/>
          <w:sz w:val="23"/>
        </w:rPr>
        <w:t>This Agreement will be governed by the laws of the State of California without regard to California's conflicts of law rules that may result in the application of the laws of any jurisdiction other than California. The Executive hereby expressly consents to the personal and exclusive jurisdiction and venue of the state and federal courts located in California for any lawsuit filed against the Executive by any member of the Company Group.</w:t>
      </w:r>
    </w:p>
    <w:p>
      <w:pPr>
        <w:pStyle w:val="TextBody"/>
        <w:bidi w:val="0"/>
        <w:spacing w:before="237" w:after="283"/>
        <w:jc w:val="both"/>
        <w:rPr>
          <w:rFonts w:ascii="Times New Roman" w:hAnsi="Times New Roman"/>
          <w:color w:val="000000"/>
          <w:sz w:val="23"/>
        </w:rPr>
      </w:pPr>
      <w:r>
        <w:rPr>
          <w:rFonts w:ascii="Times New Roman" w:hAnsi="Times New Roman"/>
          <w:color w:val="000000"/>
          <w:sz w:val="23"/>
        </w:rPr>
        <w:t>(f)</w:t>
      </w:r>
    </w:p>
    <w:p>
      <w:pPr>
        <w:pStyle w:val="TextBody"/>
        <w:bidi w:val="0"/>
        <w:spacing w:before="237" w:after="283"/>
        <w:jc w:val="both"/>
        <w:rPr/>
      </w:pPr>
      <w:r>
        <w:rPr>
          <w:rFonts w:ascii="Times New Roman" w:hAnsi="Times New Roman"/>
          <w:color w:val="000000"/>
          <w:sz w:val="23"/>
          <w:u w:val="single"/>
        </w:rPr>
        <w:t>Severability.</w:t>
      </w:r>
      <w:r>
        <w:rPr>
          <w:color w:val="000000"/>
        </w:rPr>
        <w:t xml:space="preserve"> </w:t>
      </w:r>
      <w:r>
        <w:rPr>
          <w:rFonts w:ascii="Times New Roman" w:hAnsi="Times New Roman"/>
          <w:color w:val="000000"/>
          <w:sz w:val="23"/>
        </w:rPr>
        <w:t>The invalidity or unenforceability of any provision or provisions of this Agreement will not affect the validity or enforceability of any other provision of this Agreement which will remain in full force and effect.</w:t>
      </w:r>
    </w:p>
    <w:p>
      <w:pPr>
        <w:pStyle w:val="TextBody"/>
        <w:bidi w:val="0"/>
        <w:spacing w:before="243" w:after="283"/>
        <w:jc w:val="both"/>
        <w:rPr>
          <w:rFonts w:ascii="Times New Roman" w:hAnsi="Times New Roman"/>
          <w:color w:val="000000"/>
          <w:sz w:val="23"/>
        </w:rPr>
      </w:pPr>
      <w:r>
        <w:rPr>
          <w:rFonts w:ascii="Times New Roman" w:hAnsi="Times New Roman"/>
          <w:color w:val="000000"/>
          <w:sz w:val="23"/>
        </w:rPr>
        <w:t>(g)</w:t>
      </w:r>
    </w:p>
    <w:p>
      <w:pPr>
        <w:pStyle w:val="TextBody"/>
        <w:bidi w:val="0"/>
        <w:spacing w:before="243" w:after="283"/>
        <w:jc w:val="both"/>
        <w:rPr/>
      </w:pPr>
      <w:r>
        <w:rPr>
          <w:rFonts w:ascii="Times New Roman" w:hAnsi="Times New Roman"/>
          <w:color w:val="000000"/>
          <w:sz w:val="23"/>
          <w:u w:val="single"/>
        </w:rPr>
        <w:t>Withholding.</w:t>
      </w:r>
      <w:r>
        <w:rPr>
          <w:color w:val="000000"/>
        </w:rPr>
        <w:t xml:space="preserve"> </w:t>
      </w:r>
      <w:r>
        <w:rPr>
          <w:rFonts w:ascii="Times New Roman" w:hAnsi="Times New Roman"/>
          <w:color w:val="000000"/>
          <w:sz w:val="23"/>
        </w:rPr>
        <w:t xml:space="preserve">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w:t>
      </w:r>
      <w:r>
        <w:rPr>
          <w:rFonts w:ascii="Times New Roman" w:hAnsi="Times New Roman"/>
          <w:color w:val="000000"/>
          <w:sz w:val="22"/>
        </w:rPr>
        <w:t>Agreement.</w:t>
      </w:r>
    </w:p>
    <w:p>
      <w:pPr>
        <w:pStyle w:val="TextBody"/>
        <w:bidi w:val="0"/>
        <w:spacing w:before="246" w:after="283"/>
        <w:jc w:val="both"/>
        <w:rPr>
          <w:rFonts w:ascii="Times New Roman" w:hAnsi="Times New Roman"/>
          <w:color w:val="000000"/>
          <w:sz w:val="23"/>
        </w:rPr>
      </w:pPr>
      <w:r>
        <w:rPr>
          <w:rFonts w:ascii="Times New Roman" w:hAnsi="Times New Roman"/>
          <w:color w:val="000000"/>
          <w:sz w:val="23"/>
        </w:rPr>
        <w:t>(h)</w:t>
      </w:r>
    </w:p>
    <w:p>
      <w:pPr>
        <w:pStyle w:val="TextBody"/>
        <w:bidi w:val="0"/>
        <w:spacing w:before="246" w:after="283"/>
        <w:jc w:val="both"/>
        <w:rPr/>
      </w:pPr>
      <w:r>
        <w:rPr>
          <w:rFonts w:ascii="Times New Roman" w:hAnsi="Times New Roman"/>
          <w:color w:val="000000"/>
          <w:sz w:val="23"/>
          <w:u w:val="single"/>
        </w:rPr>
        <w:t>Counterparts.</w:t>
      </w:r>
      <w:r>
        <w:rPr>
          <w:color w:val="000000"/>
        </w:rPr>
        <w:t xml:space="preserve"> </w:t>
      </w:r>
      <w:r>
        <w:rPr>
          <w:rFonts w:ascii="Times New Roman" w:hAnsi="Times New Roman"/>
          <w:color w:val="000000"/>
          <w:sz w:val="23"/>
        </w:rPr>
        <w:t>This Agreement may be executed in counterparts, each of which will be deemed an original, but all of which together will constitute one and the same instrument.</w:t>
      </w:r>
    </w:p>
    <w:p>
      <w:pPr>
        <w:pStyle w:val="TextBody"/>
        <w:bidi w:val="0"/>
        <w:spacing w:before="228" w:after="283"/>
        <w:jc w:val="center"/>
        <w:rPr>
          <w:rFonts w:ascii="Times New Roman" w:hAnsi="Times New Roman"/>
          <w:i/>
          <w:color w:val="000000"/>
          <w:sz w:val="23"/>
        </w:rPr>
      </w:pPr>
      <w:r>
        <w:rPr>
          <w:rFonts w:ascii="Times New Roman" w:hAnsi="Times New Roman"/>
          <w:i/>
          <w:color w:val="000000"/>
          <w:sz w:val="23"/>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 w:after="283"/>
        <w:jc w:val="left"/>
        <w:rPr/>
      </w:pPr>
      <w:r>
        <w:rPr/>
        <w:t> </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By its signature below, each of the parties signifies its acceptance of the terms of this Agreement, in the case of the Company by its duly authorized officer.</w:t>
      </w:r>
    </w:p>
    <w:p>
      <w:pPr>
        <w:pStyle w:val="TextBody"/>
        <w:bidi w:val="0"/>
        <w:jc w:val="left"/>
        <w:rPr/>
      </w:pPr>
      <w:r>
        <w:rPr/>
        <w:t> </w:t>
      </w:r>
    </w:p>
    <w:p>
      <w:pPr>
        <w:pStyle w:val="TextBody"/>
        <w:bidi w:val="0"/>
        <w:jc w:val="left"/>
        <w:rPr/>
      </w:pPr>
      <w:r>
        <w:rPr/>
        <w:t> </w:t>
      </w:r>
    </w:p>
    <w:tbl>
      <w:tblPr>
        <w:tblW w:w="3377" w:type="dxa"/>
        <w:jc w:val="left"/>
        <w:tblInd w:w="0" w:type="dxa"/>
        <w:tblLayout w:type="fixed"/>
        <w:tblCellMar>
          <w:top w:w="28" w:type="dxa"/>
          <w:left w:w="28" w:type="dxa"/>
          <w:bottom w:w="28" w:type="dxa"/>
          <w:right w:w="28" w:type="dxa"/>
        </w:tblCellMar>
      </w:tblPr>
      <w:tblGrid>
        <w:gridCol w:w="1201"/>
        <w:gridCol w:w="2176"/>
      </w:tblGrid>
      <w:tr>
        <w:trPr/>
        <w:tc>
          <w:tcPr>
            <w:tcW w:w="120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RXSIGHT, INC.</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Ron Kurtz</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CEO</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12/13/2025</w:t>
            </w:r>
          </w:p>
        </w:tc>
      </w:tr>
      <w:tr>
        <w:trPr/>
        <w:tc>
          <w:tcPr>
            <w:tcW w:w="12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w:t>
            </w:r>
          </w:p>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Mark Wilterding</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Wilterding</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12/15/2025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rxst-ex10_32.htm"/>
      <w:bookmarkStart w:id="42" w:name="ksrxstex10_32"/>
      <w:bookmarkEnd w:id="41"/>
      <w:bookmarkEnd w:id="42"/>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10.32</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TRANSITION AGREEMENT AND RELEASE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Transition Agreement and Release (“Agreement”) is made by and between Shelley Thunen (“Executive”) and RxSight, Inc. (the “Company”) (collectively referred to as the “Parties” or individually referred to as a “Party”).</w:t>
      </w:r>
    </w:p>
    <w:p>
      <w:pPr>
        <w:pStyle w:val="TextBody"/>
        <w:bidi w:val="0"/>
        <w:jc w:val="left"/>
        <w:rPr/>
      </w:pPr>
      <w:r>
        <w:rPr/>
        <w:t> </w:t>
      </w:r>
    </w:p>
    <w:p>
      <w:pPr>
        <w:pStyle w:val="TextBody"/>
        <w:bidi w:val="0"/>
        <w:jc w:val="center"/>
        <w:rPr>
          <w:rFonts w:ascii="Times New Roman" w:hAnsi="Times New Roman"/>
          <w:b/>
          <w:color w:val="000000"/>
          <w:sz w:val="24"/>
        </w:rPr>
      </w:pPr>
      <w:bookmarkStart w:id="43" w:name="bookmark_id_3znysh7"/>
      <w:bookmarkStart w:id="44" w:name="bookmark_id_1fob9te"/>
      <w:bookmarkEnd w:id="43"/>
      <w:bookmarkEnd w:id="44"/>
      <w:r>
        <w:rPr>
          <w:rFonts w:ascii="Times New Roman" w:hAnsi="Times New Roman"/>
          <w:b/>
          <w:color w:val="000000"/>
          <w:sz w:val="24"/>
        </w:rPr>
        <w:t>RECITALS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WHEREAS, Executive is employed by the Company;</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WHEREAS, Executive signed a Change in Control Severance Agreement with the Company dated July 16, 2021 (the “Severance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WHEREAS, Executive signed an Indemnification Agreement with the Company dated July 13, 2021 (the “Indemnification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WHEREAS, the Parties mutually agree that as of the earlier of (i) January 31, 2026 or (ii) the date that the Company appoints a new Chief Financial Officer, Executive’s employment with the Company will terminate (such date, the “Termination Date”), at which point Executive immediately will become a consultant, pursuant to a consulting agreement between the Company and Executive in the form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“Consulting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WHEREAS, the Company previously granted Executive certain stock options (each an “Option” and collectively the “Options”) to purchase shares of the Company’s Common Stock (“Shares”), with each such Option subject to the terms of either the Company’s 2021 Equity Incentive Plan (the “2021 Plan”) or the Company’s 2015 Equity Incentive Plan, as amended (the “2015 Plan,” and together with the 2021 Plan, each an “Equity Plan”) and an option agreement under the applicable Equity Plan between Executive and the Company (each an “Option Agreement” and collectively the “Option Agreements,” and together with each Equity Plan, the “Stock Agreements”), each of which outstanding Options is set forth in the schedule attached hereto as </w:t>
      </w:r>
      <w:r>
        <w:rPr>
          <w:rFonts w:ascii="Times New Roman" w:hAnsi="Times New Roman"/>
          <w:color w:val="000000"/>
          <w:sz w:val="24"/>
          <w:u w:val="single"/>
        </w:rPr>
        <w:t>Exhibit B</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the Parties acknowledge and agree that if, as contemplated by this Agreement, Executive’s continued service as a consultant commences immediately following Executive’s termination from employment pursuant to the Consulting Agreement or otherwise, there will be no break in service in Executive’s service to the Company as of the Termination Date; and</w:t>
      </w:r>
    </w:p>
    <w:p>
      <w:pPr>
        <w:pStyle w:val="TextBody"/>
        <w:bidi w:val="0"/>
        <w:jc w:val="both"/>
        <w:rPr/>
      </w:pPr>
      <w:r>
        <w:rPr/>
        <w:t> </w:t>
      </w:r>
    </w:p>
    <w:p>
      <w:pPr>
        <w:pStyle w:val="TextBody"/>
        <w:bidi w:val="0"/>
        <w:jc w:val="both"/>
        <w:rPr>
          <w:rFonts w:ascii="Times New Roman" w:hAnsi="Times New Roman"/>
          <w:sz w:val="20"/>
        </w:rPr>
      </w:pPr>
      <w:bookmarkStart w:id="45" w:name="bookmark_id_tyjcwt"/>
      <w:bookmarkEnd w:id="45"/>
      <w:r>
        <w:rPr>
          <w:rFonts w:ascii="Times New Roman" w:hAnsi="Times New Roman"/>
          <w:color w:val="000000"/>
          <w:sz w:val="24"/>
        </w:rPr>
        <w:t xml:space="preserve">WHEREAS, the Parties </w:t>
      </w:r>
      <w:bookmarkStart w:id="46" w:name="bookmark_id_2et92p0"/>
      <w:bookmarkEnd w:id="46"/>
      <w:r>
        <w:rPr>
          <w:rFonts w:ascii="Times New Roman" w:hAnsi="Times New Roman"/>
          <w:color w:val="000000"/>
          <w:sz w:val="24"/>
        </w:rPr>
        <w:t>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mutual promises made herein, the Company and Executive hereby agree as follows:</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COVENANTS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Consideration</w:t>
      </w:r>
      <w:r>
        <w:rPr>
          <w:rFonts w:ascii="Times New Roman" w:hAnsi="Times New Roman"/>
          <w:color w:val="000000"/>
          <w:sz w:val="24"/>
        </w:rPr>
        <w:t>. In consideration of Executive’s execution and non-revocation of this Agreement and Executive’s fulfillment of all terms and conditions, the Parties agree as follows: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i/>
          <w:color w:val="000000"/>
          <w:sz w:val="24"/>
        </w:rPr>
        <w:t>Consulting Services.</w:t>
      </w:r>
      <w:r>
        <w:rPr>
          <w:color w:val="000000"/>
        </w:rPr>
        <w:t xml:space="preserve"> </w:t>
      </w:r>
      <w:r>
        <w:rPr>
          <w:rFonts w:ascii="Times New Roman" w:hAnsi="Times New Roman"/>
          <w:color w:val="000000"/>
          <w:sz w:val="24"/>
        </w:rPr>
        <w:t xml:space="preserve">Executive will provide consulting services to the Company. Executive will perform tasks as agreed upon pursuant to the Consulting Agreement and assigned in good faith and to the best of Executive’s abilities. </w:t>
      </w:r>
    </w:p>
    <w:p>
      <w:pPr>
        <w:pStyle w:val="Heading1"/>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i/>
          <w:color w:val="000000"/>
          <w:sz w:val="24"/>
        </w:rPr>
        <w:t>Bonus</w:t>
      </w:r>
      <w:r>
        <w:rPr>
          <w:rFonts w:ascii="Times New Roman" w:hAnsi="Times New Roman"/>
          <w:color w:val="000000"/>
          <w:sz w:val="24"/>
        </w:rPr>
        <w:t>. Subject to Board approval, the Company will pay Executive the amount of the bonus Executive would have been eligible to receive had Executive remained employed by the Company through the date that the Company issues payment for 2025 executive bonuses to the Company’s executives (the “2025 Bonus Payment Date”). Subject to the preceding sentence, the Company will issue payment to Executive of such amount on the 2025 Bonus Payment Date. For purposes of clarity, in no event will the 2025 Bonus Payment Date be later than March 15, 2026.</w:t>
      </w:r>
    </w:p>
    <w:p>
      <w:pPr>
        <w:pStyle w:val="Heading1"/>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i/>
          <w:color w:val="000000"/>
          <w:sz w:val="24"/>
        </w:rPr>
        <w:t>Accrued Wages and Reimbursements</w:t>
      </w:r>
      <w:r>
        <w:rPr>
          <w:rFonts w:ascii="Times New Roman" w:hAnsi="Times New Roman"/>
          <w:color w:val="000000"/>
          <w:sz w:val="24"/>
        </w:rPr>
        <w:t xml:space="preserve">. Regardless of whether Executive signs this Agreement, the Company will pay Executive all accrued wages and unused PTO and will reimburse Executive for legitimate expenses incurred on behalf of the Company, submitted in accordance with the Company’s expense reimbursement policy and approved by the Company’s Chief Executive Officer. Such payments will be issued in accordance with applicable law. In accordance with the terms of the Company’s 2021 Employee Stock Purchase Plan (the “ESPP”), any Contributions (as defined in the ESPP) made to Executive’s account during the Offering Period in process as of Executive’s Termination Date but not yet used to purchase shares of Company stock under the ESPP will be returned to Executive promptly following the Termination Date. Further, any Company 401(k) plan match Executive is entitled pursuant to the terms of the Company’s 401(k) plan will be credited to Executive’s account in accordance with the terms of such 401(k) plan.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i/>
          <w:color w:val="000000"/>
          <w:sz w:val="24"/>
        </w:rPr>
        <w:t>Acknowledgement</w:t>
      </w:r>
      <w:r>
        <w:rPr>
          <w:rFonts w:ascii="Times New Roman" w:hAnsi="Times New Roman"/>
          <w:color w:val="000000"/>
          <w:sz w:val="24"/>
        </w:rPr>
        <w:t>. Executive acknowledges that except as specified in Section 1.c of this Agreement, but for this Agreement Executive would not otherwise be entitled to the consideration listed in this Section 1. Executive further hereby waives any entitlement to severance payment under the Severance Agreement. For the purposes of clarity, the wages, reimbursement and benefits referenced thereunder will be provided in accordance with Section 1.c regardless of whether Executive signs this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u w:val="single"/>
        </w:rPr>
        <w:t>Stock</w:t>
      </w:r>
      <w:r>
        <w:rPr>
          <w:rFonts w:ascii="Times New Roman" w:hAnsi="Times New Roman"/>
          <w:color w:val="000000"/>
          <w:sz w:val="24"/>
        </w:rPr>
        <w:t xml:space="preserve">. Executive and the Company agree and acknowledge that if, as contemplated by this Agreement, Executive’s continued service as a consultant commences immediately following Executive’s termination from employment pursuant to Executive’s Consulting Agreement, such that Executive has had no break in service between the termination of Executive’s employment and the commencement of consulting services, the Options will remain outstanding and eligible to vest in accordance with the terms of the applicable Stock Agreements. In the event Executive does not provide consulting services to the Company pursuant to the Consulting Agreement, or there is a break in service between the termination of employment and commencement of consulting services, Executive will be considered to have vested only (and if at all) up to the Termination Date, and any then unvested shares will be automatically forfeited and returned to the 2021 Plan’s share reserve for no consideration in accordance with the terms of the applicable Stock Agreements.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0"/>
        <w:jc w:val="both"/>
        <w:rPr/>
      </w:pPr>
      <w:r>
        <w:rPr>
          <w:rFonts w:ascii="Times New Roman" w:hAnsi="Times New Roman"/>
          <w:color w:val="000000"/>
          <w:sz w:val="24"/>
          <w:u w:val="single"/>
        </w:rPr>
        <w:t>Benefits</w:t>
      </w:r>
      <w:r>
        <w:rPr>
          <w:rFonts w:ascii="Times New Roman" w:hAnsi="Times New Roman"/>
          <w:color w:val="000000"/>
          <w:sz w:val="24"/>
        </w:rPr>
        <w:t xml:space="preserve">. Subject to Executive’s right to continue Executive’s health insurance under COBRA, Executive’s health insurance benefits shall cease on January 31, 2026. Except as provided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this Agreement, Executive’s participation in all other benefits and incidents of employment, including, but not limited to, the accrual of bonuses, vacation, and paid time off, if any, will cease as of the Termination Date.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color w:val="000000"/>
          <w:sz w:val="24"/>
          <w:u w:val="single"/>
        </w:rPr>
        <w:t>Payment of Salary and Receipt of All Benefits</w:t>
      </w:r>
      <w:r>
        <w:rPr>
          <w:rFonts w:ascii="Times New Roman" w:hAnsi="Times New Roman"/>
          <w:color w:val="000000"/>
          <w:sz w:val="24"/>
        </w:rPr>
        <w:t xml:space="preserve">. Executive acknowledges and represents that, other than (x) as set forth in this Agreement, including Sections 1 through 3 of this Agreement and (y) any wages or benefits earned by Executive after the date of this Agreement, the Company has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Executive.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4"/>
          <w:u w:val="single"/>
        </w:rPr>
        <w:t>Executive’s Release of Claims</w:t>
      </w:r>
      <w:r>
        <w:rPr>
          <w:rFonts w:ascii="Times New Roman" w:hAnsi="Times New Roman"/>
          <w:color w:val="000000"/>
          <w:sz w:val="24"/>
        </w:rPr>
        <w:t xml:space="preserve">. Executive agrees that the foregoing consideration will represent settlement in full of all outstanding obligations owed to Executive by the Company and its current and former: officers, directors, employees, agents, investors, attorneys, shareholders, administrators, affiliates, benefit plans, plan administrators, professional employer organization or co-employer, insurers, trustees, divisions, and subsidiaries, and predecessor and successor corporations and assigns (collectively, the “Releasees”). Executive, on Executive’s own behalf and on behalf of Executive’s respective heirs, family members, executors, agents, and assigns, hereby and forever releases the Releasees </w:t>
      </w:r>
      <w:bookmarkStart w:id="47" w:name="ole_link10"/>
      <w:bookmarkEnd w:id="47"/>
      <w:r>
        <w:rPr>
          <w:rFonts w:ascii="Times New Roman" w:hAnsi="Times New Roman"/>
          <w:color w:val="000000"/>
          <w:sz w:val="24"/>
        </w:rPr>
        <w:t>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 any and all claims relating to or arising from Executive’s employment relationship with the Company and the termination of that relationship;</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Uniformed Services Employment and Reemployment Rights Act; the Immigration Reform and Control Act; the National Labor Relations Act; the California Family Rights Act; the California Labor Code; the California Workers’ Compensation Act; and the California Fair Employment and Housing Act;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 any and all claims for violation of the federal or any state constitution;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f. any and all claims arising out of any other laws and regulations relating to employment or employment discrimination;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g. any claim for any loss, cost, damage, or expense arising out of any dispute over the non-withholding or other tax treatment of any of the proceeds received by Executive as a result of this Agreement; and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h. any and all claims for attorneys’ fees and costs.</w:t>
      </w:r>
    </w:p>
    <w:p>
      <w:pPr>
        <w:pStyle w:val="TextBody"/>
        <w:bidi w:val="0"/>
        <w:jc w:val="left"/>
        <w:rPr/>
      </w:pPr>
      <w:r>
        <w:rPr/>
        <w:t> </w:t>
      </w:r>
    </w:p>
    <w:p>
      <w:pPr>
        <w:pStyle w:val="TextBody"/>
        <w:bidi w:val="0"/>
        <w:jc w:val="both"/>
        <w:rPr>
          <w:rFonts w:ascii="Times New Roman" w:hAnsi="Times New Roman"/>
          <w:sz w:val="20"/>
        </w:rPr>
      </w:pPr>
      <w:bookmarkStart w:id="48" w:name="bookmark_id_4i7ojhp"/>
      <w:bookmarkStart w:id="49" w:name="bookmark_id_2xcytpi"/>
      <w:bookmarkEnd w:id="48"/>
      <w:bookmarkEnd w:id="49"/>
      <w:r>
        <w:rPr>
          <w:rFonts w:ascii="Times New Roman" w:hAnsi="Times New Roman"/>
          <w:color w:val="000000"/>
          <w:sz w:val="24"/>
        </w:rPr>
        <w:t>Executive agrees that the release set forth in this Section shall be and remain in effect in all respects as a complete general release as to the matters released. This release does not extend to any obligations of the Company to Executive under this Agreement. This release does not release claims that cannot be released as a matter of law, including any Protected Activity (as defined below). This release does not extend to any right Executive may have to unemployment compensation benefits, State Disability Insurance benefits, or workers’ compensation benefits. Executive represents that Executive has made no assignment or transfer of any right, claim, complaint, charge, duty, obligation, demand, cause of action, or other matter waived or released by this Section.</w:t>
      </w:r>
      <w:r>
        <w:rPr>
          <w:rFonts w:ascii="Times New Roman" w:hAnsi="Times New Roman"/>
          <w:color w:val="000000"/>
          <w:sz w:val="20"/>
        </w:rPr>
        <w:t xml:space="preserve"> </w:t>
      </w:r>
    </w:p>
    <w:p>
      <w:pPr>
        <w:pStyle w:val="Heading1"/>
        <w:bidi w:val="0"/>
        <w:jc w:val="both"/>
        <w:rPr/>
      </w:pPr>
      <w:bookmarkStart w:id="50" w:name="bookmark_id_49x2ik5"/>
      <w:bookmarkStart w:id="51" w:name="bookmark_id_2p2csry"/>
      <w:bookmarkEnd w:id="50"/>
      <w:bookmarkEnd w:id="51"/>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color w:val="000000"/>
          <w:sz w:val="24"/>
          <w:u w:val="single"/>
        </w:rPr>
        <w:t>The Company’s Release of Claims</w:t>
      </w:r>
      <w:r>
        <w:rPr>
          <w:rFonts w:ascii="Times New Roman" w:hAnsi="Times New Roman"/>
          <w:color w:val="000000"/>
          <w:sz w:val="24"/>
        </w:rPr>
        <w:t>. The Company hereby and forever releases Executive and Executive’s respective heirs, family members, executors, agents, and assigns, from, and agrees not to sue concerning, or in any manner to institute, prosecute, or pursue, any claim, complaint, charge, duty, obligation, demand, or cause of action relating to any known matters of any kind, that the Company may possess against Executive arising from any omissions, acts, facts, or damages that have occurred up until and including the Termination Date. Notwithstanding any release provided for herein, this Agreement shall not serve to release any claims by the Company against Executive for any claims relating to fraud, embezzlement, misappropriation of the Company’s trade secrets, or any conduct that is in violation of criminal law.</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4"/>
          <w:u w:val="single"/>
        </w:rPr>
        <w:t>California Civil Code Section 1542</w:t>
      </w:r>
      <w:r>
        <w:rPr>
          <w:rFonts w:ascii="Times New Roman" w:hAnsi="Times New Roman"/>
          <w:color w:val="000000"/>
          <w:sz w:val="24"/>
        </w:rPr>
        <w:t xml:space="preserve">. </w:t>
      </w:r>
      <w:bookmarkStart w:id="52" w:name="ole_link4"/>
      <w:bookmarkEnd w:id="52"/>
      <w:r>
        <w:rPr>
          <w:rFonts w:ascii="Times New Roman" w:hAnsi="Times New Roman"/>
          <w:color w:val="000000"/>
          <w:sz w:val="24"/>
        </w:rPr>
        <w:t>Executive acknowledges that Executive has been advised to consult with legal counsel and is familiar with the provisions of California Civil Code Section 1542, a statute that otherwise prohibits the release of unknown claims, which provides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sz w:val="20"/>
        </w:rPr>
      </w:pPr>
      <w:bookmarkStart w:id="53" w:name="ole_link34"/>
      <w:bookmarkStart w:id="54" w:name="ole_link33"/>
      <w:bookmarkEnd w:id="53"/>
      <w:bookmarkEnd w:id="54"/>
      <w:r>
        <w:rPr>
          <w:rFonts w:ascii="Times New Roman" w:hAnsi="Times New Roman"/>
          <w:caps/>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55" w:name="ole_link22"/>
      <w:bookmarkEnd w:id="55"/>
      <w:r>
        <w:rPr>
          <w:rFonts w:ascii="Times New Roman" w:hAnsi="Times New Roman"/>
          <w:color w:val="000000"/>
          <w:sz w:val="24"/>
        </w:rPr>
        <w:t xml:space="preserve">Executive, being aware of said code section, agrees to expressly waive any rights </w:t>
      </w:r>
      <w:bookmarkStart w:id="56" w:name="ole_link21"/>
      <w:bookmarkEnd w:id="56"/>
      <w:r>
        <w:rPr>
          <w:rFonts w:ascii="Times New Roman" w:hAnsi="Times New Roman"/>
          <w:color w:val="000000"/>
          <w:sz w:val="24"/>
        </w:rPr>
        <w:t>Executive may have thereunder, as well as under any other statute or common law principles of similar effect.</w:t>
      </w:r>
    </w:p>
    <w:p>
      <w:pPr>
        <w:pStyle w:val="Heading1"/>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8.</w:t>
      </w:r>
    </w:p>
    <w:p>
      <w:pPr>
        <w:pStyle w:val="TextBody"/>
        <w:bidi w:val="0"/>
        <w:jc w:val="both"/>
        <w:rPr/>
      </w:pPr>
      <w:r>
        <w:rPr>
          <w:rFonts w:ascii="Times New Roman" w:hAnsi="Times New Roman"/>
          <w:color w:val="000000"/>
          <w:sz w:val="24"/>
          <w:u w:val="single"/>
        </w:rPr>
        <w:t>No Pending or Future Lawsuits</w:t>
      </w:r>
      <w:r>
        <w:rPr>
          <w:rFonts w:ascii="Times New Roman" w:hAnsi="Times New Roman"/>
          <w:color w:val="000000"/>
          <w:sz w:val="24"/>
        </w:rPr>
        <w:t>. The Parties represent that neither Party has any lawsuits, claims, or actions pending in such Party’s name, or on behalf of any other person or entity, against the other Party or any of the other Releasees. The Parties also represent that they do not intend to bring any claims on their own behalf or on behalf of any other person or entity against the other Party or any of the other Releasees.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bookmarkStart w:id="57" w:name="bookmark_id_32hioqz"/>
      <w:bookmarkEnd w:id="57"/>
      <w:r>
        <w:rPr>
          <w:rFonts w:ascii="Times New Roman" w:hAnsi="Times New Roman"/>
          <w:color w:val="000000"/>
          <w:sz w:val="24"/>
          <w:u w:val="single"/>
        </w:rPr>
        <w:t>Application for Employment</w:t>
      </w:r>
      <w:r>
        <w:rPr>
          <w:rFonts w:ascii="Times New Roman" w:hAnsi="Times New Roman"/>
          <w:color w:val="000000"/>
          <w:sz w:val="24"/>
        </w:rPr>
        <w:t xml:space="preserve">. </w:t>
      </w:r>
      <w:bookmarkStart w:id="58" w:name="bookmark_id_2grqrue"/>
      <w:bookmarkStart w:id="59" w:name="bookmark_id_41mghml"/>
      <w:bookmarkEnd w:id="58"/>
      <w:bookmarkEnd w:id="59"/>
      <w:r>
        <w:rPr>
          <w:rFonts w:ascii="Times New Roman" w:hAnsi="Times New Roman"/>
          <w:color w:val="000000"/>
          <w:sz w:val="24"/>
        </w:rPr>
        <w:t xml:space="preserve">Executive understands and agrees that, as a condition of this Agreement, Executive shall not be entitled to any employment with the Company, and Executive hereby waives any right, or alleged right, of employment or re-employment with the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10.</w:t>
      </w:r>
    </w:p>
    <w:p>
      <w:pPr>
        <w:pStyle w:val="TextBody"/>
        <w:bidi w:val="0"/>
        <w:jc w:val="both"/>
        <w:rPr/>
      </w:pPr>
      <w:r>
        <w:rPr>
          <w:rFonts w:ascii="Times New Roman" w:hAnsi="Times New Roman"/>
          <w:color w:val="000000"/>
          <w:sz w:val="24"/>
          <w:u w:val="single"/>
        </w:rPr>
        <w:t>Confidentiality</w:t>
      </w:r>
      <w:r>
        <w:rPr>
          <w:rFonts w:ascii="Times New Roman" w:hAnsi="Times New Roman"/>
          <w:color w:val="000000"/>
          <w:sz w:val="24"/>
        </w:rPr>
        <w:t>. Subject to the “Protected Activity Not Prohibited” section below, and only for so long as this Agreement or its terms remain non-public, Executive agrees to maintain in complete confidence the existence of this Agreement, the contents and terms of this Agreement, and the consideration for this Agreement (hereinafter collectively referred to as “Separation Information”), and Executive agrees that Executive will not publicize, directly or indirectly, any Separation Information. Except as required by law, and subject to the “Protected Activity Not Prohibited” section below, Executive may disclose Separation Information only to Executive’s immediate family members, including for this purpose, Executive’s significant other, the Court in any proceedings to enforce the terms of this Agreement, Executive’s attorney(s), and Executive’s accountant(s) and any professional tax advisor(s) to the extent that they need to know the Separation Information in order to provide advice on tax treatment or to prepare tax returns, and must prevent disclosure of any Separation Information to all other third parties. Likewise, for so long as this Agreement or its terms remain non-public and subject to the Company’s obligations under applicable law, the Company agrees to maintain in confidence the Separation Information, provided that the Separation Information may be disclosed in corporate filings, to the Company’s Chief Executive Officer, to the Company’s attorneys, or where disclosure is required to enforce the terms of this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11.</w:t>
      </w:r>
    </w:p>
    <w:p>
      <w:pPr>
        <w:pStyle w:val="TextBody"/>
        <w:bidi w:val="0"/>
        <w:jc w:val="both"/>
        <w:rPr/>
      </w:pPr>
      <w:r>
        <w:rPr>
          <w:rFonts w:ascii="Times New Roman" w:hAnsi="Times New Roman"/>
          <w:color w:val="000000"/>
          <w:sz w:val="24"/>
          <w:u w:val="single"/>
        </w:rPr>
        <w:t>Trade Secrets and Confidential Information/Company Property</w:t>
      </w:r>
      <w:r>
        <w:rPr>
          <w:rFonts w:ascii="Times New Roman" w:hAnsi="Times New Roman"/>
          <w:color w:val="000000"/>
          <w:sz w:val="24"/>
        </w:rPr>
        <w:t xml:space="preserve">. Executive acknowledges that, separate from this Agreement, Executive remains under continuing obligations to the Company under any applicable pre-existing confidentiality agreements, including—as applicable—any provisions therein regarding nondisclosure of the Company’s trade secrets and confidential and proprietary information. Executive’s signature below constitutes Executive’s certification under penalty of perjury that Executive has returned all documents and other items provided to Executive by the Company (with the exception of a copy of the Company’s employee handbook and personnel documents specifically relating to Executive and any documents or other items required for Executive’s consulting services), developed or obtained by Executive in connection with Executive’s employment with the Company, or otherwise belonging to the Company. </w:t>
      </w:r>
    </w:p>
    <w:p>
      <w:pPr>
        <w:pStyle w:val="Heading1"/>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4"/>
          <w:u w:val="single"/>
        </w:rPr>
        <w:t>No Cooperation</w:t>
      </w:r>
      <w:r>
        <w:rPr>
          <w:rFonts w:ascii="Times New Roman" w:hAnsi="Times New Roman"/>
          <w:color w:val="000000"/>
          <w:sz w:val="24"/>
        </w:rPr>
        <w:t xml:space="preserve">. </w:t>
      </w:r>
      <w:bookmarkStart w:id="60" w:name="bookmark_id_vx1227"/>
      <w:bookmarkStart w:id="61" w:name="bookmark_id_1v1yuxt"/>
      <w:bookmarkStart w:id="62" w:name="bookmark_id_3fwokq0"/>
      <w:bookmarkEnd w:id="60"/>
      <w:bookmarkEnd w:id="61"/>
      <w:bookmarkEnd w:id="62"/>
      <w:r>
        <w:rPr>
          <w:rFonts w:ascii="Times New Roman" w:hAnsi="Times New Roman"/>
          <w:color w:val="000000"/>
          <w:sz w:val="24"/>
        </w:rPr>
        <w:t xml:space="preserve">Subject to the Protected Activity Not Prohibited section,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Executive agrees both to immediately notify the Company upon receipt of any such subpoena or court order or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written request from an administrative agency or the legislature, and to furnish, within three (3) business days of its receipt, a copy of such subpoena or other court order or written request from an administrative agency or the legislature.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bookmarkStart w:id="63" w:name="bookmark_id_3tbugp1"/>
      <w:bookmarkEnd w:id="63"/>
      <w:r>
        <w:rPr>
          <w:rFonts w:ascii="Times New Roman" w:hAnsi="Times New Roman"/>
          <w:color w:val="000000"/>
          <w:sz w:val="24"/>
          <w:u w:val="single"/>
        </w:rPr>
        <w:t>Mutual Nondisparagement</w:t>
      </w:r>
      <w:r>
        <w:rPr>
          <w:rFonts w:ascii="Times New Roman" w:hAnsi="Times New Roman"/>
          <w:color w:val="000000"/>
          <w:sz w:val="24"/>
        </w:rPr>
        <w:t>. Subject to the “Protected Activity Not Prohibited” section below, the Parties agree to refrain from any disparagement, defamation, libel, or slander of the other Party and the Releasees, and agree to refrain from any tortious interference with the contracts and relationships of the other Party and the Releasees. Executive acknowledges and agrees that the Company’s obligations under this section apply only to the Company’s executive officers and directors and all employees in Human Resources and only for so long as each such officer or employee is employed by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0"/>
        <w:jc w:val="both"/>
        <w:rPr/>
      </w:pPr>
      <w:r>
        <w:rPr>
          <w:rFonts w:ascii="Times New Roman" w:hAnsi="Times New Roman"/>
          <w:color w:val="000000"/>
          <w:sz w:val="24"/>
          <w:u w:val="single"/>
        </w:rPr>
        <w:t>Protected Activity Not Prohibited</w:t>
      </w:r>
      <w:r>
        <w:rPr>
          <w:rFonts w:ascii="Times New Roman" w:hAnsi="Times New Roman"/>
          <w:color w:val="000000"/>
          <w:sz w:val="24"/>
        </w:rPr>
        <w:t xml:space="preserve">. Executive understands that nothing in this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Executive has reason to 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i/>
          <w:color w:val="000000"/>
          <w:sz w:val="24"/>
        </w:rPr>
        <w:t>solely</w:t>
      </w:r>
      <w:r>
        <w:rPr>
          <w:color w:val="000000"/>
        </w:rPr>
        <w:t xml:space="preserve"> </w:t>
      </w:r>
      <w:r>
        <w:rPr>
          <w:rFonts w:ascii="Times New Roman" w:hAnsi="Times New Roman"/>
          <w:color w:val="000000"/>
          <w:sz w:val="24"/>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Agreement constitutes a waiver of any rights Executive may have under the Sarbanes-Oxley Act or Section 7 of the National Labor Relations Act (“NLRA”). For purposes of clarity, nothing in this Agreement shall be interpreted to impair or limit Executive’s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Executive or the Company’s other current or former employees, to the extent such activities are protected by Section 7 of the NLRA. Executive understands that nothing in any applicable pre-existing confidentiality agreements shall limit or prohibit Executive from engaging in any protected conduct set forth in this section.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15.</w:t>
      </w:r>
    </w:p>
    <w:p>
      <w:pPr>
        <w:pStyle w:val="TextBody"/>
        <w:bidi w:val="0"/>
        <w:jc w:val="both"/>
        <w:rPr/>
      </w:pPr>
      <w:r>
        <w:rPr>
          <w:rFonts w:ascii="Times New Roman" w:hAnsi="Times New Roman"/>
          <w:color w:val="000000"/>
          <w:sz w:val="24"/>
          <w:u w:val="single"/>
        </w:rPr>
        <w:t>Breach</w:t>
      </w:r>
      <w:r>
        <w:rPr>
          <w:rFonts w:ascii="Times New Roman" w:hAnsi="Times New Roman"/>
          <w:color w:val="000000"/>
          <w:sz w:val="24"/>
        </w:rPr>
        <w:t xml:space="preserve">. In addition to the rights provided in the “Attorneys’ Fees” section below, Executive acknowledges and agrees that any material breach of this Agreement or of any provision of any applicable pre-existing confidentiality agreements shall entitle the Company immediately to recover and/or cease providing the consideration provided to Executive under Section 1.a or Section 1.b of this Agreement and to obtain damages. </w:t>
      </w:r>
    </w:p>
    <w:p>
      <w:pPr>
        <w:pStyle w:val="Heading1"/>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16.</w:t>
      </w:r>
    </w:p>
    <w:p>
      <w:pPr>
        <w:pStyle w:val="TextBody"/>
        <w:bidi w:val="0"/>
        <w:jc w:val="both"/>
        <w:rPr/>
      </w:pPr>
      <w:r>
        <w:rPr>
          <w:rFonts w:ascii="Times New Roman" w:hAnsi="Times New Roman"/>
          <w:color w:val="000000"/>
          <w:sz w:val="24"/>
          <w:u w:val="single"/>
        </w:rPr>
        <w:t>No Admission of Liability</w:t>
      </w:r>
      <w:r>
        <w:rPr>
          <w:rFonts w:ascii="Times New Roman" w:hAnsi="Times New Roman"/>
          <w:color w:val="000000"/>
          <w:sz w:val="24"/>
        </w:rPr>
        <w:t>. The Parties understand and acknowledge that with respect to the claims released herein, this Agreement constitutes a compromise and settlement of any and all actual or potential disputed claims by each Party unless such claims were explicitly not released by the release in this Agreement. No action taken by either Party hereto, either previously or in connection with this Agreement, shall be deemed or construed to be (a) an admission of the truth or falsity of any actual or potential claims or (b) an acknowledgment or admission by that Party of any fault or liability whatsoever to the other Party or to any third party.</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4"/>
          <w:u w:val="single"/>
        </w:rPr>
        <w:t>Costs</w:t>
      </w:r>
      <w:r>
        <w:rPr>
          <w:rFonts w:ascii="Times New Roman" w:hAnsi="Times New Roman"/>
          <w:color w:val="000000"/>
          <w:sz w:val="24"/>
        </w:rPr>
        <w:t>. The Parties shall each bear their own costs, attorneys’ fees, and other fees incurred in connection with the preparation of this Agreement.</w:t>
      </w:r>
      <w:bookmarkStart w:id="64" w:name="bookmark_id_46r0co2"/>
      <w:bookmarkEnd w:id="6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4"/>
          <w:u w:val="single"/>
        </w:rPr>
        <w:t>ARBITRATION</w:t>
      </w:r>
      <w:r>
        <w:rPr>
          <w:rFonts w:ascii="Times New Roman" w:hAnsi="Times New Roman"/>
          <w:color w:val="000000"/>
          <w:sz w:val="24"/>
        </w:rPr>
        <w:t xml:space="preserve">. </w:t>
      </w:r>
      <w:r>
        <w:rPr>
          <w:rFonts w:ascii="Times New Roman" w:hAnsi="Times New Roman"/>
          <w:color w:val="000000"/>
          <w:sz w:val="22"/>
        </w:rPr>
        <w:t xml:space="preserve">EXCEPT AS PROHIBITED BY LAW, THE PARTIES AGREE THAT ANY AND ALL DISPUTES ARISING OUT OF THE TERMS OF THIS AGREEMENT, THEIR INTERPRETATION, EXECUTIVE’S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EXECUTIVE AGREES THAT, TO THE FULLEST EXTENT PERMITTED BY LAW, EXECUTIVE MAY BRING ANY SUCH ARBITRATION PROCEEDING ONLY IN EXECUTIVE’S INDIVIDUAL CAPACITY.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EMPLOYEES. ANY ARBITRATION WILL OCCUR IN ORANGE COUNTY,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w:t>
      </w:r>
      <w:r>
        <w:rPr>
          <w:rFonts w:ascii="Times New Roman" w:hAnsi="Times New Roman"/>
          <w:caps/>
          <w:color w:val="000000"/>
          <w:sz w:val="22"/>
        </w:rPr>
        <w:t xml:space="preserve">that the arbitrator shall issue a written decision on the merits. </w:t>
      </w:r>
      <w:r>
        <w:rPr>
          <w:rFonts w:ascii="Times New Roman" w:hAnsi="Times New Roman"/>
          <w:color w:val="000000"/>
          <w:sz w:val="22"/>
        </w:rPr>
        <w:t xml:space="preserve">THE PARTIES ALSO AGREE THAT THE ARBITRATOR SHALL HAVE THE POWER TO AWARD ANY REMEDIES AVAILABLE UNDER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INCLUDING, BUT NOT LIMITED TO THE ARBITRATION SECTION OF ANY APPLICABLE PRE-EXISTING AGREEMENTS, THE PARTIES AGREE THAT THIS ARBITRATION AGREEMENT IN THIS SECTION SHALL GOVERN.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19.</w:t>
      </w:r>
    </w:p>
    <w:p>
      <w:pPr>
        <w:pStyle w:val="TextBody"/>
        <w:bidi w:val="0"/>
        <w:jc w:val="both"/>
        <w:rPr/>
      </w:pPr>
      <w:r>
        <w:rPr>
          <w:rFonts w:ascii="Times New Roman" w:hAnsi="Times New Roman"/>
          <w:color w:val="000000"/>
          <w:sz w:val="24"/>
          <w:u w:val="single"/>
        </w:rPr>
        <w:t>Tax Consequences</w:t>
      </w:r>
      <w:r>
        <w:rPr>
          <w:rFonts w:ascii="Times New Roman" w:hAnsi="Times New Roman"/>
          <w:color w:val="000000"/>
          <w:sz w:val="24"/>
        </w:rPr>
        <w:t xml:space="preserve">.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Releasees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 The Parties agree and acknowledge that the payments made pursuant to Section 1 of this Agreement are not related to sexual harassment or sexual abuse and not intended to fall within the scope of 26 U.S.C. Section 162(q).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20.</w:t>
      </w:r>
    </w:p>
    <w:p>
      <w:pPr>
        <w:pStyle w:val="TextBody"/>
        <w:bidi w:val="0"/>
        <w:jc w:val="both"/>
        <w:rPr/>
      </w:pPr>
      <w:r>
        <w:rPr>
          <w:rFonts w:ascii="Times New Roman" w:hAnsi="Times New Roman"/>
          <w:color w:val="000000"/>
          <w:sz w:val="24"/>
          <w:u w:val="single"/>
        </w:rPr>
        <w:t>Section 409A</w:t>
      </w:r>
      <w:r>
        <w:rPr>
          <w:rFonts w:ascii="Times New Roman" w:hAnsi="Times New Roman"/>
          <w:color w:val="000000"/>
          <w:sz w:val="24"/>
        </w:rPr>
        <w:t>. 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The Company and Executive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Executive under Section 409A. In no event will the Releasees have any obligation to reimburse, indemnify or hold harmless Executive for any taxes or costs that may be imposed on or incurred by Executive as a result of Section 409A. In no event will Executive have discretion to determine the taxable year of payment of any separation-related payments.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21.</w:t>
      </w:r>
    </w:p>
    <w:p>
      <w:pPr>
        <w:pStyle w:val="TextBody"/>
        <w:bidi w:val="0"/>
        <w:jc w:val="both"/>
        <w:rPr/>
      </w:pPr>
      <w:r>
        <w:rPr>
          <w:rFonts w:ascii="Times New Roman" w:hAnsi="Times New Roman"/>
          <w:color w:val="000000"/>
          <w:sz w:val="24"/>
          <w:u w:val="single"/>
        </w:rPr>
        <w:t>Authority</w:t>
      </w:r>
      <w:r>
        <w:rPr>
          <w:rFonts w:ascii="Times New Roman" w:hAnsi="Times New Roman"/>
          <w:color w:val="000000"/>
          <w:sz w:val="24"/>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0"/>
        <w:jc w:val="both"/>
        <w:rPr/>
      </w:pPr>
      <w:r>
        <w:rPr>
          <w:rFonts w:ascii="Times New Roman" w:hAnsi="Times New Roman"/>
          <w:color w:val="000000"/>
          <w:sz w:val="24"/>
          <w:u w:val="single"/>
        </w:rPr>
        <w:t>Severability.</w:t>
      </w:r>
      <w:r>
        <w:rPr>
          <w:color w:val="000000"/>
        </w:rPr>
        <w:t xml:space="preserve"> </w:t>
      </w:r>
      <w:r>
        <w:rPr>
          <w:rFonts w:ascii="Times New Roman" w:hAnsi="Times New Roman"/>
          <w:color w:val="000000"/>
          <w:sz w:val="24"/>
        </w:rPr>
        <w:t xml:space="preserve">In the event that any provision or any portion of any provision hereof or any surviving agreement made a part hereof becomes or is declared by a court of competent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jurisdiction or arbitrator to be illegal, unenforceable, or void, this Agreement shall continue in full force and effect without said provision or portion of provision.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23.</w:t>
      </w:r>
    </w:p>
    <w:p>
      <w:pPr>
        <w:pStyle w:val="TextBody"/>
        <w:bidi w:val="0"/>
        <w:jc w:val="both"/>
        <w:rPr/>
      </w:pPr>
      <w:r>
        <w:rPr>
          <w:rFonts w:ascii="Times New Roman" w:hAnsi="Times New Roman"/>
          <w:color w:val="000000"/>
          <w:sz w:val="24"/>
          <w:u w:val="single"/>
        </w:rPr>
        <w:t>Attorneys’ Fees</w:t>
      </w:r>
      <w:r>
        <w:rPr>
          <w:rFonts w:ascii="Times New Roman" w:hAnsi="Times New Roman"/>
          <w:color w:val="000000"/>
          <w:sz w:val="24"/>
        </w:rPr>
        <w:t>.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24.</w:t>
      </w:r>
    </w:p>
    <w:p>
      <w:pPr>
        <w:pStyle w:val="TextBody"/>
        <w:bidi w:val="0"/>
        <w:jc w:val="both"/>
        <w:rPr/>
      </w:pPr>
      <w:r>
        <w:rPr>
          <w:rFonts w:ascii="Times New Roman" w:hAnsi="Times New Roman"/>
          <w:color w:val="000000"/>
          <w:sz w:val="24"/>
          <w:u w:val="single"/>
        </w:rPr>
        <w:t>Entire Agreement</w:t>
      </w:r>
      <w:r>
        <w:rPr>
          <w:rFonts w:ascii="Times New Roman" w:hAnsi="Times New Roman"/>
          <w:color w:val="000000"/>
          <w:sz w:val="24"/>
        </w:rPr>
        <w:t>. This Agreement (together with attached exhibits)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(but not limited to) the Severance Agreement, with the exception of the Stock Agreements (if applicable) and Indemnification Agreement, except as otherwise modified or superseded herein.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25.</w:t>
      </w:r>
    </w:p>
    <w:p>
      <w:pPr>
        <w:pStyle w:val="TextBody"/>
        <w:bidi w:val="0"/>
        <w:jc w:val="both"/>
        <w:rPr/>
      </w:pPr>
      <w:r>
        <w:rPr>
          <w:rFonts w:ascii="Times New Roman" w:hAnsi="Times New Roman"/>
          <w:color w:val="000000"/>
          <w:sz w:val="24"/>
          <w:u w:val="single"/>
        </w:rPr>
        <w:t>No Oral Modification</w:t>
      </w:r>
      <w:r>
        <w:rPr>
          <w:rFonts w:ascii="Times New Roman" w:hAnsi="Times New Roman"/>
          <w:color w:val="000000"/>
          <w:sz w:val="24"/>
        </w:rPr>
        <w:t>. This Agreement may only be amended in a writing signed by Executive and the Company’s Chief Executive Officer.</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26.</w:t>
      </w:r>
    </w:p>
    <w:p>
      <w:pPr>
        <w:pStyle w:val="TextBody"/>
        <w:bidi w:val="0"/>
        <w:jc w:val="both"/>
        <w:rPr/>
      </w:pPr>
      <w:r>
        <w:rPr>
          <w:rFonts w:ascii="Times New Roman" w:hAnsi="Times New Roman"/>
          <w:color w:val="000000"/>
          <w:sz w:val="24"/>
          <w:u w:val="single"/>
        </w:rPr>
        <w:t>Governing Law; Venue</w:t>
      </w:r>
      <w:r>
        <w:rPr>
          <w:rFonts w:ascii="Times New Roman" w:hAnsi="Times New Roman"/>
          <w:color w:val="000000"/>
          <w:sz w:val="24"/>
        </w:rPr>
        <w:t>. This Agreement shall be governed by the laws of the State of California, without regard for choice-of-law provisions, except that any dispute regarding the enforceability of the “Arbitration” section of this Agreement shall be governed by the FAA. Executive consents to personal and exclusive jurisdiction and venue in the State of California.</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27.</w:t>
      </w:r>
    </w:p>
    <w:p>
      <w:pPr>
        <w:pStyle w:val="TextBody"/>
        <w:bidi w:val="0"/>
        <w:jc w:val="both"/>
        <w:rPr/>
      </w:pPr>
      <w:r>
        <w:rPr>
          <w:rFonts w:ascii="Times New Roman" w:hAnsi="Times New Roman"/>
          <w:color w:val="000000"/>
          <w:sz w:val="24"/>
          <w:u w:val="single"/>
        </w:rPr>
        <w:t>Effective Date</w:t>
      </w:r>
      <w:r>
        <w:rPr>
          <w:rFonts w:ascii="Times New Roman" w:hAnsi="Times New Roman"/>
          <w:color w:val="000000"/>
          <w:sz w:val="24"/>
        </w:rPr>
        <w:t xml:space="preserve">. Executive understands that this Agreement shall be null and void if not executed by Executive by January 10, 2026. This Agreement will become effective on the date it has been signed by both Parties (the “Effective Date”). In the event Executive signs this Agreement and returns it to the Company before January 10, 2026, Executive hereby acknowledges that Executive has knowingly and voluntarily chosen to waive the time period allotted for considering this Agreement.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28.</w:t>
      </w:r>
    </w:p>
    <w:p>
      <w:pPr>
        <w:pStyle w:val="TextBody"/>
        <w:bidi w:val="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29.</w:t>
      </w:r>
    </w:p>
    <w:p>
      <w:pPr>
        <w:pStyle w:val="TextBody"/>
        <w:bidi w:val="0"/>
        <w:jc w:val="both"/>
        <w:rPr/>
      </w:pPr>
      <w:r>
        <w:rPr>
          <w:rFonts w:ascii="Times New Roman" w:hAnsi="Times New Roman"/>
          <w:color w:val="000000"/>
          <w:sz w:val="24"/>
          <w:u w:val="single"/>
        </w:rPr>
        <w:t>Voluntary Execution of Agreement</w:t>
      </w:r>
      <w:r>
        <w:rPr>
          <w:rFonts w:ascii="Times New Roman" w:hAnsi="Times New Roman"/>
          <w:color w:val="000000"/>
          <w:sz w:val="24"/>
        </w:rPr>
        <w:t>. Executive understands and agrees that Executive executed this Agreement voluntarily and without any duress or undue influence on the part or behalf of the Company or any third party, with the full intent of releasing all of Executive’s claims against the Company and any of the other Releasees. Executive acknowledges that:</w:t>
      </w:r>
    </w:p>
    <w:p>
      <w:pPr>
        <w:pStyle w:val="Heading1"/>
        <w:bidi w:val="0"/>
        <w:spacing w:before="240" w:after="283"/>
        <w:jc w:val="left"/>
        <w:rPr>
          <w:rFonts w:ascii="Times New Roman" w:hAnsi="Times New Roman"/>
          <w:b w:val="false"/>
          <w:color w:val="000000"/>
          <w:sz w:val="24"/>
        </w:rPr>
      </w:pPr>
      <w:r>
        <w:rPr>
          <w:rFonts w:ascii="Times New Roman" w:hAnsi="Times New Roman"/>
          <w:b w:val="false"/>
          <w:color w:val="000000"/>
          <w:sz w:val="24"/>
        </w:rPr>
        <w:t>(a) Executive has read this Agreement;</w:t>
      </w:r>
    </w:p>
    <w:p>
      <w:pPr>
        <w:pStyle w:val="Heading1"/>
        <w:bidi w:val="0"/>
        <w:spacing w:before="240" w:after="283"/>
        <w:jc w:val="left"/>
        <w:rPr>
          <w:rFonts w:ascii="Times New Roman" w:hAnsi="Times New Roman"/>
          <w:b w:val="false"/>
          <w:color w:val="000000"/>
          <w:sz w:val="24"/>
        </w:rPr>
      </w:pPr>
      <w:r>
        <w:rPr>
          <w:rFonts w:ascii="Times New Roman" w:hAnsi="Times New Roman"/>
          <w:b w:val="false"/>
          <w:color w:val="000000"/>
          <w:sz w:val="24"/>
        </w:rPr>
        <w:t>(b) Executive has a right to consult with counsel regarding this Agreement and has been represented in the preparation, negotiation, and execution of this Agreement by legal counsel of Executive’s own choice or has elected not to retain legal counsel;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left"/>
        <w:rPr>
          <w:rFonts w:ascii="Times New Roman" w:hAnsi="Times New Roman"/>
          <w:sz w:val="20"/>
        </w:rPr>
      </w:pPr>
      <w:r>
        <w:rPr>
          <w:rFonts w:ascii="Times New Roman" w:hAnsi="Times New Roman"/>
          <w:b w:val="false"/>
          <w:color w:val="000000"/>
          <w:sz w:val="24"/>
        </w:rPr>
        <w:t>(c) Executive understands the terms and consequences of this Agreement and of the releases it contains;</w:t>
      </w:r>
      <w:r>
        <w:rPr>
          <w:rFonts w:ascii="Times New Roman" w:hAnsi="Times New Roman"/>
          <w:color w:val="000000"/>
          <w:sz w:val="20"/>
        </w:rPr>
        <w:t xml:space="preserve"> </w:t>
      </w:r>
    </w:p>
    <w:p>
      <w:pPr>
        <w:pStyle w:val="Heading1"/>
        <w:bidi w:val="0"/>
        <w:spacing w:before="240" w:after="283"/>
        <w:jc w:val="left"/>
        <w:rPr>
          <w:rFonts w:ascii="Times New Roman" w:hAnsi="Times New Roman"/>
          <w:b w:val="false"/>
          <w:color w:val="000000"/>
          <w:sz w:val="24"/>
        </w:rPr>
      </w:pPr>
      <w:r>
        <w:rPr>
          <w:rFonts w:ascii="Times New Roman" w:hAnsi="Times New Roman"/>
          <w:b w:val="false"/>
          <w:color w:val="000000"/>
          <w:sz w:val="24"/>
        </w:rPr>
        <w:t>(d) Executive is fully aware of the legal and binding effect of this Agreement; and</w:t>
      </w:r>
    </w:p>
    <w:p>
      <w:pPr>
        <w:pStyle w:val="Heading1"/>
        <w:bidi w:val="0"/>
        <w:spacing w:before="240" w:after="283"/>
        <w:jc w:val="left"/>
        <w:rPr>
          <w:rFonts w:ascii="Times New Roman" w:hAnsi="Times New Roman"/>
          <w:b w:val="false"/>
          <w:color w:val="000000"/>
          <w:sz w:val="24"/>
        </w:rPr>
      </w:pPr>
      <w:r>
        <w:rPr>
          <w:rFonts w:ascii="Times New Roman" w:hAnsi="Times New Roman"/>
          <w:b w:val="false"/>
          <w:color w:val="000000"/>
          <w:sz w:val="24"/>
        </w:rPr>
        <w:t>(e) Executive has not relied upon any representations or statements made by the Company that are not specifically set forth in this Agreement.</w:t>
      </w:r>
    </w:p>
    <w:p>
      <w:pPr>
        <w:pStyle w:val="TextBody"/>
        <w:bidi w:val="0"/>
        <w:jc w:val="both"/>
        <w:rPr/>
      </w:pPr>
      <w:bookmarkStart w:id="65" w:name="bookmark_id_1egqt2p"/>
      <w:bookmarkStart w:id="66" w:name="bookmark_id_2zbgiuw"/>
      <w:bookmarkEnd w:id="65"/>
      <w:bookmarkEnd w:id="66"/>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[THE REMAINDER OF THIS PAGE IS INTENTIONALLY LEFT BLANK; SIGNATURE PAGE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have executed this Agreement on the respective dates set forth below.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SHELLEY THUNEN, AN INDIVIDUAL</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December 23, 2025</w:t>
      </w:r>
      <w:r>
        <w:rPr>
          <w:rFonts w:ascii="Times New Roman" w:hAnsi="Times New Roman"/>
          <w:color w:val="000000"/>
          <w:sz w:val="24"/>
        </w:rPr>
        <w:t xml:space="preserve">__________ By: </w:t>
      </w:r>
      <w:r>
        <w:rPr>
          <w:rFonts w:ascii="Times New Roman" w:hAnsi="Times New Roman"/>
          <w:color w:val="000000"/>
          <w:sz w:val="24"/>
          <w:u w:val="single"/>
        </w:rPr>
        <w:t>/s/ Shelley Thunen__________________</w:t>
      </w:r>
    </w:p>
    <w:p>
      <w:pPr>
        <w:pStyle w:val="TextBody"/>
        <w:bidi w:val="0"/>
        <w:jc w:val="left"/>
        <w:rPr>
          <w:rFonts w:ascii="Times New Roman" w:hAnsi="Times New Roman"/>
          <w:color w:val="000000"/>
          <w:sz w:val="24"/>
        </w:rPr>
      </w:pPr>
      <w:r>
        <w:rPr>
          <w:rFonts w:ascii="Times New Roman" w:hAnsi="Times New Roman"/>
          <w:color w:val="000000"/>
          <w:sz w:val="24"/>
        </w:rPr>
        <w:t>Shelley Thunen</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RXSIGHT, INC.</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Dated: _</w:t>
      </w:r>
      <w:r>
        <w:rPr>
          <w:rFonts w:ascii="Times New Roman" w:hAnsi="Times New Roman"/>
          <w:color w:val="000000"/>
          <w:sz w:val="24"/>
          <w:u w:val="single"/>
        </w:rPr>
        <w:t>December 23, 2025</w:t>
      </w:r>
      <w:r>
        <w:rPr>
          <w:rFonts w:ascii="Times New Roman" w:hAnsi="Times New Roman"/>
          <w:color w:val="000000"/>
          <w:sz w:val="24"/>
        </w:rPr>
        <w:t xml:space="preserve">____________ By: </w:t>
      </w:r>
      <w:r>
        <w:rPr>
          <w:rFonts w:ascii="Times New Roman" w:hAnsi="Times New Roman"/>
          <w:color w:val="000000"/>
          <w:sz w:val="24"/>
          <w:u w:val="single"/>
        </w:rPr>
        <w:t xml:space="preserve">/s/ Ron Kurtz </w:t>
      </w:r>
    </w:p>
    <w:p>
      <w:pPr>
        <w:pStyle w:val="TextBody"/>
        <w:bidi w:val="0"/>
        <w:jc w:val="left"/>
        <w:rPr>
          <w:rFonts w:ascii="Times New Roman" w:hAnsi="Times New Roman"/>
          <w:color w:val="000000"/>
          <w:sz w:val="24"/>
        </w:rPr>
      </w:pPr>
      <w:r>
        <w:rPr>
          <w:rFonts w:ascii="Times New Roman" w:hAnsi="Times New Roman"/>
          <w:color w:val="000000"/>
          <w:sz w:val="24"/>
        </w:rPr>
        <w:t>Ron Kurtz</w:t>
      </w:r>
    </w:p>
    <w:p>
      <w:pPr>
        <w:pStyle w:val="TextBody"/>
        <w:bidi w:val="0"/>
        <w:jc w:val="left"/>
        <w:rPr>
          <w:rFonts w:ascii="Times New Roman" w:hAnsi="Times New Roman"/>
          <w:color w:val="000000"/>
          <w:sz w:val="24"/>
        </w:rPr>
      </w:pPr>
      <w:r>
        <w:rPr>
          <w:rFonts w:ascii="Times New Roman" w:hAnsi="Times New Roman"/>
          <w:color w:val="000000"/>
          <w:sz w:val="24"/>
        </w:rPr>
        <w:t>CEO &amp; President</w:t>
      </w:r>
    </w:p>
    <w:p>
      <w:pPr>
        <w:pStyle w:val="TextBody"/>
        <w:bidi w:val="0"/>
        <w:jc w:val="left"/>
        <w:rPr/>
      </w:pPr>
      <w:bookmarkStart w:id="67" w:name="bookmark_id_sqyw64"/>
      <w:bookmarkStart w:id="68" w:name="bookmark_id_3cqmetx"/>
      <w:bookmarkEnd w:id="67"/>
      <w:bookmarkEnd w:id="68"/>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 OF TRANSITION AGREEMENT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CONSULTING AGREEMENT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w:t>
      </w:r>
    </w:p>
    <w:p>
      <w:pPr>
        <w:pStyle w:val="TextBody"/>
        <w:bidi w:val="0"/>
        <w:jc w:val="center"/>
        <w:rPr/>
      </w:pPr>
      <w:r>
        <w:rPr/>
        <w:t> </w:t>
      </w:r>
    </w:p>
    <w:p>
      <w:pPr>
        <w:pStyle w:val="TextBody"/>
        <w:bidi w:val="0"/>
        <w:spacing w:before="240" w:after="283"/>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4917-1606-3618.6 - 12/18/2025 2:49:30 PM</w:t>
      </w:r>
    </w:p>
    <w:p>
      <w:pPr>
        <w:pStyle w:val="HorizontalLine"/>
        <w:pBdr>
          <w:bottom w:val="double" w:sz="2" w:space="0" w:color="808080"/>
        </w:pBdr>
        <w:bidi w:val="0"/>
        <w:spacing w:before="0" w:after="283"/>
        <w:jc w:val="left"/>
        <w:rPr/>
      </w:pPr>
      <w:r>
        <w:rPr/>
      </w:r>
    </w:p>
    <w:p>
      <w:pPr>
        <w:pStyle w:val="TextBody"/>
        <w:bidi w:val="0"/>
        <w:jc w:val="right"/>
        <w:rPr/>
      </w:pPr>
      <w:bookmarkStart w:id="69" w:name="rxst-ex10_33.htm"/>
      <w:bookmarkStart w:id="70" w:name="ksrxstex10_33"/>
      <w:bookmarkEnd w:id="69"/>
      <w:bookmarkEnd w:id="70"/>
      <w:r>
        <w:rPr/>
        <w:t> </w:t>
      </w:r>
      <w:r>
        <w:br w:type="page"/>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10.33</w:t>
      </w:r>
    </w:p>
    <w:p>
      <w:pPr>
        <w:pStyle w:val="TextBody"/>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CONSULTING AGREEMENT</w:t>
      </w:r>
    </w:p>
    <w:p>
      <w:pPr>
        <w:pStyle w:val="TextBody"/>
        <w:bidi w:val="0"/>
        <w:jc w:val="both"/>
        <w:rPr>
          <w:rFonts w:ascii="Times New Roman" w:hAnsi="Times New Roman"/>
          <w:sz w:val="20"/>
        </w:rPr>
      </w:pPr>
      <w:r>
        <w:rPr>
          <w:rFonts w:ascii="Times New Roman" w:hAnsi="Times New Roman"/>
          <w:color w:val="000000"/>
          <w:sz w:val="24"/>
        </w:rPr>
        <w:t>This Consulting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made and entered into as of January 9</w:t>
      </w:r>
      <w:r>
        <w:rPr>
          <w:rFonts w:ascii="Times New Roman" w:hAnsi="Times New Roman"/>
          <w:color w:val="000000"/>
          <w:sz w:val="16"/>
        </w:rPr>
        <w:t>th</w:t>
      </w:r>
      <w:r>
        <w:rPr>
          <w:rFonts w:ascii="Times New Roman" w:hAnsi="Times New Roman"/>
          <w:color w:val="000000"/>
          <w:sz w:val="24"/>
        </w:rPr>
        <w:t>, 2026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RxSight,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Shelley Thunen, an individual (“</w:t>
      </w:r>
      <w:r>
        <w:rPr>
          <w:rFonts w:ascii="Times New Roman" w:hAnsi="Times New Roman"/>
          <w:b/>
          <w:i/>
          <w:color w:val="000000"/>
          <w:sz w:val="24"/>
        </w:rPr>
        <w:t>Consultant</w:t>
      </w:r>
      <w:r>
        <w:rPr>
          <w:rFonts w:ascii="Times New Roman" w:hAnsi="Times New Roman"/>
          <w:color w:val="000000"/>
          <w:sz w:val="20"/>
        </w:rPr>
        <w:t>”</w:t>
      </w:r>
      <w:r>
        <w:rPr>
          <w:rFonts w:ascii="Times New Roman" w:hAnsi="Times New Roman"/>
          <w:color w:val="000000"/>
          <w:sz w:val="24"/>
        </w:rPr>
        <w:t>) (each herein referred to individually as a “</w:t>
      </w:r>
      <w:r>
        <w:rPr>
          <w:rFonts w:ascii="Times New Roman" w:hAnsi="Times New Roman"/>
          <w:b/>
          <w:i/>
          <w:color w:val="000000"/>
          <w:sz w:val="24"/>
        </w:rPr>
        <w:t>Party</w:t>
      </w:r>
      <w:r>
        <w:rPr>
          <w:rFonts w:ascii="Times New Roman" w:hAnsi="Times New Roman"/>
          <w:color w:val="000000"/>
          <w:sz w:val="24"/>
        </w:rPr>
        <w:t>,” or collectively as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Services and Compensation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Consultant shall perform the services described in </w:t>
      </w:r>
      <w:r>
        <w:rPr>
          <w:rFonts w:ascii="Times New Roman" w:hAnsi="Times New Roman"/>
          <w:color w:val="000000"/>
          <w:sz w:val="24"/>
        </w:rPr>
        <w:t>Exhibit A.1</w:t>
      </w:r>
      <w:r>
        <w:rPr>
          <w:rFonts w:ascii="Times New Roman" w:hAnsi="Times New Roman"/>
          <w:color w:val="000000"/>
          <w:sz w:val="20"/>
        </w:rPr>
        <w:t xml:space="preserve"> </w:t>
      </w:r>
      <w:r>
        <w:rPr>
          <w:rFonts w:ascii="Times New Roman" w:hAnsi="Times New Roman"/>
          <w:b w:val="false"/>
          <w:color w:val="000000"/>
          <w:sz w:val="24"/>
        </w:rPr>
        <w:t>(the “</w:t>
      </w:r>
      <w:r>
        <w:rPr>
          <w:rFonts w:ascii="Times New Roman" w:hAnsi="Times New Roman"/>
          <w:i/>
          <w:color w:val="000000"/>
          <w:sz w:val="24"/>
        </w:rPr>
        <w:t>Services</w:t>
      </w:r>
      <w:r>
        <w:rPr>
          <w:rFonts w:ascii="Times New Roman" w:hAnsi="Times New Roman"/>
          <w:color w:val="000000"/>
          <w:sz w:val="20"/>
        </w:rPr>
        <w:t>”</w:t>
      </w:r>
      <w:r>
        <w:rPr>
          <w:rFonts w:ascii="Times New Roman" w:hAnsi="Times New Roman"/>
          <w:b w:val="false"/>
          <w:color w:val="000000"/>
          <w:sz w:val="24"/>
        </w:rPr>
        <w:t xml:space="preserve">) for the Company (or its designee), and the Company agrees to pay Consultant the compensation described in </w:t>
      </w:r>
      <w:r>
        <w:rPr>
          <w:rFonts w:ascii="Times New Roman" w:hAnsi="Times New Roman"/>
          <w:color w:val="000000"/>
          <w:sz w:val="24"/>
        </w:rPr>
        <w:t>Exhibit A.1</w:t>
      </w:r>
      <w:r>
        <w:rPr>
          <w:rFonts w:ascii="Times New Roman" w:hAnsi="Times New Roman"/>
          <w:color w:val="000000"/>
          <w:sz w:val="20"/>
        </w:rPr>
        <w:t xml:space="preserve"> </w:t>
      </w:r>
      <w:r>
        <w:rPr>
          <w:rFonts w:ascii="Times New Roman" w:hAnsi="Times New Roman"/>
          <w:b w:val="false"/>
          <w:color w:val="000000"/>
          <w:sz w:val="24"/>
        </w:rPr>
        <w:t>for Consultant’s performance of the Services.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Confidentiality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i/>
          <w:color w:val="000000"/>
          <w:sz w:val="24"/>
        </w:rPr>
        <w:t>Definition of Confidential Information</w:t>
      </w:r>
      <w:r>
        <w:rPr>
          <w:rFonts w:ascii="Times New Roman" w:hAnsi="Times New Roman"/>
          <w:b/>
          <w:color w:val="000000"/>
          <w:sz w:val="24"/>
        </w:rPr>
        <w:t>.</w:t>
      </w:r>
      <w:r>
        <w:rPr>
          <w:color w:val="000000"/>
        </w:rPr>
        <w:t xml:space="preserve"> “</w:t>
      </w:r>
      <w:r>
        <w:rPr>
          <w:rFonts w:ascii="Times New Roman" w:hAnsi="Times New Roman"/>
          <w:b/>
          <w:i/>
          <w:color w:val="000000"/>
          <w:sz w:val="24"/>
        </w:rPr>
        <w:t>Company Confidential Information</w:t>
      </w:r>
      <w:r>
        <w:rPr>
          <w:color w:val="000000"/>
        </w:rPr>
        <w:t xml:space="preserve">” </w:t>
      </w:r>
      <w:r>
        <w:rPr>
          <w:rFonts w:ascii="Times New Roman" w:hAnsi="Times New Roman"/>
          <w:color w:val="000000"/>
          <w:sz w:val="24"/>
        </w:rPr>
        <w:t>means any information (including any and all combinations of individual items of information) that the Company has or will develop, acquire, create, compile, discover or own, that has value in or to the Company’s business which is not generally known and which the Company wishes to maintain as confidential. Company Confidential Information includes both (i) information created by others that Consultant learns or that becomes available to Consultant through the Company or its agents; and (ii) information that Consultant creates that the Company owns pursuant to Section 3 of this Agreement. By way of example, and without limitation, Company Confidential Information includes any and all non-public information that relates to the actual or anticipated business and/or products, research or development of the Company, its affiliates or subsidiaries, or to the Company’s or its affiliates’ or subsidiaries’ technical data, trade secrets, or know-how, including, but not limited to, research, product plans, or other information regarding the Company’s or its affiliates’ or subsidiaries’ products or services and markets therefor, customer lists and customers (including, but not limited to, customers of the Company on which Consultant called or with which Consultant becomes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Company property. Notwithstanding the foregoing, Company Confidential Information does not include general knowledge, skill, and experience that Consultant has acquired during the course of or in connection with Consultant’s performance of the Services or from a former employer. Company Confidential Information shall not include any such information which Consultant can establish (i) was publicly known or made generally available prior to the time of disclosure by the Company to Consultant; (ii) becomes publicly known or made generally available after disclosure by the Company to Consultant through no wrongful action or omission by Consultant; or (iii) is in Consultant’s rightful possession, without confidentiality obligations, at the time of disclosure by the Company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i/>
          <w:color w:val="000000"/>
          <w:sz w:val="24"/>
        </w:rPr>
        <w:t>Nonuse and Nondisclosure</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During and after the term of this Agreement, Consultant will hold in the strictest confidence, and take all reasonable precautions to prevent any unauthorized use or disclosure of,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 xml:space="preserve">Company Confidential Information. Consultant will not (i) use Company Confidential Information for any purpose whatsoever other than as necessary for the performance of the Services on behalf of the Company, or (ii) subject to Consultant’s right to engage in protected conduct (as described in the Protected Activity Not Prohibited section below), disclose Company Confidential Information to any third party without the prior written consent of an authorized representative of the Company, except that Consultant may disclose Confidential Information to the extent compelled by applicable law or as required for purposes of carrying out the Services; </w:t>
      </w:r>
      <w:r>
        <w:rPr>
          <w:rFonts w:ascii="Times New Roman" w:hAnsi="Times New Roman"/>
          <w:i/>
          <w:color w:val="000000"/>
          <w:sz w:val="24"/>
        </w:rPr>
        <w:t>provided however</w:t>
      </w:r>
      <w:r>
        <w:rPr>
          <w:rFonts w:ascii="Times New Roman" w:hAnsi="Times New Roman"/>
          <w:color w:val="000000"/>
          <w:sz w:val="24"/>
        </w:rPr>
        <w:t>, prior to such disclosure, Consultant shall provide prior written notice to the Company and seek a protective order or such similar confidential protection as may be available under applicable law. Consultant agrees that no ownership of Company Confidential Information is conveyed to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shall continue after the termination of this Agreement. Nothing in this Agreement prevents workers from engaging in protected conduct, as described in the Protected Activity Not Prohibited section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i/>
          <w:color w:val="000000"/>
          <w:sz w:val="24"/>
        </w:rPr>
        <w:t>Other Client Confidential Information</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Consultant agrees that Consultant will not improperly use, disclose, or induce the Company to use any proprietary information or trade secrets of any former or current employer of Consultant or other person or entity with which Consultant has an obligation to keep such proprietary information or trade secrets in confidence. Consultant further agrees that Consultant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 and the Company.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i/>
          <w:color w:val="000000"/>
          <w:sz w:val="24"/>
        </w:rPr>
        <w:t>Third Party Confidential Information</w:t>
      </w:r>
      <w:r>
        <w:rPr>
          <w:rFonts w:ascii="Times New Roman" w:hAnsi="Times New Roman"/>
          <w:b/>
          <w:color w:val="000000"/>
          <w:sz w:val="24"/>
        </w:rPr>
        <w:t>.</w:t>
      </w:r>
      <w:r>
        <w:rPr>
          <w:color w:val="000000"/>
        </w:rPr>
        <w:t xml:space="preserve"> </w:t>
      </w:r>
      <w:r>
        <w:rPr>
          <w:rFonts w:ascii="Times New Roman" w:hAnsi="Times New Roman"/>
          <w:color w:val="000000"/>
          <w:sz w:val="24"/>
        </w:rPr>
        <w:t>Consultant recognizes that the Company has received, and in the future may receive, from third parties (for example, customers, suppliers, licensors, licensees, partners, and collaborators) as well as its subsidiaries and affiliates (“</w:t>
      </w:r>
      <w:r>
        <w:rPr>
          <w:rFonts w:ascii="Times New Roman" w:hAnsi="Times New Roman"/>
          <w:b/>
          <w:i/>
          <w:color w:val="000000"/>
          <w:sz w:val="24"/>
        </w:rPr>
        <w:t>Associated Third Parties</w:t>
      </w:r>
      <w:r>
        <w:rPr>
          <w:color w:val="000000"/>
        </w:rPr>
        <w:t>”</w:t>
      </w:r>
      <w:r>
        <w:rPr>
          <w:rFonts w:ascii="Times New Roman" w:hAnsi="Times New Roman"/>
          <w:color w:val="000000"/>
          <w:sz w:val="24"/>
        </w:rPr>
        <w:t>), information which the Company is required to maintain and treat as confidential or proprietary information of such Associated Third Parties (“</w:t>
      </w:r>
      <w:r>
        <w:rPr>
          <w:rFonts w:ascii="Times New Roman" w:hAnsi="Times New Roman"/>
          <w:b/>
          <w:i/>
          <w:color w:val="000000"/>
          <w:sz w:val="24"/>
        </w:rPr>
        <w:t>Associated Third Party Confidential Information</w:t>
      </w:r>
      <w:r>
        <w:rPr>
          <w:color w:val="000000"/>
        </w:rPr>
        <w:t>”</w:t>
      </w:r>
      <w:r>
        <w:rPr>
          <w:rFonts w:ascii="Times New Roman" w:hAnsi="Times New Roman"/>
          <w:color w:val="000000"/>
          <w:sz w:val="24"/>
        </w:rPr>
        <w:t>), and Consultant agrees to use such Associated Third Party Confidential Information only as directed by the Company and to not use or disclose such Associated Third Party Confidential Information in a manner that would violate the Company’s obligations to such Associated Third Parties.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Consultant agrees that at all times during the term of this Agreement and thereafter, Consultant owes the Company and its Associated Third Parties a duty to hold all such Associated Third Party Confidential Information in the strictest confidence, and not to use it or to disclose it to any person, firm, corporation, or other third party except as necessary in carrying out the Services for the Company consistent with the Company’s agreement with such Associated Third Parties.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Ownership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i/>
          <w:color w:val="000000"/>
          <w:sz w:val="24"/>
        </w:rPr>
        <w:t>Assignment of Inventions</w:t>
      </w:r>
      <w:r>
        <w:rPr>
          <w:rFonts w:ascii="Times New Roman" w:hAnsi="Times New Roman"/>
          <w:b/>
          <w:color w:val="000000"/>
          <w:sz w:val="24"/>
        </w:rPr>
        <w:t>.</w:t>
      </w:r>
      <w:r>
        <w:rPr>
          <w:color w:val="000000"/>
        </w:rPr>
        <w:t xml:space="preserve"> </w:t>
      </w:r>
      <w:r>
        <w:rPr>
          <w:rFonts w:ascii="Times New Roman" w:hAnsi="Times New Roman"/>
          <w:color w:val="000000"/>
          <w:sz w:val="24"/>
        </w:rPr>
        <w:t>As between the Company and Consultant, Consultant agrees that all right, title, and interest in and to any and all copyrightable material, notes, records, drawings, designs, logos,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hAnsi="Times New Roman"/>
          <w:b/>
          <w:i/>
          <w:color w:val="000000"/>
          <w:sz w:val="24"/>
        </w:rPr>
        <w:t>Inventions</w:t>
      </w:r>
      <w:r>
        <w:rPr>
          <w:color w:val="000000"/>
        </w:rPr>
        <w:t>”</w:t>
      </w:r>
      <w:r>
        <w:rPr>
          <w:rFonts w:ascii="Times New Roman" w:hAnsi="Times New Roman"/>
          <w:color w:val="000000"/>
          <w:sz w:val="24"/>
        </w:rPr>
        <w:t xml:space="preserve">), are the sole property of the Company. Consultant also agrees to promptly make full written disclosure to the Company of any Inventions and to deliver and assign (or cause to be assigned) and hereby irrevocably assigns fully to the Company all of Consultant’s right, title and interest in and to the Inventions. Consultant agrees that this assignment includes a present conveyance to the Company of ownership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Inventions that are not yet in existence. Consultant understands and agrees that the decision whether or not to commercialize or market any Inventions is within the Company’s sole discretion and for the Company’s sole benefit, and that no royalty or other consideration will be due to Consultant as a result of the Company’s efforts to commercialize or market any such Inventions.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i/>
          <w:color w:val="000000"/>
          <w:sz w:val="24"/>
        </w:rPr>
        <w:t>Pre-Existing Material</w:t>
      </w:r>
      <w:r>
        <w:rPr>
          <w:rFonts w:ascii="Times New Roman" w:hAnsi="Times New Roman"/>
          <w:b/>
          <w:color w:val="000000"/>
          <w:sz w:val="24"/>
        </w:rPr>
        <w:t>s.</w:t>
      </w:r>
      <w:r>
        <w:rPr>
          <w:color w:val="000000"/>
        </w:rPr>
        <w:t xml:space="preserve"> </w:t>
      </w:r>
      <w:r>
        <w:rPr>
          <w:rFonts w:ascii="Times New Roman" w:hAnsi="Times New Roman"/>
          <w:color w:val="000000"/>
          <w:sz w:val="24"/>
        </w:rPr>
        <w:t>Subject to Section 3.A, Consultant will inform the Company, in writing, before incorporating any inventions, discoveries, ideas, original works of authorship, developments, improvements, trade secrets, and other proprietary information or intellectual property rights owned by Consultant or in which Consultant has an interest, prior to, or separate from, performing the Services under this Agreement (“</w:t>
      </w:r>
      <w:r>
        <w:rPr>
          <w:rFonts w:ascii="Times New Roman" w:hAnsi="Times New Roman"/>
          <w:b/>
          <w:i/>
          <w:color w:val="000000"/>
          <w:sz w:val="24"/>
        </w:rPr>
        <w:t>Prior Invention</w:t>
      </w:r>
      <w:r>
        <w:rPr>
          <w:rFonts w:ascii="Times New Roman" w:hAnsi="Times New Roman"/>
          <w:i/>
          <w:color w:val="000000"/>
          <w:sz w:val="24"/>
        </w:rPr>
        <w:t>s</w:t>
      </w:r>
      <w:r>
        <w:rPr>
          <w:color w:val="000000"/>
        </w:rPr>
        <w:t>”</w:t>
      </w:r>
      <w:r>
        <w:rPr>
          <w:rFonts w:ascii="Times New Roman" w:hAnsi="Times New Roman"/>
          <w:color w:val="000000"/>
          <w:sz w:val="24"/>
        </w:rPr>
        <w:t xml:space="preserve">) into any Invention or otherwise utilizing any Prior Invention in the course of performing the Services;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incorporated or utilized Prior Inventions, without restriction, including, without limitation, as part of or in connection with such Invention, and to practice any method related thereto. Consultant will not incorporate any inventions, discoveries, ideas, original works of authorship, developments, improvements, trade secrets, and other proprietary information or intellectual property rights owned by any third party into any Invention without Company’s prior written permission.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i/>
          <w:color w:val="000000"/>
          <w:sz w:val="24"/>
        </w:rPr>
        <w:t>Moral Rights</w:t>
      </w:r>
      <w:r>
        <w:rPr>
          <w:rFonts w:ascii="Times New Roman" w:hAnsi="Times New Roman"/>
          <w:b/>
          <w:color w:val="000000"/>
          <w:sz w:val="24"/>
        </w:rPr>
        <w:t>.</w:t>
      </w:r>
      <w:r>
        <w:rPr>
          <w:color w:val="000000"/>
        </w:rPr>
        <w:t xml:space="preserve"> </w:t>
      </w:r>
      <w:r>
        <w:rPr>
          <w:rFonts w:ascii="Times New Roman" w:hAnsi="Times New Roman"/>
          <w:color w:val="000000"/>
          <w:sz w:val="24"/>
        </w:rPr>
        <w:t>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hAnsi="Times New Roman"/>
          <w:b/>
          <w:i/>
          <w:color w:val="000000"/>
          <w:sz w:val="24"/>
        </w:rPr>
        <w:t>Moral Rights</w:t>
      </w:r>
      <w:r>
        <w:rPr>
          <w:color w:val="000000"/>
        </w:rPr>
        <w:t>”</w:t>
      </w:r>
      <w:r>
        <w:rPr>
          <w:rFonts w:ascii="Times New Roman" w:hAnsi="Times New Roman"/>
          <w:color w:val="000000"/>
          <w:sz w:val="24"/>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i/>
          <w:color w:val="000000"/>
          <w:sz w:val="24"/>
        </w:rPr>
        <w:t>Maintenance of Records</w:t>
      </w:r>
      <w:r>
        <w:rPr>
          <w:rFonts w:ascii="Times New Roman" w:hAnsi="Times New Roman"/>
          <w:b/>
          <w:color w:val="000000"/>
          <w:sz w:val="24"/>
        </w:rPr>
        <w:t>.</w:t>
      </w:r>
      <w:r>
        <w:rPr>
          <w:color w:val="000000"/>
        </w:rPr>
        <w:t xml:space="preserve"> </w:t>
      </w:r>
      <w:r>
        <w:rPr>
          <w:rFonts w:ascii="Times New Roman" w:hAnsi="Times New Roman"/>
          <w:color w:val="000000"/>
          <w:sz w:val="24"/>
        </w:rPr>
        <w:t>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As between the Company and Consultant, the records are and will be available to and remain the sole property of the Company at all times and upon Company’s request, Consultant shall deliver (or cause to be delivered) the same.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b/>
          <w:i/>
          <w:color w:val="000000"/>
          <w:sz w:val="24"/>
        </w:rPr>
        <w:t>Further Assurances</w:t>
      </w:r>
      <w:r>
        <w:rPr>
          <w:rFonts w:ascii="Times New Roman" w:hAnsi="Times New Roman"/>
          <w:b/>
          <w:color w:val="000000"/>
          <w:sz w:val="24"/>
        </w:rPr>
        <w:t>.</w:t>
      </w:r>
      <w:r>
        <w:rPr>
          <w:color w:val="000000"/>
        </w:rPr>
        <w:t xml:space="preserve"> </w:t>
      </w:r>
      <w:r>
        <w:rPr>
          <w:rFonts w:ascii="Times New Roman" w:hAnsi="Times New Roman"/>
          <w:color w:val="000000"/>
          <w:sz w:val="24"/>
        </w:rPr>
        <w:t>Consultant agrees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Consultant further agrees that Consultant’s obligations under this Section 3.E shall continue after the termination of this Agreement.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b/>
          <w:i/>
          <w:color w:val="000000"/>
          <w:sz w:val="24"/>
        </w:rPr>
        <w:t>Attorney-in-Fact</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registrations with the same legal force and effect as if executed by Consultant. This power of attorney shall be deemed coupled with an interest, and shall be irrevocable.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Conflicting Obligations</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Consultant represents and warrants that Consultant presently has no agreements, relationships, or commitments to any other person or entity that conflict with the provisions of this Agreement, Consultant’s obligations to the Company under this Agreement, and/or Consultant’s ability to perform the Services, but after the Termination Date, Consultant may accept other employment, consulting work, or service as a board member, and the Company will make commercially reasonable efforts to accommodate Consultant’s availability in requesting services from Consultant under this Agreement, provided that Consultant will not accept employment with or render services to a competitor of the Company during the Term of this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Return of Company Materials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Upon the termination of this Agreement, or upon Company’s earlier request, Consultant will immediately deliver to the Company, and will not keep in Consultant’s possession, recreate, or deliver to anyone else, any and all Company property, including, but not limited to, Company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 Consultant agrees that in discharging Consultant’s obligations pursuant to this section, Consultant will conduct a reasonable and good faith search for such information, property and equipment, including searching external storage devices, personal computers and email accounts, as well as cloud accounts.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i/>
          <w:color w:val="000000"/>
          <w:sz w:val="24"/>
        </w:rPr>
        <w:t>Term</w:t>
      </w:r>
      <w:r>
        <w:rPr>
          <w:rFonts w:ascii="Times New Roman" w:hAnsi="Times New Roman"/>
          <w:b/>
          <w:color w:val="000000"/>
          <w:sz w:val="24"/>
        </w:rPr>
        <w:t>.</w:t>
      </w:r>
      <w:r>
        <w:rPr>
          <w:color w:val="000000"/>
        </w:rPr>
        <w:t xml:space="preserve"> </w:t>
      </w:r>
      <w:r>
        <w:rPr>
          <w:rFonts w:ascii="Times New Roman" w:hAnsi="Times New Roman"/>
          <w:color w:val="000000"/>
          <w:sz w:val="24"/>
        </w:rPr>
        <w:t>The term of this Agreement will begin on the date Consultant terminates employment with the Company and will continue until the earlier of (i) December 31, 2026 or (ii) termination as provided in Section 6.B.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i/>
          <w:color w:val="000000"/>
          <w:sz w:val="24"/>
        </w:rPr>
        <w:t>Termination</w:t>
      </w:r>
      <w:r>
        <w:rPr>
          <w:rFonts w:ascii="Times New Roman" w:hAnsi="Times New Roman"/>
          <w:b/>
          <w:color w:val="000000"/>
          <w:sz w:val="24"/>
        </w:rPr>
        <w:t>.</w:t>
      </w:r>
      <w:r>
        <w:rPr>
          <w:color w:val="000000"/>
        </w:rPr>
        <w:t xml:space="preserve"> </w:t>
      </w:r>
      <w:r>
        <w:rPr>
          <w:rFonts w:ascii="Times New Roman" w:hAnsi="Times New Roman"/>
          <w:color w:val="000000"/>
          <w:sz w:val="24"/>
        </w:rPr>
        <w:t>The Parties may terminate this Agreement upon giving the other Party fourteen (14) days prior written notice of such termination pursuant to Section 10.G of this Agreement. The Parties may terminate this Agreement immediately and without prior notice if the other Party breaches this Agreement and the breach is not cured promptly after written notice from the other Party describing the breach and requesting a cure.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i/>
          <w:color w:val="000000"/>
          <w:sz w:val="24"/>
        </w:rPr>
        <w:t>Survival</w:t>
      </w:r>
      <w:r>
        <w:rPr>
          <w:rFonts w:ascii="Times New Roman" w:hAnsi="Times New Roman"/>
          <w:b/>
          <w:color w:val="000000"/>
          <w:sz w:val="24"/>
        </w:rPr>
        <w:t>.</w:t>
      </w:r>
      <w:r>
        <w:rPr>
          <w:color w:val="000000"/>
        </w:rPr>
        <w:t xml:space="preserve"> </w:t>
      </w:r>
      <w:r>
        <w:rPr>
          <w:rFonts w:ascii="Times New Roman" w:hAnsi="Times New Roman"/>
          <w:color w:val="000000"/>
          <w:sz w:val="24"/>
        </w:rPr>
        <w:t>Upon any termination, all rights and duties of the Company and Consultant toward each other shall cease except: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Within three (3) business days after the effective date of termination of this Agreement, the Company shall pay Consultant (A) , all amounts owing to Consultant for Services completed by the Consultant prior to the termination date, (B) any reimbursable expenses submitted in accordance with the Company’s policies and in accordance with the provisions of Section 1 and 6.B of this Agreement;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termination of the Agreement is by the Company for any reason other than a material breach by Consultant pursuant to Section 6(B) before March 31, 2026, any unpaid amounts under Section 3(B)(1), 3(B)(2) or 3(B)(3) of Exhibit A.1 to this Agreement will be paid to Consutlant in a lump sum within three (3) business days after the effective date of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sections entitled Confidentiality, Ownership, Conflicting Obligations, Return of Company Materials, Term and Termination, Independent Contractor; Benefits, Indemnification, Limitation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Liability, Arbitration and Equitable Relief, and Miscellaneous will survive termination or expiration of this Agreement in accordance with their terms.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Independent Contractor; Benefits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i/>
          <w:color w:val="000000"/>
          <w:sz w:val="24"/>
        </w:rPr>
        <w:t>Independent Contractor.</w:t>
      </w:r>
      <w:r>
        <w:rPr>
          <w:color w:val="000000"/>
        </w:rPr>
        <w:t xml:space="preserve"> </w:t>
      </w:r>
      <w:r>
        <w:rPr>
          <w:rFonts w:ascii="Times New Roman" w:hAnsi="Times New Roman"/>
          <w:color w:val="000000"/>
          <w:sz w:val="24"/>
        </w:rPr>
        <w:t>It is the express intention of the Company and Consultant that Consultant perform the Services as an 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i/>
          <w:color w:val="000000"/>
          <w:sz w:val="24"/>
        </w:rPr>
        <w:t>Benefits</w:t>
      </w:r>
      <w:r>
        <w:rPr>
          <w:rFonts w:ascii="Times New Roman" w:hAnsi="Times New Roman"/>
          <w:b/>
          <w:color w:val="000000"/>
          <w:sz w:val="24"/>
        </w:rPr>
        <w:t>.</w:t>
      </w:r>
      <w:r>
        <w:rPr>
          <w:color w:val="000000"/>
        </w:rPr>
        <w:t xml:space="preserve"> </w:t>
      </w:r>
      <w:r>
        <w:rPr>
          <w:rFonts w:ascii="Times New Roman" w:hAnsi="Times New Roman"/>
          <w:color w:val="000000"/>
          <w:sz w:val="24"/>
        </w:rPr>
        <w:t>The Company and Consultant agree that Consultant will receive no Company-sponsored benefits from the Company where 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Limitation of Liability</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IN NO EVENT SHALL THE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THE COMPANY WAS ADVISED OF THE POSSIBILITY OF SUCH DAMAGES AND NOTWITHSTANDING THE FAILURE OF ESSENTIAL PURPOSE OF ANY LIMITED REMEDY. IN NO EVENT SHALL THE COMPANY’S LIABILITY ARISING OUT OF OR IN CONNECTION WITH THIS AGREEMENT EXCEED THE AMOUNTS PAID BY THE COMPANY TO CONSULTANT UNDER THIS AGREEMENT FOR THE SERVICES, DELIVERABLES OR INVENTION GIVING RISE TO SUCH LIABILITY.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Arbitration and Equitable Relief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i/>
          <w:color w:val="000000"/>
          <w:sz w:val="24"/>
        </w:rPr>
        <w:t>Arbitration</w:t>
      </w:r>
      <w:r>
        <w:rPr>
          <w:rFonts w:ascii="Times New Roman" w:hAnsi="Times New Roman"/>
          <w:b/>
          <w:color w:val="000000"/>
          <w:sz w:val="24"/>
        </w:rPr>
        <w:t>.</w:t>
      </w:r>
      <w:r>
        <w:rPr>
          <w:color w:val="000000"/>
        </w:rPr>
        <w:t xml:space="preserve"> </w:t>
      </w:r>
      <w:r>
        <w:rPr>
          <w:rFonts w:ascii="Times New Roman" w:hAnsi="Times New Roman"/>
          <w:caps/>
          <w:color w:val="000000"/>
          <w:sz w:val="24"/>
        </w:rPr>
        <w:t xml:space="preserve">In consideration of Consultant’s consulting relationship with THE Company, the Company’s promise to arbitrate all disputes related to Consultant’s consulting relationship with the Company and Consultant’s receipt of compensation and other CONSIDERATION paid or PROVIDED to Consultant by the Company, at present and in the future, Consultant agrees that any and all controversies, claims, or disputes that consultant may have with the company (including any Company employee, officer, director, trustee,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shall be subject to binding arbitration pursuant to the federal arbitration Act (9 U.S.C. sec. 1 ET SEQ.) (THE “FAA”). THE FAA’S SUBSTANTIVE AND PROCEDURAL PROVISIONS SHALL EXCLUSIVELY GOVERN AND APPLY WITH FULL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aps/>
          <w:color w:val="000000"/>
          <w:sz w:val="24"/>
        </w:rPr>
        <w:t xml:space="preserve">FORCE AND EFFECT TO THIS ARBITRATION AGREEMENT, INCLUDING ITS ENFORCEMENT, AND ANY STATE COURT OF COMPETENT JURISDICTION SHALL stay proceedings pending arbitration or COMPEL ARBITRATION IN THE SAME MANNER AS A FEDERAL COURT UNDER THE FAA. CONSULTANT FURTHER AGREES THAT, TO THE FULLEST EXTENT PERMITTED BY LAW, CONSULTANT MAY BRING ANY ARBITRATION PROCEEDING ONLY IN CONSULTANT’S INDIVIDUAL CAPACITY, AND NOT AS A PLAINTIFF, REPRESENTATIVE, OR CLASS MEMBER IN ANY PURPORTED CLASS OR COLLECTIVE ACTION, LAWSUIT OR PROCEEDING. CONSULTANT AGREES THAT ANY CLAIMS THAT CONSULTANT MAY BRING PURSUANT TO THE PRIVATE ATTORNEYS GENERAL ACT (“PAGA”) ON BEHALF OF THE LABOR AND WORKFORCE DEVELOPMENT AGENCY MUST BE ARBITRATED ONLY IN CONSULTANT’S INDIVIDUAL CAPACITY WITHOUT ANY JOINDER OR REPRESENTATION OF ANY CALIFORNIA LABOR CODE VIOLATIONS THAT WERE OR COULD BE ASSERTED BY OR ON BEHALF OF ANY OTHER PERSONS. </w:t>
      </w:r>
      <w:r>
        <w:rPr>
          <w:rFonts w:ascii="Times New Roman" w:hAnsi="Times New Roman"/>
          <w:b/>
          <w:caps/>
          <w:color w:val="000000"/>
          <w:sz w:val="24"/>
        </w:rPr>
        <w:t>TO THE FULLEST EXTENT PERMITTED BY LAW, CONSULTANT AGREES TO ARBITRATE any AND ALL COMMON LAW AND/OR statutory claims under LOCAL, state, or federal law, including, but not limited to, claims under THE California Labor Code, CLAIMS RELATING TO EMPLOYMENT OR INDEPENDENT CONTRACTOR STATUS, claims relating to compensation (cash, equity, or otherwise), claims relating to CLASSIFICATION, AND RELATIONSHIP WITH THE COMPANY, AND claims of BREACH OF CONTRACT, to the fullest extent permitted BY LAW.</w:t>
      </w:r>
      <w:r>
        <w:rPr>
          <w:caps/>
          <w:color w:val="000000"/>
        </w:rPr>
        <w:t xml:space="preserve"> </w:t>
      </w:r>
      <w:r>
        <w:rPr>
          <w:rFonts w:ascii="Times New Roman" w:hAnsi="Times New Roman"/>
          <w:b/>
          <w:caps/>
          <w:color w:val="000000"/>
          <w:sz w:val="24"/>
        </w:rPr>
        <w:t xml:space="preserve">CONSULTANT ALSO AGREES TO ARBITRATE ANY AND ALL DISPUTES ARISING OUT OF OR RELATING TO THE INTERPRETATION OR APPLICATION OF THIS AGREEMENT TO ARBITRATE, BUT NOT DISPUTES ABOUT THE ENFORCEABILITY, REVOCABILITY OR VALIDITY OF THIS AGREEMENT TO ARBITRATE OR ITS REQUIREMENT THAT CONSULTANT MUST BRING ANY ARBITRATION PROCEEDING ONLY IN CONSULTANT’S INDIVIDUAL CAPACITY. WITH RESPECT TO ALL SUCH CLAIMS AND DISPUTES THAT CONSULTANT AGREEs TO ARBITRATE, CONSULTANT HEREBY EXPRESSLY AGREES TO WAIVE, AND DOES WAIVE, ANY RIGHT TO A TRIAL BY JURY. </w:t>
      </w:r>
      <w:r>
        <w:rPr>
          <w:rFonts w:ascii="Times New Roman" w:hAnsi="Times New Roman"/>
          <w:caps/>
          <w:color w:val="000000"/>
          <w:sz w:val="24"/>
        </w:rPr>
        <w:t>Consultant further understands that this Agreement to arbitrate also applies to any disputes that the Company may have with Consultant. CONSULTANT UNDERSTANDS THAT NOTHING IN THIS AGREEMENT REQUIRES CONSULTANT TO ARBITRATE CLAIMS THAT CANNOT BE ARBITRATED UNDER THE SARBANES-OXLEY ACT or other law that expressly prohibits arbitration of a claim notwithstanding the application of the faa</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i/>
          <w:color w:val="000000"/>
          <w:sz w:val="24"/>
        </w:rPr>
        <w:t>Administration of Arbitration</w:t>
      </w:r>
      <w:r>
        <w:rPr>
          <w:rFonts w:ascii="Times New Roman" w:hAnsi="Times New Roman"/>
          <w:b/>
          <w:color w:val="000000"/>
          <w:sz w:val="24"/>
        </w:rPr>
        <w:t>.</w:t>
      </w:r>
      <w:r>
        <w:rPr>
          <w:color w:val="000000"/>
        </w:rPr>
        <w:t xml:space="preserve"> </w:t>
      </w:r>
      <w:r>
        <w:rPr>
          <w:rFonts w:ascii="Times New Roman" w:hAnsi="Times New Roman"/>
          <w:caps/>
          <w:color w:val="000000"/>
          <w:sz w:val="24"/>
        </w:rPr>
        <w:t>Consultant agrees that any arbitration will be administered by JAMS pursuant to its EMPLOYMENT Arbitration Rules &amp; Procedures (the “</w:t>
      </w:r>
      <w:r>
        <w:rPr>
          <w:rFonts w:ascii="Times New Roman" w:hAnsi="Times New Roman"/>
          <w:b/>
          <w:i/>
          <w:caps/>
          <w:color w:val="000000"/>
          <w:sz w:val="24"/>
        </w:rPr>
        <w:t>JAMS employment Rules</w:t>
      </w:r>
      <w:r>
        <w:rPr>
          <w:caps/>
          <w:color w:val="000000"/>
        </w:rPr>
        <w:t>”</w:t>
      </w:r>
      <w:r>
        <w:rPr>
          <w:rFonts w:ascii="Times New Roman" w:hAnsi="Times New Roman"/>
          <w:caps/>
          <w:color w:val="000000"/>
          <w:sz w:val="24"/>
        </w:rPr>
        <w:t xml:space="preserve">), WHICH ARE AVAILABLE AT </w:t>
      </w:r>
      <w:r>
        <w:rPr>
          <w:rFonts w:ascii="Times New Roman" w:hAnsi="Times New Roman"/>
          <w:caps/>
          <w:sz w:val="24"/>
        </w:rPr>
        <w:t>http://www.jamsadr.com/rules-employment-arbitration/</w:t>
      </w:r>
      <w:r>
        <w:rPr>
          <w:rFonts w:ascii="Times New Roman" w:hAnsi="Times New Roman"/>
          <w:caps/>
          <w:color w:val="000000"/>
          <w:sz w:val="24"/>
        </w:rPr>
        <w:t xml:space="preserve">. IF THE JAMS employment RULES CANNOT BE ENFORCED AS TO THE ARBITRATION, THEN THE PARTIES AGREE THAT THEY WILL ARBITRATE THIS DISPUTE </w:t>
      </w:r>
      <w:r>
        <w:rPr>
          <w:rFonts w:ascii="Times New Roman" w:hAnsi="Times New Roman"/>
          <w:color w:val="000000"/>
          <w:sz w:val="24"/>
        </w:rPr>
        <w:t>UTILIZING JAMS COMPREHENSIVE ARBITRATION RULES AND PROCEDURES OR SUCH RULES AS THE ARBITRATOR MAY DEEM MOST APPROPRIATE FOR THE DISPUTE (THE RULES UNDER WHICH THE ARBITRATION IS ADMINISTERED, WHETHER THE JAMS EMPLOYMENT RULES, THE JAMS COMPREHENSIVE ARBITRATION RULES, OR OTHERWISE, ARE REFERRED TO HEREIN AS THE “</w:t>
      </w:r>
      <w:r>
        <w:rPr>
          <w:rFonts w:ascii="Times New Roman" w:hAnsi="Times New Roman"/>
          <w:b/>
          <w:color w:val="000000"/>
          <w:sz w:val="24"/>
        </w:rPr>
        <w:t>JAMS RULES</w:t>
      </w:r>
      <w:r>
        <w:rPr>
          <w:color w:val="000000"/>
        </w:rPr>
        <w:t>”</w:t>
      </w:r>
      <w:r>
        <w:rPr>
          <w:rFonts w:ascii="Times New Roman" w:hAnsi="Times New Roman"/>
          <w:color w:val="000000"/>
          <w:sz w:val="24"/>
        </w:rPr>
        <w:t>). IN THE EVENT OF ANY CONFLICT BETWEEN THE TERMS OF THIS SECTION</w:t>
      </w:r>
      <w:r>
        <w:rPr>
          <w:color w:val="000000"/>
        </w:rPr>
        <w:t xml:space="preserve"> </w:t>
      </w:r>
      <w:r>
        <w:rPr>
          <w:rFonts w:ascii="Times New Roman" w:hAnsi="Times New Roman"/>
          <w:color w:val="000000"/>
          <w:sz w:val="24"/>
        </w:rPr>
        <w:t>AND THE JAMS RULES, THIS SECTION</w:t>
      </w:r>
      <w:r>
        <w:rPr>
          <w:color w:val="000000"/>
        </w:rPr>
        <w:t xml:space="preserve"> </w:t>
      </w:r>
      <w:r>
        <w:rPr>
          <w:rFonts w:ascii="Times New Roman" w:hAnsi="Times New Roman"/>
          <w:color w:val="000000"/>
          <w:sz w:val="24"/>
        </w:rPr>
        <w:t>SHALL TAKE PRECEDENCE</w:t>
      </w:r>
      <w:r>
        <w:rPr>
          <w:rFonts w:ascii="Times New Roman" w:hAnsi="Times New Roman"/>
          <w:caps/>
          <w:color w:val="000000"/>
          <w:sz w:val="24"/>
        </w:rPr>
        <w:t xml:space="preserve">. CONSULTANT AGREES THAT THE USE OF THE JAMS employment RULES DOES NOT CHANGE CONSULTANT’S CLASSIFICATION TO THAT OF AN EMPLOYEE. TO THE CONTRARY, CONSULTANT REAFFIRMS THAT CONSULTANT IS AN INDEPENDENT CONTRACTOR. Consultant agrees that the arbitrator shall have the power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aps/>
          <w:color w:val="000000"/>
          <w:sz w:val="24"/>
        </w:rPr>
        <w:t xml:space="preserve">to decide any motions brought by any party to the arbitration, including motions for summary judgment and/or adjudication and motions to dismiss and demurrers APPLYING THE STANDARDS for such motions SET FORTH UNDER applicable law, including THE CALIFORNIA CODE OF CIVIL PROCEDURE. Consultant agrees that the arbitrator shall issue a written decision on the merits. CONSULTANT ALSO AGREES THAT THE ARBITRATOR SHALL HAVE THE POWER TO AWARD ANY REMEDIES AVAILABLE UNDER APPLICABLE LAW, AND THAT THE ARBITRATOR MAY AWARD ATTORNEYS’ FEES AND COSTS TO THE PREVAILING PARTY, WHERE PERMITTED BY APPLICABLE LAW. CONSULTANT AGREES that the decree or award rendered by the arbitrator may be entered as a final and binding judgment in any court having jurisdiction thereof. CONSULTANT UNDERSTANDS THAT THE COMPANY WILL PAY FOR ANY ADMINISTRATIVE OR HEARING FEES CHARGED BY THE ARBITRATOR OR JAMS, EXCEPT THAT CONSULTANT SHALL PAY ANY FILING FEES ASSOCIATED WITH ANY ARBITRATION THAT CONSULTANT INITIATES, BUT ONLY SO MUCH OF THE FILING FEES AS CONSULTANT WOULD HAVE INSTEAD PAID HAD CONSULTANT FILED A COMPLAINT IN A COURT OF LAW THAT WOULD HAVE HAD JURISDICTION OVER SUCH COMPLAINT. </w:t>
      </w:r>
      <w:r>
        <w:rPr>
          <w:rFonts w:ascii="Times New Roman" w:hAnsi="Times New Roman"/>
          <w:color w:val="000000"/>
          <w:sz w:val="24"/>
        </w:rPr>
        <w:t>SUBJECT TO THE FAA’S EXCLUSIVE APPLICABILITY TO THE ENFORCEMENT OF THIS AGREEMENT TO ARBITRATE</w:t>
      </w:r>
      <w:r>
        <w:rPr>
          <w:rFonts w:ascii="Times New Roman" w:hAnsi="Times New Roman"/>
          <w:caps/>
          <w:color w:val="000000"/>
          <w:sz w:val="24"/>
        </w:rPr>
        <w:t>, Consultant agrees that the arbitrator shall administer and conduct any arbitration HEARING OR PROCEEDING APPLYING CALIFORNIA SUBSTANTIVE AND DECISIONAL LAW AND THE California Code of Civil Procedure, INCLUDING THE CALIFORNIA CIVIL DISCOVERY ACT. Consultant agrees that any arbitration under this agreement shall be conducted in ORANGE COUNTY, california.</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i/>
          <w:color w:val="000000"/>
          <w:sz w:val="24"/>
        </w:rPr>
        <w:t>Remedy</w:t>
      </w:r>
      <w:r>
        <w:rPr>
          <w:rFonts w:ascii="Times New Roman" w:hAnsi="Times New Roman"/>
          <w:b/>
          <w:caps/>
          <w:color w:val="000000"/>
          <w:sz w:val="24"/>
        </w:rPr>
        <w:t>.</w:t>
      </w:r>
      <w:r>
        <w:rPr>
          <w:caps/>
          <w:color w:val="000000"/>
        </w:rPr>
        <w:t xml:space="preserve"> </w:t>
      </w:r>
      <w:r>
        <w:rPr>
          <w:rFonts w:ascii="Times New Roman" w:hAnsi="Times New Roman"/>
          <w:color w:val="000000"/>
          <w:sz w:val="24"/>
        </w:rPr>
        <w:t>FOR PURPOSES OF SEEKING PROVISIONAL REMEDIES ONLY, CONSULTANT AGREES THAT THE COMPANY AND CONSULTANT SHALL BE ENTITLED TO PURSUE ANY PROVISIONAL REMEDY PERMITTED BY THE CALIFORNIA ARBITRATION ACT (CALIFORNIA CODE CIV. PROC. § 1281.8), OR OTHERWISE PROVIDED BY THIS AGREEMENT. EXCEPT FOR SUCH PROVISIONAL RELIEF, CONSULTANT AGREES THAT ANY RELIEF OTHERWISE AVAILABLE TO THE COMPANY OR CONSULTANT UNDER APPLICABLE LAW SHALL BE PURSUED SOLELY AND EXCLUSIVELY IN ARBITRATION PURSUANT TO THE TERMS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i/>
          <w:color w:val="000000"/>
          <w:sz w:val="24"/>
        </w:rPr>
        <w:t>Administrative Relief.</w:t>
      </w:r>
      <w:r>
        <w:rPr>
          <w:color w:val="000000"/>
        </w:rPr>
        <w:t xml:space="preserve"> </w:t>
      </w:r>
      <w:r>
        <w:rPr>
          <w:rFonts w:ascii="Times New Roman" w:hAnsi="Times New Roman"/>
          <w:caps/>
          <w:color w:val="000000"/>
          <w:sz w:val="24"/>
        </w:rPr>
        <w:t xml:space="preserve">Consultant understands that this Agreement does not prohibit Consultant from pursuing AN Administrative claim with A local, state or federal administrative BODY OR GOVERNMENT AGENCY such as the CALIFORNIA CIVIL RIGHTS DEPARTMENT, the Equal Employment Opportunity Commission, the National Labor Relations Board, THE SECURITIES AND EXCHANGE COMMISSION, or the workers’ compensation board. this agreement does, however, preclUde consultant from bringing any alleged wage claims with the Department of labor standards enforcement. Likewise, This Agreement does preclude Consultant from pursuing A court action regarding any SUCH CLAIM, except as permitted by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b/>
          <w:i/>
          <w:color w:val="000000"/>
          <w:sz w:val="24"/>
        </w:rPr>
        <w:t>Voluntary Nature of Agreement; Enforcement.</w:t>
      </w:r>
      <w:r>
        <w:rPr>
          <w:caps/>
          <w:color w:val="000000"/>
        </w:rPr>
        <w:t xml:space="preserve"> </w:t>
      </w:r>
      <w:r>
        <w:rPr>
          <w:rFonts w:ascii="Times New Roman" w:hAnsi="Times New Roman"/>
          <w:caps/>
          <w:color w:val="000000"/>
          <w:sz w:val="24"/>
        </w:rPr>
        <w:t xml:space="preserve">Consultant acknowledges and agrees that CONSULTANT is executing 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aps/>
          <w:color w:val="000000"/>
          <w:sz w:val="24"/>
        </w:rPr>
        <w:t xml:space="preserve">that </w:t>
      </w:r>
      <w:r>
        <w:rPr>
          <w:rFonts w:ascii="Times New Roman" w:hAnsi="Times New Roman"/>
          <w:b/>
          <w:i/>
          <w:caps/>
          <w:color w:val="000000"/>
          <w:sz w:val="24"/>
        </w:rPr>
        <w:t>Consultant is waiving CONSULTANT’S right to a jury trial</w:t>
      </w:r>
      <w:r>
        <w:rPr>
          <w:rFonts w:ascii="Times New Roman" w:hAnsi="Times New Roman"/>
          <w:caps/>
          <w:color w:val="000000"/>
          <w:sz w:val="24"/>
        </w:rPr>
        <w:t>. Consultant agrees that CONSULTANT has been provided an opportunity to seek the advice of an attorney of Consultant’s choice before signing this Agreement. THIS ARBITRATION AGREEMENT IS TO BE ENFORCED TO THE MAXIMUM EXTENT PERMITTED BY APPLICABLE LAW. ACCORDINGLY, consultant AGREEs THAT IF A COURT OR OTHER BODY OF COMPETENT JURISDICTION FINDS THAT ANY PROVISION OR PORTION OF THIS ARBITRATION AGREEMENT IS INVALID OR UNENFORCEABLE, SUCH PROVISION OR PORTION, AS APPLICABLE, SHALL BE ENFORCED TO THE MAXIMUM EXTENT PERMISSIBLE BY APPLICABLE LAW OR, IF NECESSARY, SEVERED, AND THE REMAINDER OF THE ARBITRATION AGREEMENT WILL CONTINUE WITH FULL FORCE AND EFFECT.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Miscellaneous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i/>
          <w:color w:val="000000"/>
          <w:sz w:val="24"/>
        </w:rPr>
        <w:t>Governing Law; Consent to Personal Jurisdiction</w:t>
      </w:r>
      <w:r>
        <w:rPr>
          <w:rFonts w:ascii="Times New Roman" w:hAnsi="Times New Roman"/>
          <w:b/>
          <w:color w:val="000000"/>
          <w:sz w:val="24"/>
        </w:rPr>
        <w:t>.</w:t>
      </w:r>
      <w:r>
        <w:rPr>
          <w:color w:val="000000"/>
        </w:rPr>
        <w:t xml:space="preserve"> </w:t>
      </w:r>
      <w:r>
        <w:rPr>
          <w:rFonts w:ascii="Times New Roman" w:hAnsi="Times New Roman"/>
          <w:color w:val="000000"/>
          <w:sz w:val="24"/>
        </w:rPr>
        <w:t>This Agreement will be governed by the laws of the State of California, without regard to the conflicts of law provisions of California or any other jurisdiction, except that any dispute regarding the enforceability of the arbitration section of this Agreement shall be governed by the FAA. To the extent that any lawsuit is permitted under this Agreement, the Parties hereby expressly consent to the personal and exclusive jurisdiction and venue of the state and federal courts located in California.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i/>
          <w:color w:val="000000"/>
          <w:sz w:val="24"/>
        </w:rPr>
        <w:t>Assignability</w:t>
      </w:r>
      <w:r>
        <w:rPr>
          <w:rFonts w:ascii="Times New Roman" w:hAnsi="Times New Roman"/>
          <w:b/>
          <w:color w:val="000000"/>
          <w:sz w:val="24"/>
        </w:rPr>
        <w:t>.</w:t>
      </w:r>
      <w:r>
        <w:rPr>
          <w:color w:val="000000"/>
        </w:rPr>
        <w:t xml:space="preserve"> </w:t>
      </w:r>
      <w:r>
        <w:rPr>
          <w:rFonts w:ascii="Times New Roman" w:hAnsi="Times New Roman"/>
          <w:color w:val="000000"/>
          <w:sz w:val="24"/>
        </w:rPr>
        <w:t>This Agreement will be binding upon Consultant’s heirs, executors, assigns, administrators, and other legal representatives, and will be for the benefit of the Company, its successors, and its assigns. The Associated Third Parties are intended third-party beneficiaries to this Agreement with respect to Consultant’s obligations in Section 2.D.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or otherwise. For the avoidance of doubt, the Company’s successors and assigns are authorized to enforce the Company’s rights under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i/>
          <w:color w:val="000000"/>
          <w:sz w:val="24"/>
        </w:rPr>
        <w:t>Entire Agreement</w:t>
      </w:r>
      <w:r>
        <w:rPr>
          <w:rFonts w:ascii="Times New Roman" w:hAnsi="Times New Roman"/>
          <w:b/>
          <w:color w:val="000000"/>
          <w:sz w:val="24"/>
        </w:rPr>
        <w:t>.</w:t>
      </w:r>
      <w:r>
        <w:rPr>
          <w:color w:val="000000"/>
        </w:rPr>
        <w:t xml:space="preserve"> </w:t>
      </w:r>
      <w:r>
        <w:rPr>
          <w:rFonts w:ascii="Times New Roman" w:hAnsi="Times New Roman"/>
          <w:color w:val="000000"/>
          <w:sz w:val="24"/>
        </w:rPr>
        <w:t>This Agreement, together with Exhibit A.1 herein, sets forth the entire agreement and understanding between the Parties with respect to the subject 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i/>
          <w:color w:val="000000"/>
          <w:sz w:val="24"/>
        </w:rPr>
        <w:t>Headings</w:t>
      </w:r>
      <w:r>
        <w:rPr>
          <w:rFonts w:ascii="Times New Roman" w:hAnsi="Times New Roman"/>
          <w:b/>
          <w:color w:val="000000"/>
          <w:sz w:val="24"/>
        </w:rPr>
        <w:t>.</w:t>
      </w:r>
      <w:r>
        <w:rPr>
          <w:color w:val="000000"/>
        </w:rPr>
        <w:t xml:space="preserve"> </w:t>
      </w:r>
      <w:r>
        <w:rPr>
          <w:rFonts w:ascii="Times New Roman" w:hAnsi="Times New Roman"/>
          <w:color w:val="000000"/>
          <w:sz w:val="24"/>
        </w:rPr>
        <w:t>Headings are used in this Agreement for reference only and shall not be considered when interpreting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b/>
          <w:i/>
          <w:color w:val="000000"/>
          <w:sz w:val="24"/>
        </w:rPr>
        <w:t>Severability</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b/>
          <w:i/>
          <w:color w:val="000000"/>
          <w:sz w:val="24"/>
        </w:rPr>
        <w:t>Modification, Waiver.</w:t>
      </w:r>
      <w:r>
        <w:rPr>
          <w:color w:val="000000"/>
        </w:rPr>
        <w:t xml:space="preserve"> </w:t>
      </w:r>
      <w:r>
        <w:rPr>
          <w:rFonts w:ascii="Times New Roman" w:hAnsi="Times New Roman"/>
          <w:color w:val="000000"/>
          <w:sz w:val="24"/>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b/>
          <w:i/>
          <w:color w:val="000000"/>
          <w:sz w:val="24"/>
        </w:rPr>
        <w:t>Notices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Any notice or other communication required or permitted by this Agreement to be given to a Party shall be in writing and shall be deemed given (i) if delivered personally or by commercial messenger or courier service, (ii) when sent by confirmed facsimile, electronic mail, or electronic signature or (iii) if mailed by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10.G.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 If to the Company, to:</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RxSight Inc. </w:t>
      </w:r>
    </w:p>
    <w:p>
      <w:pPr>
        <w:pStyle w:val="TextBody"/>
        <w:bidi w:val="0"/>
        <w:jc w:val="left"/>
        <w:rPr>
          <w:rFonts w:ascii="Times New Roman" w:hAnsi="Times New Roman"/>
          <w:color w:val="000000"/>
          <w:sz w:val="24"/>
        </w:rPr>
      </w:pPr>
      <w:r>
        <w:rPr>
          <w:rFonts w:ascii="Times New Roman" w:hAnsi="Times New Roman"/>
          <w:color w:val="000000"/>
          <w:sz w:val="24"/>
        </w:rPr>
        <w:t>Attention: Ron Kurtz</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(2) If to Consultant, to the address for notice on the signature page to this Agreement or, if no such address is provided, to the last address of Consultant provided by Consultant to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b/>
          <w:i/>
          <w:color w:val="000000"/>
          <w:sz w:val="24"/>
        </w:rPr>
        <w:t>Attorneys’ Fees</w:t>
      </w:r>
      <w:r>
        <w:rPr>
          <w:rFonts w:ascii="Times New Roman" w:hAnsi="Times New Roman"/>
          <w:b/>
          <w:color w:val="000000"/>
          <w:sz w:val="24"/>
        </w:rPr>
        <w:t>.</w:t>
      </w:r>
      <w:r>
        <w:rPr>
          <w:color w:val="000000"/>
        </w:rPr>
        <w:t xml:space="preserve"> </w:t>
      </w:r>
      <w:r>
        <w:rPr>
          <w:rFonts w:ascii="Times New Roman" w:hAnsi="Times New Roman"/>
          <w:color w:val="000000"/>
          <w:sz w:val="24"/>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b/>
          <w:i/>
          <w:color w:val="000000"/>
          <w:sz w:val="24"/>
        </w:rPr>
        <w:t>Signatures.</w:t>
      </w:r>
      <w:r>
        <w:rPr>
          <w:color w:val="000000"/>
        </w:rPr>
        <w:t xml:space="preserve"> </w:t>
      </w:r>
      <w:r>
        <w:rPr>
          <w:rFonts w:ascii="Times New Roman" w:hAnsi="Times New Roman"/>
          <w:color w:val="000000"/>
          <w:sz w:val="24"/>
        </w:rPr>
        <w:t>This Agreement may be signed in two counterparts, each of which shall be deemed an original, with the same force and effectiveness as though executed in a single document.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b/>
          <w:i/>
          <w:color w:val="000000"/>
          <w:sz w:val="24"/>
        </w:rPr>
        <w:t>Protected Activity Not Prohibited.</w:t>
      </w:r>
      <w:r>
        <w:rPr>
          <w:color w:val="000000"/>
        </w:rPr>
        <w:t xml:space="preserve"> </w:t>
      </w:r>
      <w:r>
        <w:rPr>
          <w:rFonts w:ascii="Times New Roman" w:hAnsi="Times New Roman"/>
          <w:color w:val="000000"/>
          <w:sz w:val="24"/>
        </w:rPr>
        <w:t>Consultant understands that nothing in this Agreement shall in any way limit or prohibit Consultant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w:t>
      </w:r>
      <w:r>
        <w:rPr>
          <w:rFonts w:ascii="Times New Roman" w:hAnsi="Times New Roman"/>
          <w:b/>
          <w:i/>
          <w:color w:val="000000"/>
          <w:sz w:val="24"/>
        </w:rPr>
        <w:t>Government Agencies</w:t>
      </w:r>
      <w:r>
        <w:rPr>
          <w:color w:val="000000"/>
        </w:rPr>
        <w:t>”</w:t>
      </w:r>
      <w:r>
        <w:rPr>
          <w:rFonts w:ascii="Times New Roman" w:hAnsi="Times New Roman"/>
          <w:color w:val="000000"/>
          <w:sz w:val="24"/>
        </w:rPr>
        <w:t xml:space="preserve">), including disclosing documents or other information as permitted by law. In addition, Consultant understands that nothing in this Agreement, including its definition of Confidential Information, prevents Consultant from discussing or disclosing information about unlawful acts, such as harassment or discrimination or any other conduct that Consultant have reason to believe is unlawful. Notwithstanding the preceding, Consultant agrees to take all reasonable precautions to prevent any unauthorized use or disclosure of any Company trade secrets, proprietary information, or confidential information that does not involve unlawful acts or the activity otherwise protected herein. Consultant further understands that Consultant is not permitted to disclose the Company’s attorney-client privileged communications or attorney work product.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i/>
          <w:color w:val="000000"/>
          <w:sz w:val="24"/>
        </w:rPr>
        <w:t>solely</w:t>
      </w:r>
      <w:r>
        <w:rPr>
          <w:color w:val="000000"/>
        </w:rPr>
        <w:t xml:space="preserve"> </w:t>
      </w:r>
      <w:r>
        <w:rPr>
          <w:rFonts w:ascii="Times New Roman" w:hAnsi="Times New Roman"/>
          <w:color w:val="000000"/>
          <w:sz w:val="24"/>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Consultant understands that nothing in this Agreement, including its definition of Company Confidential Information, limits Consultant’s rights to discuss or disclose Consultant’s compensation or the terms or conditions of Consultant’s service relationship with the Company, to the extent protected by applicable law, or otherwise impairs Consultant from assisting other Company current or former service providers in the exercise of their rights under applicable law.</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before="240" w:after="283"/>
        <w:jc w:val="center"/>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executed this Consulting Agreement as of the date first written above.</w:t>
      </w:r>
    </w:p>
    <w:p>
      <w:pPr>
        <w:pStyle w:val="HorizontalLine"/>
        <w:pBdr>
          <w:bottom w:val="double" w:sz="2" w:space="0" w:color="808080"/>
        </w:pBdr>
        <w:bidi w:val="0"/>
        <w:spacing w:before="0" w:after="283"/>
        <w:jc w:val="left"/>
        <w:rPr/>
      </w:pPr>
      <w:r>
        <w:rPr/>
      </w:r>
    </w:p>
    <w:p>
      <w:pPr>
        <w:pStyle w:val="TextBody"/>
        <w:bidi w:val="0"/>
        <w:spacing w:before="480" w:after="240"/>
        <w:jc w:val="left"/>
        <w:rPr>
          <w:rFonts w:ascii="Times New Roman" w:hAnsi="Times New Roman"/>
          <w:sz w:val="20"/>
        </w:rPr>
      </w:pPr>
      <w:r>
        <w:rPr>
          <w:rFonts w:ascii="Times New Roman" w:hAnsi="Times New Roman"/>
          <w:b/>
          <w:color w:val="000000"/>
          <w:sz w:val="24"/>
        </w:rPr>
        <w:t>CONSULTANT</w:t>
      </w:r>
      <w:r>
        <w:rPr>
          <w:rFonts w:ascii="Times New Roman" w:hAnsi="Times New Roman"/>
          <w:color w:val="000000"/>
          <w:sz w:val="20"/>
        </w:rPr>
        <w:t xml:space="preserve"> </w:t>
      </w:r>
      <w:r>
        <w:rPr>
          <w:rFonts w:ascii="Times New Roman" w:hAnsi="Times New Roman"/>
          <w:b/>
          <w:color w:val="000000"/>
          <w:sz w:val="24"/>
        </w:rPr>
        <w:t>RXSIGHT, INC.</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/s/ Shelley Thunen</w:t>
      </w:r>
      <w:r>
        <w:rPr>
          <w:rFonts w:ascii="Times New Roman" w:hAnsi="Times New Roman"/>
          <w:color w:val="000000"/>
          <w:sz w:val="20"/>
          <w:u w:val="single"/>
        </w:rPr>
        <w:t xml:space="preserve"> </w:t>
      </w:r>
      <w:r>
        <w:rPr>
          <w:rFonts w:ascii="Times New Roman" w:hAnsi="Times New Roman"/>
          <w:color w:val="000000"/>
          <w:sz w:val="24"/>
        </w:rPr>
        <w:t>By:</w:t>
      </w:r>
      <w:r>
        <w:rPr>
          <w:rFonts w:ascii="Times New Roman" w:hAnsi="Times New Roman"/>
          <w:color w:val="000000"/>
          <w:sz w:val="24"/>
          <w:u w:val="single"/>
        </w:rPr>
        <w:t>/s/ Ron Kurtz_____________________</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Shelley Thunen</w:t>
      </w:r>
      <w:r>
        <w:rPr>
          <w:rFonts w:ascii="Times New Roman" w:hAnsi="Times New Roman"/>
          <w:color w:val="000000"/>
          <w:sz w:val="20"/>
          <w:u w:val="single"/>
        </w:rPr>
        <w:t xml:space="preserve"> </w:t>
      </w:r>
      <w:r>
        <w:rPr>
          <w:rFonts w:ascii="Times New Roman" w:hAnsi="Times New Roman"/>
          <w:color w:val="000000"/>
          <w:sz w:val="24"/>
        </w:rPr>
        <w:t xml:space="preserve">Name: </w:t>
      </w:r>
      <w:r>
        <w:rPr>
          <w:rFonts w:ascii="Times New Roman" w:hAnsi="Times New Roman"/>
          <w:color w:val="000000"/>
          <w:sz w:val="24"/>
          <w:u w:val="single"/>
        </w:rPr>
        <w:t>Ron Kurtz</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CFO</w:t>
      </w:r>
      <w:r>
        <w:rPr>
          <w:rFonts w:ascii="Times New Roman" w:hAnsi="Times New Roman"/>
          <w:color w:val="000000"/>
          <w:sz w:val="20"/>
          <w:u w:val="single"/>
        </w:rPr>
        <w:t xml:space="preserve"> </w:t>
      </w:r>
      <w:r>
        <w:rPr>
          <w:rFonts w:ascii="Times New Roman" w:hAnsi="Times New Roman"/>
          <w:color w:val="000000"/>
          <w:sz w:val="24"/>
        </w:rPr>
        <w:t xml:space="preserve">Title: </w:t>
      </w:r>
      <w:r>
        <w:rPr>
          <w:rFonts w:ascii="Times New Roman" w:hAnsi="Times New Roman"/>
          <w:color w:val="000000"/>
          <w:sz w:val="24"/>
          <w:u w:val="single"/>
        </w:rPr>
        <w:t>President &amp; CEO</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Address for Notice: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EXHIBIT A.1</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SERVICES AND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b/>
          <w:i/>
          <w:color w:val="000000"/>
          <w:sz w:val="24"/>
        </w:rPr>
        <w:t>Contact</w:t>
      </w:r>
      <w:r>
        <w:rPr>
          <w:rFonts w:ascii="Times New Roman" w:hAnsi="Times New Roman"/>
          <w:b/>
          <w:color w:val="000000"/>
          <w:sz w:val="24"/>
        </w:rPr>
        <w:t>.</w:t>
      </w:r>
      <w:r>
        <w:rPr>
          <w:color w:val="000000"/>
        </w:rPr>
        <w:t xml:space="preserve"> </w:t>
      </w:r>
      <w:r>
        <w:rPr>
          <w:rFonts w:ascii="Times New Roman" w:hAnsi="Times New Roman"/>
          <w:color w:val="000000"/>
          <w:sz w:val="24"/>
        </w:rPr>
        <w:t>Consultant’s principal Company contact:</w:t>
      </w:r>
    </w:p>
    <w:p>
      <w:pPr>
        <w:pStyle w:val="TextBody"/>
        <w:bidi w:val="0"/>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Dr. Ron Kurtz</w:t>
      </w:r>
    </w:p>
    <w:p>
      <w:pPr>
        <w:pStyle w:val="TextBody"/>
        <w:bidi w:val="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Chief Executive Officer of the Company (“CEO”)</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rFonts w:ascii="Times New Roman" w:hAnsi="Times New Roman"/>
          <w:color w:val="000000"/>
          <w:sz w:val="24"/>
        </w:rPr>
      </w:pPr>
      <w:r>
        <w:rPr>
          <w:rFonts w:ascii="Times New Roman" w:hAnsi="Times New Roman"/>
          <w:color w:val="000000"/>
          <w:sz w:val="24"/>
        </w:rPr>
        <w:t>Phone: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b/>
          <w:i/>
          <w:color w:val="000000"/>
          <w:sz w:val="24"/>
        </w:rPr>
        <w:t>Services</w:t>
      </w:r>
      <w:r>
        <w:rPr>
          <w:rFonts w:ascii="Times New Roman" w:hAnsi="Times New Roman"/>
          <w:color w:val="000000"/>
          <w:sz w:val="24"/>
        </w:rPr>
        <w:t xml:space="preserve">. The Services will include, but will not be limited to, supporting the Company’s financial reporting efforts and completing such other tasks as reasonably requested by the CEO or the CEO’s designee.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b/>
          <w:i/>
          <w:color w:val="000000"/>
          <w:sz w:val="24"/>
        </w:rPr>
        <w:t>Compensation</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Company will pay Consultant a fee of $500 per hour of Services performed by Consultant. Consultant shall submit written invoices to the Company on a biweekly basis specifying the hours of Services performed, and each invoice shall be payable in full within fifteen (15) calendar days.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Retainer &amp; Commitment: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will also pay Consultant a non-refundable retainer of $15,000 for January 2026, as consideration for Consultant being available to provide Services as requested, but regardless of the extent of Services actually requested or performed by Consultant, payable on January 30, 2026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will also pay Consultant a non-refundable retainer of $15,000 for February 2026, as consideration for Consultant being available to provide Services as requested, but regardless of the extent of Services actually requested or performed by Consultant, payable on February 27, 2026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will also pay Consultant a non-refundable retainer of $15,000 for March 2026, as consideration for Consultant being available to provide Services as requested, but regardless of the extent of Services actually requested or performed by Consultant, payable on March 31, 2026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For purposes of clarity, pursuant to the terms of the applicable Stock Agreements (as defined in the Transition Agreement and Release by and between Consultant and the Company effective as of January 10, 2026 (the “</w:t>
      </w:r>
      <w:r>
        <w:rPr>
          <w:rFonts w:ascii="Times New Roman" w:hAnsi="Times New Roman"/>
          <w:b/>
          <w:i/>
          <w:color w:val="000000"/>
          <w:sz w:val="24"/>
        </w:rPr>
        <w:t>Transition Agreement</w:t>
      </w:r>
      <w:r>
        <w:rPr>
          <w:color w:val="000000"/>
        </w:rPr>
        <w:t>”</w:t>
      </w:r>
      <w:r>
        <w:rPr>
          <w:rFonts w:ascii="Times New Roman" w:hAnsi="Times New Roman"/>
          <w:color w:val="000000"/>
          <w:sz w:val="24"/>
        </w:rPr>
        <w:t>)), Consultant will continue to vest in the Consultant’s outstanding and unvested Options (as defined in the Transition Agreement) during the period that Consultant provides Services to the Company pursuant to this Agreement. The Options will remain subject to the terms and conditions of the applicable Stock Agreements.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Company will reimburse Consultant, in accordance with Company policy, for all reasonable expenses incurred by Consultant in performing the Services pursuant to this Agreement, if Consultant receives written consent from an authorized agent of the Company prior to incurring such expenses and submits receipts for such expenses to the Company in accordance with Company policy.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Exhibit A.1</w:t>
      </w:r>
      <w:r>
        <w:rPr>
          <w:rFonts w:ascii="Times New Roman" w:hAnsi="Times New Roman"/>
          <w:color w:val="000000"/>
          <w:sz w:val="20"/>
        </w:rPr>
        <w:t xml:space="preserve"> </w:t>
      </w:r>
      <w:r>
        <w:rPr>
          <w:rFonts w:ascii="Times New Roman" w:hAnsi="Times New Roman"/>
          <w:color w:val="000000"/>
          <w:sz w:val="24"/>
        </w:rPr>
        <w:t>is accepted and agreed upon as of _____________________________</w:t>
      </w:r>
    </w:p>
    <w:p>
      <w:pPr>
        <w:pStyle w:val="TextBody"/>
        <w:bidi w:val="0"/>
        <w:spacing w:before="480" w:after="240"/>
        <w:jc w:val="left"/>
        <w:rPr>
          <w:rFonts w:ascii="Times New Roman" w:hAnsi="Times New Roman"/>
          <w:b/>
          <w:color w:val="000000"/>
          <w:sz w:val="24"/>
        </w:rPr>
      </w:pPr>
      <w:r>
        <w:rPr>
          <w:rFonts w:ascii="Times New Roman" w:hAnsi="Times New Roman"/>
          <w:b/>
          <w:color w:val="000000"/>
          <w:sz w:val="24"/>
        </w:rPr>
        <w:t>CONSULTANT RXSIGHT, INC.</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Shelley Thunen </w:t>
      </w:r>
      <w:r>
        <w:rPr>
          <w:rFonts w:ascii="Times New Roman" w:hAnsi="Times New Roman"/>
          <w:color w:val="000000"/>
          <w:sz w:val="24"/>
        </w:rPr>
        <w:t>By: _</w:t>
      </w:r>
      <w:r>
        <w:rPr>
          <w:rFonts w:ascii="Times New Roman" w:hAnsi="Times New Roman"/>
          <w:color w:val="000000"/>
          <w:sz w:val="24"/>
          <w:u w:val="single"/>
        </w:rPr>
        <w:t>/s/ Ron Kurtz</w:t>
      </w:r>
      <w:r>
        <w:rPr>
          <w:rFonts w:ascii="Times New Roman" w:hAnsi="Times New Roman"/>
          <w:color w:val="000000"/>
          <w:sz w:val="24"/>
        </w:rPr>
        <w:t>_____________________________</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Shelley Thunen </w:t>
      </w: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Ron Kurtz </w:t>
      </w:r>
      <w:r>
        <w:rPr>
          <w:rFonts w:ascii="Times New Roman" w:hAnsi="Times New Roman"/>
          <w:color w:val="000000"/>
          <w:sz w:val="24"/>
        </w:rPr>
        <w:t>_____________________________</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CFO </w:t>
      </w:r>
      <w:r>
        <w:rPr>
          <w:rFonts w:ascii="Times New Roman" w:hAnsi="Times New Roman"/>
          <w:color w:val="000000"/>
          <w:sz w:val="24"/>
        </w:rPr>
        <w:t xml:space="preserve">Title: </w:t>
      </w:r>
      <w:r>
        <w:rPr>
          <w:rFonts w:ascii="Times New Roman" w:hAnsi="Times New Roman"/>
          <w:color w:val="000000"/>
          <w:sz w:val="24"/>
          <w:u w:val="single"/>
        </w:rPr>
        <w:t>President &amp; CEO</w:t>
      </w:r>
      <w:r>
        <w:rPr>
          <w:rFonts w:ascii="Times New Roman" w:hAnsi="Times New Roman"/>
          <w:color w:val="000000"/>
          <w:sz w:val="24"/>
        </w:rPr>
        <w:t>_________________________</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1" w:name="rxst-ex21_1.htm"/>
      <w:bookmarkStart w:id="72" w:name="ksrxstex21_1"/>
      <w:bookmarkEnd w:id="71"/>
      <w:bookmarkEnd w:id="72"/>
      <w:r>
        <w:rPr>
          <w:rFonts w:ascii="Times New Roman" w:hAnsi="Times New Roman"/>
          <w:b/>
          <w:color w:val="000000"/>
          <w:sz w:val="20"/>
        </w:rPr>
        <w:t>Exhibit 21.1</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638" w:type="dxa"/>
        <w:jc w:val="left"/>
        <w:tblInd w:w="0" w:type="dxa"/>
        <w:tblLayout w:type="fixed"/>
        <w:tblCellMar>
          <w:top w:w="28" w:type="dxa"/>
          <w:left w:w="28" w:type="dxa"/>
          <w:bottom w:w="28" w:type="dxa"/>
          <w:right w:w="28" w:type="dxa"/>
        </w:tblCellMar>
      </w:tblPr>
      <w:tblGrid>
        <w:gridCol w:w="1711"/>
        <w:gridCol w:w="146"/>
        <w:gridCol w:w="378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63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Subsidiaries of the Registrant</w:t>
            </w:r>
          </w:p>
        </w:tc>
      </w:tr>
      <w:tr>
        <w:trPr/>
        <w:tc>
          <w:tcPr>
            <w:tcW w:w="563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State/Country of Incorporation/Organization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RxSight B.V.</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Netherlands</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RxSight GmbH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Germany</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RxSight Limited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3" w:name="rxst-ex23_1.htm"/>
      <w:bookmarkStart w:id="74" w:name="ksrxstex23_1"/>
      <w:bookmarkEnd w:id="73"/>
      <w:bookmarkEnd w:id="74"/>
      <w:r>
        <w:rPr/>
        <w:t> </w:t>
      </w:r>
      <w:r>
        <w:br w:type="page"/>
      </w:r>
    </w:p>
    <w:p>
      <w:pPr>
        <w:pStyle w:val="TextBody"/>
        <w:bidi w:val="0"/>
        <w:jc w:val="right"/>
        <w:rPr>
          <w:rFonts w:ascii="Times New Roman" w:hAnsi="Times New Roman"/>
          <w:sz w:val="20"/>
        </w:rPr>
      </w:pPr>
      <w:r>
        <w:rPr>
          <w:rFonts w:ascii="Arial" w:hAnsi="Arial"/>
          <w:color w:val="000000"/>
          <w:sz w:val="27"/>
        </w:rPr>
        <w:br/>
      </w:r>
      <w:r>
        <w:rPr>
          <w:rFonts w:ascii="Times New Roman" w:hAnsi="Times New Roman"/>
          <w:b/>
          <w:color w:val="000000"/>
          <w:sz w:val="20"/>
        </w:rPr>
        <w:t>Exhibit 23.1</w:t>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(1) Registration Statement (Form S-8 No. 333-258292) pertaining to the 2021 Equity Incentive Plan, 2021 Employee Stock Purchase Plan, 2015 Equity Incentive Plan and 2006 Stock Plan of RxSight,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 Registration Statement (Form S-8 No. 333-263374) pertaining to the 2021 Equity Incentive Plan and 2021 Employee Stock Purchase Plan of RxSight,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 Registration Statement (Form S-8 No. 333-270301) pertaining to the 2021 Equity Incentive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 Registration Statement (Form S-8 No. 333-277487) pertaining to the 2021 Equity Incentive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 Registration Statement (Form S-8 No. 333-285226) pertaining to the 2021 Equity Incentive Plan,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 Registration Statement (Form S-3 No. 333-279206) of RxSight,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our reports dated February 25, 2026, with respect to the consolidated financial statements of RxSight, Inc. and the effectiveness of internal control over financial reporting of RxSight, Inc. included in this Annual Report (Form 10-K) of RxSight, Inc. for the year ended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rFonts w:ascii="Times New Roman" w:hAnsi="Times New Roman"/>
          <w:color w:val="000000"/>
          <w:sz w:val="20"/>
        </w:rPr>
      </w:pPr>
      <w:r>
        <w:rPr>
          <w:rFonts w:ascii="Times New Roman" w:hAnsi="Times New Roman"/>
          <w:color w:val="000000"/>
          <w:sz w:val="20"/>
        </w:rPr>
        <w:t>Irvine, California</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5" w:name="rxst-ex31_1.htm"/>
      <w:bookmarkStart w:id="76" w:name="ksrxstex31_1"/>
      <w:bookmarkEnd w:id="75"/>
      <w:bookmarkEnd w:id="7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Ron Kurtz,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2025 of RxSight,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2086"/>
        <w:gridCol w:w="146"/>
        <w:gridCol w:w="406"/>
        <w:gridCol w:w="24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7" w:name="rxst-ex31_2.htm"/>
      <w:bookmarkStart w:id="78" w:name="ksrxstex31_2"/>
      <w:bookmarkEnd w:id="77"/>
      <w:bookmarkEnd w:id="7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Wilterding,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2025 of RxSight,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04" w:type="dxa"/>
        <w:jc w:val="left"/>
        <w:tblInd w:w="0" w:type="dxa"/>
        <w:tblLayout w:type="fixed"/>
        <w:tblCellMar>
          <w:top w:w="28" w:type="dxa"/>
          <w:left w:w="28" w:type="dxa"/>
          <w:bottom w:w="28" w:type="dxa"/>
          <w:right w:w="28" w:type="dxa"/>
        </w:tblCellMar>
      </w:tblPr>
      <w:tblGrid>
        <w:gridCol w:w="2086"/>
        <w:gridCol w:w="146"/>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Wilterding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Wilterding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9" w:name="rxst-ex32_1.htm"/>
      <w:bookmarkStart w:id="80" w:name="ksrxstex32_1"/>
      <w:bookmarkEnd w:id="79"/>
      <w:bookmarkEnd w:id="80"/>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RxSight, Inc. (the “Company”) on Form 10-K for the year ended December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2086"/>
        <w:gridCol w:w="146"/>
        <w:gridCol w:w="406"/>
        <w:gridCol w:w="24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81" w:name="rxst-ex32_2.htm"/>
      <w:bookmarkStart w:id="82" w:name="ksrxstex32_2"/>
      <w:bookmarkEnd w:id="81"/>
      <w:bookmarkEnd w:id="8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RxSight, Inc. (the “Company”) on Form 10-K for the year ended December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404" w:type="dxa"/>
        <w:jc w:val="left"/>
        <w:tblInd w:w="0" w:type="dxa"/>
        <w:tblLayout w:type="fixed"/>
        <w:tblCellMar>
          <w:top w:w="28" w:type="dxa"/>
          <w:left w:w="28" w:type="dxa"/>
          <w:bottom w:w="28" w:type="dxa"/>
          <w:right w:w="28" w:type="dxa"/>
        </w:tblCellMar>
      </w:tblPr>
      <w:tblGrid>
        <w:gridCol w:w="2086"/>
        <w:gridCol w:w="146"/>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Wilterding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Mark Wilterding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111485/000095017023039081/rxst-ex3_1.htm" TargetMode="External"/><Relationship Id="rId9" Type="http://schemas.openxmlformats.org/officeDocument/2006/relationships/hyperlink" Target="https://www.sec.gov/Archives/edgar/data/1111485/000095017022026362/rxst-ex3_1.htm" TargetMode="External"/><Relationship Id="rId10" Type="http://schemas.openxmlformats.org/officeDocument/2006/relationships/hyperlink" Target="https://www.sec.gov/Archives/edgar/data/0001111485/000119312521223690/d237930dex42.htm" TargetMode="External"/><Relationship Id="rId11" Type="http://schemas.openxmlformats.org/officeDocument/2006/relationships/hyperlink" Target="https://www.sec.gov/Archives/edgar/data/1111485/000095017025026681/rxst-ex4_2.htm" TargetMode="External"/><Relationship Id="rId12" Type="http://schemas.openxmlformats.org/officeDocument/2006/relationships/hyperlink" Target="https://www.sec.gov/Archives/edgar/data/0001111485/000119312521211793/d237930dex101.htm" TargetMode="External"/><Relationship Id="rId13" Type="http://schemas.openxmlformats.org/officeDocument/2006/relationships/hyperlink" Target="https://www.sec.gov/Archives/edgar/data/0001111485/000119312521223690/d237930dex102.htm" TargetMode="External"/><Relationship Id="rId14" Type="http://schemas.openxmlformats.org/officeDocument/2006/relationships/hyperlink" Target="https://www.sec.gov/Archives/edgar/data/1111485/000095017025026681/rxst-ex10_3.htm" TargetMode="External"/><Relationship Id="rId15" Type="http://schemas.openxmlformats.org/officeDocument/2006/relationships/hyperlink" Target="https://www.sec.gov/Archives/edgar/data/1111485/000095017021004155/rxst-ex10_3.htm" TargetMode="External"/><Relationship Id="rId16" Type="http://schemas.openxmlformats.org/officeDocument/2006/relationships/hyperlink" Target="https://www.sec.gov/Archives/edgar/data/0001111485/000119312521211793/d237930dex106.htm" TargetMode="External"/><Relationship Id="rId17" Type="http://schemas.openxmlformats.org/officeDocument/2006/relationships/hyperlink" Target="https://www.sec.gov/Archives/edgar/data/0001111485/000119312521211793/d237930dex108.htm" TargetMode="External"/><Relationship Id="rId18" Type="http://schemas.openxmlformats.org/officeDocument/2006/relationships/hyperlink" Target="https://www.sec.gov/Archives/edgar/data/0001111485/000119312521211793/d237930dex109.htm" TargetMode="External"/><Relationship Id="rId19" Type="http://schemas.openxmlformats.org/officeDocument/2006/relationships/hyperlink" Target="https://www.sec.gov/Archives/edgar/data/1111485/000119312521211793/d237930dex1010.htm" TargetMode="External"/><Relationship Id="rId20" Type="http://schemas.openxmlformats.org/officeDocument/2006/relationships/hyperlink" Target="https://www.sec.gov/Archives/edgar/data/1111485/000095017024090770/rxst-ex10_1.htm" TargetMode="External"/><Relationship Id="rId21" Type="http://schemas.openxmlformats.org/officeDocument/2006/relationships/hyperlink" Target="https://www.sec.gov/Archives/edgar/data/0001111485/000119312521211793/d237930dex1011.htm" TargetMode="External"/><Relationship Id="rId22" Type="http://schemas.openxmlformats.org/officeDocument/2006/relationships/hyperlink" Target="https://www.sec.gov/Archives/edgar/data/1111485/000095017024090770/rxst-ex10_4.htm" TargetMode="External"/><Relationship Id="rId23" Type="http://schemas.openxmlformats.org/officeDocument/2006/relationships/hyperlink" Target="https://www.sec.gov/Archives/edgar/data/1111485/000095017024090770/rxst-ex10_5.htm" TargetMode="External"/><Relationship Id="rId24" Type="http://schemas.openxmlformats.org/officeDocument/2006/relationships/hyperlink" Target="https://www.sec.gov/Archives/edgar/data/1111485/000095017025026681/rxst-ex10_13.htm" TargetMode="External"/><Relationship Id="rId25" Type="http://schemas.openxmlformats.org/officeDocument/2006/relationships/hyperlink" Target="https://www.sec.gov/Archives/edgar/data/0001111485/000119312521211793/d237930dex1012.htm" TargetMode="External"/><Relationship Id="rId26" Type="http://schemas.openxmlformats.org/officeDocument/2006/relationships/hyperlink" Target="https://www.sec.gov/Archives/edgar/data/0001111485/000119312521211793/d237930dex1013.htm" TargetMode="External"/><Relationship Id="rId27" Type="http://schemas.openxmlformats.org/officeDocument/2006/relationships/hyperlink" Target="https://www.sec.gov/Archives/edgar/data/1111485/000095017022007878/rxst-ex10_2.htm" TargetMode="External"/><Relationship Id="rId28" Type="http://schemas.openxmlformats.org/officeDocument/2006/relationships/hyperlink" Target="https://www.sec.gov/Archives/edgar/data/1111485/000095017024090770/rxst-ex10_2.htm" TargetMode="External"/><Relationship Id="rId29" Type="http://schemas.openxmlformats.org/officeDocument/2006/relationships/hyperlink" Target="https://www.sec.gov/Archives/edgar/data/1111485/000095017024090770/rxst-ex10_3.htm" TargetMode="External"/><Relationship Id="rId30" Type="http://schemas.openxmlformats.org/officeDocument/2006/relationships/hyperlink" Target="https://www.sec.gov/Archives/edgar/data/1111485/000095017024090770/rxst-ex10_3.htm" TargetMode="External"/><Relationship Id="rId31" Type="http://schemas.openxmlformats.org/officeDocument/2006/relationships/hyperlink" Target="https://www.sec.gov/Archives/edgar/data/1111485/000095017024090770/rxst-ex10_3.htm" TargetMode="External"/><Relationship Id="rId32" Type="http://schemas.openxmlformats.org/officeDocument/2006/relationships/hyperlink" Target="https://www.sec.gov/Archives/edgar/data/0001111485/000119312521211793/d237930dex1014.htm" TargetMode="External"/><Relationship Id="rId33" Type="http://schemas.openxmlformats.org/officeDocument/2006/relationships/hyperlink" Target="https://www.sec.gov/Archives/edgar/data/0001111485/000119312521211793/d237930dex1015.htm" TargetMode="External"/><Relationship Id="rId34" Type="http://schemas.openxmlformats.org/officeDocument/2006/relationships/hyperlink" Target="https://www.sec.gov/Archives/edgar/data/0001111485/000119312521211793/d237930dex1016.htm" TargetMode="External"/><Relationship Id="rId35" Type="http://schemas.openxmlformats.org/officeDocument/2006/relationships/hyperlink" Target="https://www.sec.gov/Archives/edgar/data/0001111485/000119312521211793/d237930dex1017.htm" TargetMode="External"/><Relationship Id="rId36" Type="http://schemas.openxmlformats.org/officeDocument/2006/relationships/hyperlink" Target="https://www.sec.gov/Archives/edgar/data/0001111485/000119312521211793/d237930dex1018.htm" TargetMode="External"/><Relationship Id="rId37" Type="http://schemas.openxmlformats.org/officeDocument/2006/relationships/hyperlink" Target="https://www.sec.gov/Archives/edgar/data/0001111485/000119312521211793/d237930dex1019.htm" TargetMode="External"/><Relationship Id="rId38" Type="http://schemas.openxmlformats.org/officeDocument/2006/relationships/hyperlink" Target="https://www.sec.gov/Archives/edgar/data/0001111485/000119312521211793/d237930dex1020.htm" TargetMode="External"/><Relationship Id="rId39" Type="http://schemas.openxmlformats.org/officeDocument/2006/relationships/hyperlink" Target="https://www.sec.gov/Archives/edgar/data/0001111485/000119312521211793/d237930dex1021.htm" TargetMode="External"/><Relationship Id="rId40" Type="http://schemas.openxmlformats.org/officeDocument/2006/relationships/hyperlink" Target="https://www.sec.gov/Archives/edgar/data/1111485/000119312522214924/d383901dex12.htm" TargetMode="External"/><Relationship Id="rId41" Type="http://schemas.openxmlformats.org/officeDocument/2006/relationships/hyperlink" Target="https://www.sec.gov/Archives/edgar/data/1111485/000119312522214924/d383901dex12.htm" TargetMode="External"/><Relationship Id="rId42" Type="http://schemas.openxmlformats.org/officeDocument/2006/relationships/hyperlink" Target="https://www.sec.gov/Archives/edgar/data/1111485/000119312522214924/d383901dex12.htm" TargetMode="External"/><Relationship Id="rId43" Type="http://schemas.openxmlformats.org/officeDocument/2006/relationships/hyperlink" Target="https://www.sec.gov/Archives/edgar/data/1111485/000095017023006237/rxst-ex10_35.htm" TargetMode="External"/><Relationship Id="rId44" Type="http://schemas.openxmlformats.org/officeDocument/2006/relationships/hyperlink" Target="https://www.sec.gov/Archives/edgar/data/1111485/000095017025026681/rxst-ex10_33.htm" TargetMode="External"/><Relationship Id="rId45" Type="http://schemas.openxmlformats.org/officeDocument/2006/relationships/hyperlink" Target="https://www.sec.gov/Archives/edgar/data/1111485/000095017025026681/rxst-ex19_1.htm" TargetMode="External"/><Relationship Id="rId46" Type="http://schemas.openxmlformats.org/officeDocument/2006/relationships/hyperlink" Target="https://www.sec.gov/Archives/edgar/data/1111485/000095017022003135/rxst-ex21_1.htm" TargetMode="External"/><Relationship Id="rId47" Type="http://schemas.openxmlformats.org/officeDocument/2006/relationships/hyperlink" Target="https://www.sec.gov/Archives/edgar/data/1111485/000095017024022073/rxst-ex97_1.htm" TargetMode="External"/><Relationship Id="rId48" Type="http://schemas.openxmlformats.org/officeDocument/2006/relationships/image" Target="media/image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119526</Words>
  <Characters>661230</Characters>
  <CharactersWithSpaces>780648</CharactersWithSpaces>
  <Paragraphs>9362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