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xst-20260630.htm"/>
      <w:bookmarkStart w:id="1" w:name="ksrxst202606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RxSight,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94-3268801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Columbia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Aliso Viejo,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(949)</w:t>
            </w:r>
            <w:r>
              <w:rPr>
                <w:rFonts w:ascii="Times New Roman" w:hAnsi="Times New Roman"/>
                <w:color w:val="000000"/>
                <w:sz w:val="20"/>
              </w:rPr>
              <w:t xml:space="preserve"> </w:t>
            </w:r>
            <w:r>
              <w:rPr>
                <w:rFonts w:ascii="Times New Roman" w:hAnsi="Times New Roman"/>
                <w:b/>
                <w:color w:val="000000"/>
                <w:sz w:val="20"/>
              </w:rPr>
              <w:t>521-7830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RXST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30, 2026 (the “Effective Date”), we entered into a License, Collaboration and Development Agreement (the “RxSight-Alcon Collaboration Agreement”) with Alcon Pharmaceuticals, Ltd (“Alcon”), pursuant to which we will collaborate with Alcon to develop and commercialize light-adjustable versions of certain Alcon simultaneous vision intraocular lenses (“SVIOLs”) by incorporating RxSight Light Adjustable Technology (the “Collaboration Products”). We granted Alcon a non-exclusive, worldwide, royalty-bearing license under our patents, know-how and trademarks that relate to the LAL technology or are otherwise necessary or reasonably useful to exploit the Collaboration Products for Alcon to commercialize the Collaboration Product: and, if applicable, to develop and manufacture the Collaboration Products. Alcon granted us a non-exclusive, worldwide, fully paid-up, royalty-free license under patents and know-how controlled by Alcon that relate to Alcon’s existing SVIOLs or are otherwise necessary or reasonably useful to develop and manufacture the Collaboration Products, for us to develop and manufacture, and upon the occurrence of certain triggering events, to conduct co-promotion activities for, the Collaboration Products. During the development phase of the Collaboration Products, we are obligated to prioritize collaboration and development contemplated by the RxSight-Alcon Collaboration Agreement and restricted from developing, manufacturing or commercializing certain defined types of hybrid material SVIOLs that may compete with the Collaboration Products. After such phase, if we decide, at our discretion, to develop or manufacture certain defined types of hybrid material SVIOLs that may compete with the Collaboration Products, we will be subject to an adjustment to certain amounts paid, and that may become paid, by Alcon to us in the form of reduction in royalty payments by 60% or more, suspension of Alcon’s minimum royalty obligations upon commercialization of such SVIOLs, and, under certain circumstances, a reimbursement of a portion of the upfront and milestone payments of between low double digit to high double digit percentages depending on the timing of our commercial release of such SVIOLs.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parties will use commercially reasonable efforts to develop Collaboration Products in accordance with a development plan for each Collaboration Product. We will seek regulatory approval in the U.S. and will retain ownership of such approvals if obtained. Upon regulatory approval of each Collaboration Product and payment by Alcon of the Approval Milestone Payment (defined below), Alcon will use commercially reasonable efforts to launch such Collaboration Product in the U.S. within one year and will be responsible for commercialization except for our right to co-promote upon the occurrence of certain triggering events. We will manufacture and exclusively supply the Collaboration Products to Alcon pursuant to the terms of a supply and manufacturing agreement entered into concurrently with the RxSight-Alcon Collaboration Agreement. We will be responsible for installing and servicing Light Delivery Device (“LDD”) in the U.S. in support of the Collaboration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RxSight-Alcon Collaboration Agreement, Alcon will pay us a $60 million upfront cash payment. Upon the completion of feasibility activities and achievement of specified technical criteria for the first Collaboration Product, Alcon has the right, at its option, to make a one-time $70 million milestone payment (the “Feasibility Milestone Payment”) to continue the RxSight-Alcon Collaboration Agreement. If the RxSight-Alcon Collaboration Agreement continues, we will be obligated to conduct further development and regulatory activities to obtain regulatory approval of the first Collaboration Product in the US, and Alcon is obligated to make a milestone payment of $30 million upon first submission to FDA for regulatory approval of the first Collaboration Product. Upon regulatory approval of the first Collaboration Product, Alcon has the right, at its option, to make an additional one-time $40 million milestone payment (the “Approval Milestone Payment”) to continue the RxSight-Alcon Collaboration Agreement. In addition, on a Collaboration Product-by-Collaboration Product and country-by-country basis, Alcon will pay us royalties of 30% on net sales of all Collaboration Products, subject to certain pre-payment provisions, minimum royalty payments, and customary royalty adjustments. Alcon’s obligation to pay royalties will continue until the termination or expiration of the RxSight-Alcon Collaboration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RxSight-Alcon Collaboration Agreement can be terminated by mutual agreement of the parties; provided that during the first year of the term, under certain circumstances, if a party proposes such mutual termination and do not resolve the terms of termination within specified periods, they will agree, subject to certain exceptions, to mutually terminate the RxSight-Alcon Collaboration Agreement; provided further that if such mutual termination occurs during the first 120 days following the effective date, we will forfeit a majority or all of the upfront payment. Unless terminated earlier, the RxSight-Alcon Collaboration Agreement will continue until the tenth anniversary of regulatory approval for the first Collaboration Product, subject to automatic renewal for additional five-year renewal terms unless (a) Alcon elects to not renew for any reason or (b) we elect not to renew because of Alcon’s failure to meet certain sales volumes during a specified preceding period. The RxSight-Alcon Collaboration Agreement will terminate if Alcon elects to not pay the Feasibility Milestone Payment or the Approval Milestone Payment, but in either case, under certain conditions, we are entitled to certain reversionary rights with respect to the Collaboration Products. Either party may terminate the RxSight-Alcon Collaboration Agreement for material safety reasons, the other party’s insolvency or violation of applicable law, or material breach that remains uncured after a notice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RxSight-Alcon Collaboration Agreement contains customary representations, warranties, covenants, and terms governing the prosecution and enforcement of intellectual property.</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foregoing description of the terms of the RxSight-Alcon Collaboration Agreement is not complete and is qualified in its entirety by reference to the full text of the RxSight-Alcon Collaboration Agreement, a copy of which we intend to file as an exhibit to a subsequent periodic report.</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Item 7.01 Regulation FD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6, 2026, RxSight issued a press release announcing the RxSight-Alcon Collaboration Agreement. A copy of the press release is attached hereto as Exhibit 99.1 and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7.01 and Item 9.01 (including Exhibit 99.1) shall not be deemed to be “filed” for purposes of Section 18 of the Securities Exchange Act of 1934, as amended (the “Exchange Act”), or otherwise subject to the liabilities of that section, nor shall it be deemed incorporated by reference into any filing under the Securities Act or the Exchange Act, except as shall be expressly set forth by specific reference in such a filing.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and Section 21E of the Exchange Act. All statements in this report that are not purely historical are forward-looking statements, including, without limitation, statements regarding: potential payments that may be received by us in connection with the collaboration, including potential milestone payments and royalties; and RxSight’s and Alcon’s respective rights and obligations under the RxSight-Alcon Collaboration Agreement. The forward-looking statements contained herein are based upon our current expectations and involve assumptions that may never materialize or may prove to be incorrect. These forward-looking statements are neither promises nor guarantees and are subject to a variety of risks and uncertainties, including, without limitation, uncertainty as to whether the anticipated benefits and opportunities of the proposed collaboration may be realized or make take longer to realize or may cost more than expected; risks of unexpected hurdles, costs or delays; challenges in technology transfer and manufacturing; challenges inherent in new product candidate development, including obtaining regulatory approvals; challenges associated with collaborating with third parties, including intellectual property, operational, financial and other risks; uncertainty of commercial success for new products; the ability of RxSight and Alcon to successfully execute their respective strategic plans; and other risks that may be found in the section entitled Part II, Item 1A (Risk Factors) in the Quarterly Report on Form 10-Q for the period ended March 31, 2026, filed with the Securities and Exchange Commission (SEC) on May 6, 2026, and other documents that RxSight files from time to time with the SEC. These forward-looking statements are made as of the date of this report, and RxSight assumes no obligation to update or revise any forward-looking statements, whether as a result of new information, future events or otherwise, except as required by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 is provided as part of this report:</w:t>
      </w:r>
    </w:p>
    <w:p>
      <w:pPr>
        <w:pStyle w:val="TextBody"/>
        <w:bidi w:val="0"/>
        <w:jc w:val="left"/>
        <w:rPr/>
      </w:pPr>
      <w:r>
        <w:rPr/>
        <w:t> </w:t>
      </w:r>
    </w:p>
    <w:tbl>
      <w:tblPr>
        <w:tblW w:w="8248" w:type="dxa"/>
        <w:jc w:val="left"/>
        <w:tblInd w:w="0" w:type="dxa"/>
        <w:tblLayout w:type="fixed"/>
        <w:tblCellMar>
          <w:top w:w="28" w:type="dxa"/>
          <w:left w:w="28" w:type="dxa"/>
          <w:bottom w:w="28" w:type="dxa"/>
          <w:right w:w="28" w:type="dxa"/>
        </w:tblCellMar>
      </w:tblPr>
      <w:tblGrid>
        <w:gridCol w:w="1456"/>
        <w:gridCol w:w="146"/>
        <w:gridCol w:w="664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rxst-ex99_1.htm">
              <w:r>
                <w:rPr>
                  <w:rStyle w:val="InternetLink"/>
                  <w:rFonts w:ascii="Times New Roman" w:hAnsi="Times New Roman"/>
                  <w:color w:val="0000FF"/>
                  <w:sz w:val="20"/>
                  <w:u w:val="single"/>
                </w:rPr>
                <w:t>Press release dated July 6, 2026.</w:t>
              </w:r>
            </w:hyperlink>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69" w:type="dxa"/>
        <w:jc w:val="left"/>
        <w:tblInd w:w="0" w:type="dxa"/>
        <w:tblLayout w:type="fixed"/>
        <w:tblCellMar>
          <w:top w:w="28" w:type="dxa"/>
          <w:left w:w="28" w:type="dxa"/>
          <w:bottom w:w="28" w:type="dxa"/>
          <w:right w:w="28" w:type="dxa"/>
        </w:tblCellMar>
      </w:tblPr>
      <w:tblGrid>
        <w:gridCol w:w="556"/>
        <w:gridCol w:w="1111"/>
        <w:gridCol w:w="451"/>
        <w:gridCol w:w="255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RxSight,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Wilterding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Mark Wilterding</w:t>
              <w:br/>
              <w:t xml:space="preserve">Title: Chief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xst-ex99_1.htm"/>
      <w:bookmarkStart w:id="3" w:name="ksrxstex99_1"/>
      <w:bookmarkEnd w:id="2"/>
      <w:bookmarkEnd w:id="3"/>
      <w:r>
        <w:rPr/>
        <w:drawing>
          <wp:inline distT="0" distB="0" distL="0" distR="0">
            <wp:extent cx="183832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790575"/>
                    </a:xfrm>
                    <a:prstGeom prst="rect">
                      <a:avLst/>
                    </a:prstGeom>
                  </pic:spPr>
                </pic:pic>
              </a:graphicData>
            </a:graphic>
          </wp:inline>
        </w:drawing>
      </w:r>
      <w:r>
        <w:br w:type="page"/>
      </w:r>
    </w:p>
    <w:p>
      <w:pPr>
        <w:pStyle w:val="TextBody"/>
        <w:bidi w:val="0"/>
        <w:spacing w:before="0" w:after="160"/>
        <w:jc w:val="right"/>
        <w:rPr>
          <w:rFonts w:ascii="Montserrat;Montserrat Medium;sans-serif" w:hAnsi="Montserrat;Montserrat Medium;sans-serif"/>
          <w:b/>
          <w:color w:val="000000"/>
          <w:sz w:val="22"/>
        </w:rPr>
      </w:pPr>
      <w:r>
        <w:rPr>
          <w:rFonts w:ascii="Montserrat;Montserrat Medium;sans-serif" w:hAnsi="Montserrat;Montserrat Medium;sans-serif"/>
          <w:b/>
          <w:color w:val="000000"/>
          <w:sz w:val="22"/>
        </w:rPr>
        <w:t>Exhibit 99.1</w:t>
      </w:r>
    </w:p>
    <w:p>
      <w:pPr>
        <w:pStyle w:val="TextBody"/>
        <w:bidi w:val="0"/>
        <w:spacing w:before="0" w:after="160"/>
        <w:jc w:val="left"/>
        <w:rPr>
          <w:rFonts w:ascii="Montserrat;Montserrat Medium;sans-serif" w:hAnsi="Montserrat;Montserrat Medium;sans-serif"/>
          <w:b/>
          <w:color w:val="77206D"/>
          <w:sz w:val="34"/>
        </w:rPr>
      </w:pPr>
      <w:r>
        <w:rPr>
          <w:rFonts w:ascii="Montserrat;Montserrat Medium;sans-serif" w:hAnsi="Montserrat;Montserrat Medium;sans-serif"/>
          <w:b/>
          <w:color w:val="77206D"/>
          <w:sz w:val="34"/>
        </w:rPr>
        <w:t>Alcon and RxSight Announce Collaboration to Develop Adjustable PCIOLs</w:t>
      </w:r>
    </w:p>
    <w:p>
      <w:pPr>
        <w:pStyle w:val="TextBody"/>
        <w:bidi w:val="0"/>
        <w:spacing w:before="0" w:after="160"/>
        <w:jc w:val="left"/>
        <w:rPr>
          <w:color w:val="000000"/>
        </w:rPr>
      </w:pPr>
      <w:r>
        <w:rPr>
          <w:color w:val="000000"/>
        </w:rPr>
        <w:t>•</w:t>
      </w:r>
    </w:p>
    <w:p>
      <w:pPr>
        <w:pStyle w:val="TextBody"/>
        <w:bidi w:val="0"/>
        <w:spacing w:before="0" w:after="160"/>
        <w:jc w:val="left"/>
        <w:rPr>
          <w:rFonts w:ascii="Montserrat;Montserrat Medium;sans-serif" w:hAnsi="Montserrat;Montserrat Medium;sans-serif"/>
          <w:b/>
          <w:color w:val="000000"/>
          <w:sz w:val="24"/>
        </w:rPr>
      </w:pPr>
      <w:r>
        <w:rPr>
          <w:rFonts w:ascii="Montserrat;Montserrat Medium;sans-serif" w:hAnsi="Montserrat;Montserrat Medium;sans-serif"/>
          <w:b/>
          <w:color w:val="000000"/>
          <w:sz w:val="24"/>
        </w:rPr>
        <w:t>Non-exclusive license agreement for the development and commercialization of novel post-operative light adjustable PCIOL technologies</w:t>
      </w:r>
    </w:p>
    <w:p>
      <w:pPr>
        <w:pStyle w:val="TextBody"/>
        <w:bidi w:val="0"/>
        <w:spacing w:before="80" w:after="160"/>
        <w:jc w:val="left"/>
        <w:rPr>
          <w:color w:val="000000"/>
        </w:rPr>
      </w:pPr>
      <w:r>
        <w:rPr>
          <w:color w:val="000000"/>
        </w:rPr>
        <w:t>•</w:t>
      </w:r>
    </w:p>
    <w:p>
      <w:pPr>
        <w:pStyle w:val="TextBody"/>
        <w:bidi w:val="0"/>
        <w:spacing w:before="80" w:after="160"/>
        <w:jc w:val="left"/>
        <w:rPr>
          <w:rFonts w:ascii="Montserrat;Montserrat Medium;sans-serif" w:hAnsi="Montserrat;Montserrat Medium;sans-serif"/>
          <w:b/>
          <w:color w:val="000000"/>
          <w:sz w:val="24"/>
        </w:rPr>
      </w:pPr>
      <w:r>
        <w:rPr>
          <w:rFonts w:ascii="Montserrat;Montserrat Medium;sans-serif" w:hAnsi="Montserrat;Montserrat Medium;sans-serif"/>
          <w:b/>
          <w:color w:val="000000"/>
          <w:sz w:val="24"/>
        </w:rPr>
        <w:t>Collaboration aims to combine best-in-class PCIOL optics with first-in-class platform to enable fine-tuning of visual outcomes after cataract surgery</w:t>
      </w:r>
    </w:p>
    <w:p>
      <w:pPr>
        <w:pStyle w:val="TextBody"/>
        <w:bidi w:val="0"/>
        <w:spacing w:before="80" w:after="283"/>
        <w:jc w:val="left"/>
        <w:rPr>
          <w:rFonts w:ascii="Times New Roman" w:hAnsi="Times New Roman"/>
          <w:sz w:val="20"/>
        </w:rPr>
      </w:pPr>
      <w:r>
        <w:rPr>
          <w:rFonts w:ascii="Montserrat;Montserrat Medium;sans-serif" w:hAnsi="Montserrat;Montserrat Medium;sans-serif"/>
          <w:b/>
          <w:color w:val="77206D"/>
          <w:sz w:val="21"/>
        </w:rPr>
        <w:t>Aliso Viejo, CA, July 6</w:t>
      </w:r>
      <w:r>
        <w:rPr>
          <w:rFonts w:ascii="Montserrat;Montserrat Medium;sans-serif" w:hAnsi="Montserrat;Montserrat Medium;sans-serif"/>
          <w:b/>
          <w:color w:val="77206D"/>
          <w:sz w:val="14"/>
        </w:rPr>
        <w:t>th</w:t>
      </w:r>
      <w:r>
        <w:rPr>
          <w:rFonts w:ascii="Montserrat;Montserrat Medium;sans-serif" w:hAnsi="Montserrat;Montserrat Medium;sans-serif"/>
          <w:b/>
          <w:color w:val="77206D"/>
          <w:sz w:val="21"/>
        </w:rPr>
        <w:t xml:space="preserve">, 2026 </w:t>
      </w:r>
      <w:r>
        <w:rPr>
          <w:rFonts w:ascii="Times New Roman" w:hAnsi="Times New Roman"/>
          <w:color w:val="000000"/>
          <w:sz w:val="20"/>
        </w:rPr>
        <w:t xml:space="preserve">– </w:t>
      </w:r>
      <w:r>
        <w:rPr>
          <w:rFonts w:ascii="Montserrat;Montserrat Medium;sans-serif" w:hAnsi="Montserrat;Montserrat Medium;sans-serif"/>
          <w:b/>
          <w:color w:val="000000"/>
          <w:sz w:val="21"/>
        </w:rPr>
        <w:t>Alcon (SIX/NYSE: ALC), the global leader in eye care dedicated to helping people see brilliantly, and RxSight, Inc. (NASDAQ: RXST), an ophthalmic medical device company dedicated to providing high-quality customized vision to patients following cataract surgery, today announced a non-exclusive collaboration to jointly develop adjustable presbyopia-correcting intraocular lenses (PCIOLs).</w:t>
      </w:r>
    </w:p>
    <w:p>
      <w:pPr>
        <w:pStyle w:val="TextBody"/>
        <w:bidi w:val="0"/>
        <w:jc w:val="left"/>
        <w:rPr/>
      </w:pPr>
      <w:r>
        <w:rPr/>
        <w:t> </w:t>
      </w:r>
    </w:p>
    <w:p>
      <w:pPr>
        <w:pStyle w:val="TextBody"/>
        <w:bidi w:val="0"/>
        <w:jc w:val="left"/>
        <w:rPr>
          <w:rFonts w:ascii="Montserrat;Montserrat Medium;sans-serif" w:hAnsi="Montserrat;Montserrat Medium;sans-serif"/>
          <w:b/>
          <w:color w:val="000000"/>
          <w:sz w:val="21"/>
        </w:rPr>
      </w:pPr>
      <w:r>
        <w:rPr>
          <w:rFonts w:ascii="Montserrat;Montserrat Medium;sans-serif" w:hAnsi="Montserrat;Montserrat Medium;sans-serif"/>
          <w:b/>
          <w:color w:val="000000"/>
          <w:sz w:val="21"/>
        </w:rPr>
        <w:t>Under the collaboration, the companies will be innovating on their respective platforms – RxSight's post-operative light-adjustable technology and Alcon's PCIOL optical designs – and combining them to create a co-developed technology that enables surgeons to fine-tune visual outcomes for their cataract patients who choose a PCIOL.</w:t>
      </w:r>
    </w:p>
    <w:p>
      <w:pPr>
        <w:pStyle w:val="TextBody"/>
        <w:bidi w:val="0"/>
        <w:jc w:val="left"/>
        <w:rPr/>
      </w:pPr>
      <w:r>
        <w:rPr/>
        <w:t> </w:t>
      </w:r>
    </w:p>
    <w:p>
      <w:pPr>
        <w:pStyle w:val="TextBody"/>
        <w:bidi w:val="0"/>
        <w:jc w:val="left"/>
        <w:rPr/>
      </w:pPr>
      <w:r>
        <w:rPr>
          <w:color w:val="000000"/>
        </w:rPr>
        <w:t>“</w:t>
      </w:r>
      <w:r>
        <w:rPr>
          <w:rFonts w:ascii="Montserrat;Montserrat Medium;sans-serif" w:hAnsi="Montserrat;Montserrat Medium;sans-serif"/>
          <w:b/>
          <w:color w:val="000000"/>
          <w:sz w:val="21"/>
        </w:rPr>
        <w:t>Our leading PCIOLs have helped millions of patients reduce or eliminate the need for glasses after cataract surgery,” said David J. Endicott, Chief Executive Officer of Alcon. “Together with RxSight’s technology, we have the opportunity to develop tunable PCIOLs, giving surgeons even greater confidence to refine outcomes after surgery.”</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Montserrat;Montserrat Medium;sans-serif" w:hAnsi="Montserrat;Montserrat Medium;sans-serif"/>
          <w:b/>
          <w:color w:val="000000"/>
          <w:sz w:val="21"/>
        </w:rPr>
        <w:t>We are excited to work with Alcon to provide patients greater access to outcomes customized to their needs after surgery,” said Ron Kurtz, President and Chief Executive Officer of RxSight. “This collaboration underscores our belief in the importance of adjustability and will help accelerate its expansion across a wider base of patients.”</w:t>
      </w:r>
    </w:p>
    <w:p>
      <w:pPr>
        <w:pStyle w:val="TextBody"/>
        <w:bidi w:val="0"/>
        <w:jc w:val="left"/>
        <w:rPr/>
      </w:pPr>
      <w:r>
        <w:rPr/>
        <w:t> </w:t>
      </w:r>
    </w:p>
    <w:p>
      <w:pPr>
        <w:pStyle w:val="TextBody"/>
        <w:bidi w:val="0"/>
        <w:jc w:val="left"/>
        <w:rPr>
          <w:rFonts w:ascii="Montserrat;Montserrat Medium;sans-serif" w:hAnsi="Montserrat;Montserrat Medium;sans-serif"/>
          <w:b/>
          <w:color w:val="000000"/>
          <w:sz w:val="21"/>
        </w:rPr>
      </w:pPr>
      <w:r>
        <w:rPr>
          <w:rFonts w:ascii="Montserrat;Montserrat Medium;sans-serif" w:hAnsi="Montserrat;Montserrat Medium;sans-serif"/>
          <w:b/>
          <w:color w:val="000000"/>
          <w:sz w:val="21"/>
        </w:rPr>
        <w:t>As part of the agreement, RxSight will receive a $60 million upfront payment to begin development. RxSight could receive up to an additional $140 million in payments as development and regulatory milestones are met. Under the agreement, Alcon will lead global commercialization, while RxSight will be responsible for development and manufacturing and receive royalties on net sales.</w:t>
      </w:r>
    </w:p>
    <w:p>
      <w:pPr>
        <w:pStyle w:val="TextBody"/>
        <w:bidi w:val="0"/>
        <w:jc w:val="left"/>
        <w:rPr/>
      </w:pPr>
      <w:r>
        <w:rPr/>
        <w:t> </w:t>
      </w:r>
    </w:p>
    <w:p>
      <w:pPr>
        <w:pStyle w:val="TextBody"/>
        <w:bidi w:val="0"/>
        <w:jc w:val="left"/>
        <w:rPr>
          <w:rFonts w:ascii="Montserrat;Montserrat Medium;sans-serif" w:hAnsi="Montserrat;Montserrat Medium;sans-serif"/>
          <w:b/>
          <w:color w:val="77206D"/>
          <w:sz w:val="21"/>
          <w:u w:val="single"/>
        </w:rPr>
      </w:pPr>
      <w:r>
        <w:rPr>
          <w:rFonts w:ascii="Montserrat;Montserrat Medium;sans-serif" w:hAnsi="Montserrat;Montserrat Medium;sans-serif"/>
          <w:b/>
          <w:color w:val="77206D"/>
          <w:sz w:val="21"/>
          <w:u w:val="single"/>
        </w:rPr>
        <w:t>About Alcon</w:t>
      </w:r>
    </w:p>
    <w:p>
      <w:pPr>
        <w:pStyle w:val="TextBody"/>
        <w:bidi w:val="0"/>
        <w:jc w:val="left"/>
        <w:rPr>
          <w:rFonts w:ascii="Times New Roman" w:hAnsi="Times New Roman"/>
          <w:sz w:val="20"/>
        </w:rPr>
      </w:pPr>
      <w:r>
        <w:rPr>
          <w:rFonts w:ascii="Montserrat;Montserrat Medium;sans-serif" w:hAnsi="Montserrat;Montserrat Medium;sans-serif"/>
          <w:b/>
          <w:color w:val="000000"/>
          <w:sz w:val="21"/>
        </w:rPr>
        <w:t xml:space="preserve">Alcon helps people see brilliantly. As the global leader in eye care with a heritage spanning over 75 years, we offer the broadest portfolio of products to enhance sight and improve people’s lives. Our Surgical and Vision Care products touch the lives of more than 260 million people in over 140 countries and territories each year living with conditions like cataracts, glaucoma, retinal diseases and refractive errors. Our more than 25,000 associates are enhancing the quality of life through innovative products, partnerships with Eye Care Professionals and programs that advance access to quality eye care. Learn more at </w:t>
      </w:r>
      <w:r>
        <w:rPr>
          <w:rFonts w:ascii="Montserrat;Montserrat Medium;sans-serif" w:hAnsi="Montserrat;Montserrat Medium;sans-serif"/>
          <w:b/>
          <w:color w:val="467886"/>
          <w:sz w:val="21"/>
          <w:u w:val="single"/>
        </w:rPr>
        <w:t>www.alcon.com</w:t>
      </w:r>
      <w:r>
        <w:rPr>
          <w:rFonts w:ascii="Montserrat;Montserrat Medium;sans-serif" w:hAnsi="Montserrat;Montserrat Medium;sans-serif"/>
          <w:b/>
          <w:color w:val="000000"/>
          <w:sz w:val="21"/>
        </w:rPr>
        <w:t>.</w:t>
      </w:r>
    </w:p>
    <w:p>
      <w:pPr>
        <w:pStyle w:val="TextBody"/>
        <w:bidi w:val="0"/>
        <w:jc w:val="center"/>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RxSight, Inc. | 100 Columbia, Aliso Viejo, CA 92656 | rxsight.com</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838325"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8325" cy="790575"/>
                    </a:xfrm>
                    <a:prstGeom prst="rect">
                      <a:avLst/>
                    </a:prstGeom>
                  </pic:spPr>
                </pic:pic>
              </a:graphicData>
            </a:graphic>
          </wp:inline>
        </w:drawing>
      </w:r>
    </w:p>
    <w:p>
      <w:pPr>
        <w:pStyle w:val="TextBody"/>
        <w:bidi w:val="0"/>
        <w:jc w:val="left"/>
        <w:rPr/>
      </w:pPr>
      <w:r>
        <w:rPr/>
        <w:t> </w:t>
      </w:r>
    </w:p>
    <w:p>
      <w:pPr>
        <w:pStyle w:val="TextBody"/>
        <w:bidi w:val="0"/>
        <w:jc w:val="left"/>
        <w:rPr>
          <w:rFonts w:ascii="Montserrat;Montserrat Medium;sans-serif" w:hAnsi="Montserrat;Montserrat Medium;sans-serif"/>
          <w:b/>
          <w:color w:val="77206D"/>
          <w:sz w:val="21"/>
          <w:u w:val="single"/>
        </w:rPr>
      </w:pPr>
      <w:r>
        <w:rPr>
          <w:rFonts w:ascii="Montserrat;Montserrat Medium;sans-serif" w:hAnsi="Montserrat;Montserrat Medium;sans-serif"/>
          <w:b/>
          <w:color w:val="77206D"/>
          <w:sz w:val="21"/>
          <w:u w:val="single"/>
        </w:rPr>
        <w:t>About RxSight, Inc.</w:t>
      </w:r>
    </w:p>
    <w:p>
      <w:pPr>
        <w:pStyle w:val="TextBody"/>
        <w:bidi w:val="0"/>
        <w:jc w:val="left"/>
        <w:rPr>
          <w:rFonts w:ascii="Times New Roman" w:hAnsi="Times New Roman"/>
          <w:sz w:val="20"/>
        </w:rPr>
      </w:pPr>
      <w:r>
        <w:rPr>
          <w:rFonts w:ascii="Montserrat;Montserrat Medium;sans-serif" w:hAnsi="Montserrat;Montserrat Medium;sans-serif"/>
          <w:b/>
          <w:color w:val="000000"/>
          <w:sz w:val="21"/>
        </w:rPr>
        <w:t xml:space="preserve">RxSight, Inc. is an ophthalmic medical device company dedicated to providing high-quality customized vision to patients following cataract surgery. The RxSight® Light Adjustable Lens system, comprised of the RxSight Light Adjustable Lens® (LAL®/LAL+®, collectively the “LAL”), RxSight Light Delivery Device (LDD) and accessories, is the first and only commercially available intraocular lens (IOL) technology that can be adjusted after surgery, enabling doctors to customize and deliver high-quality vision to patients after cataract surgery. Additional information about RxSight can be found at </w:t>
      </w:r>
      <w:r>
        <w:rPr>
          <w:rFonts w:ascii="Montserrat;Montserrat Medium;sans-serif" w:hAnsi="Montserrat;Montserrat Medium;sans-serif"/>
          <w:b/>
          <w:color w:val="467886"/>
          <w:sz w:val="21"/>
          <w:u w:val="single"/>
        </w:rPr>
        <w:t>www.rxsight.com</w:t>
      </w:r>
      <w:r>
        <w:rPr>
          <w:rFonts w:ascii="Montserrat;Montserrat Medium;sans-serif" w:hAnsi="Montserrat;Montserrat Medium;sans-serif"/>
          <w:b/>
          <w:color w:val="000000"/>
          <w:sz w:val="21"/>
        </w:rPr>
        <w:t>.</w:t>
      </w:r>
    </w:p>
    <w:p>
      <w:pPr>
        <w:pStyle w:val="TextBody"/>
        <w:bidi w:val="0"/>
        <w:jc w:val="left"/>
        <w:rPr/>
      </w:pPr>
      <w:r>
        <w:rPr/>
        <w:t> </w:t>
      </w:r>
    </w:p>
    <w:p>
      <w:pPr>
        <w:pStyle w:val="TextBody"/>
        <w:bidi w:val="0"/>
        <w:jc w:val="left"/>
        <w:rPr>
          <w:rFonts w:ascii="Montserrat;Montserrat Medium;sans-serif" w:hAnsi="Montserrat;Montserrat Medium;sans-serif"/>
          <w:b/>
          <w:color w:val="000000"/>
          <w:sz w:val="21"/>
        </w:rPr>
      </w:pPr>
      <w:r>
        <w:rPr>
          <w:rFonts w:ascii="Montserrat;Montserrat Medium;sans-serif" w:hAnsi="Montserrat;Montserrat Medium;sans-serif"/>
          <w:b/>
          <w:color w:val="000000"/>
          <w:sz w:val="21"/>
        </w:rPr>
        <w:t>Forward-looking Statements</w:t>
      </w:r>
    </w:p>
    <w:p>
      <w:pPr>
        <w:pStyle w:val="TextBody"/>
        <w:bidi w:val="0"/>
        <w:jc w:val="left"/>
        <w:rPr/>
      </w:pPr>
      <w:r>
        <w:rPr/>
        <w:t> </w:t>
      </w:r>
    </w:p>
    <w:p>
      <w:pPr>
        <w:pStyle w:val="TextBody"/>
        <w:bidi w:val="0"/>
        <w:jc w:val="left"/>
        <w:rPr>
          <w:rFonts w:ascii="Montserrat;Montserrat Medium;sans-serif" w:hAnsi="Montserrat;Montserrat Medium;sans-serif"/>
          <w:b/>
          <w:color w:val="000000"/>
          <w:sz w:val="21"/>
        </w:rPr>
      </w:pPr>
      <w:r>
        <w:rPr>
          <w:rFonts w:ascii="Montserrat;Montserrat Medium;sans-serif" w:hAnsi="Montserrat;Montserrat Medium;sans-serif"/>
          <w:b/>
          <w:color w:val="000000"/>
          <w:sz w:val="21"/>
        </w:rPr>
        <w:t>This press release contains forward-looking statements within the meaning of Section 27A of the Securities Act and Section 21E of the Exchange Act. All statements in this press release that are not purely historical are forward-looking statements, including, without limitation, statements regarding: potential payments that may be received by us in connection with the collaboration, including potential milestone payments and royalties; and RxSight’s and Alcon’s respective rights and obligations under the collaboration agreement, a description of which (including material terms and conditions) may be found in the Current Report on Form 8-K filed of even date herewith with the Securities and Exchange Commission (SEC). The forward-looking statements contained herein are based upon our current expectations and involve assumptions that may never materialize or may prove to be incorrect. These forward-looking statements are neither promises nor guarantees and are subject to a variety of risks and uncertainties, including, without limitation, uncertainty as to whether the anticipated benefits and opportunities of the proposed collaboration may be realized or make take longer to realize or may cost more than expected; risks of unexpected hurdles, costs or delays; challenges in technology transfer and manufacturing; challenges inherent in new product candidate development, including obtaining regulatory approvals; challenges associated with collaborating with third parties, including intellectual property, operational, financial and other risks; uncertainty of commercial success for new products; the ability of RxSight and Alcon to successfully execute their respective strategic plans; and other risks that may be found in the section entitled Part II, Item 1A (Risk Factors) in the Quarterly Report on Form 10-Q for the period ended March 31, 2026, filed with the Securities and Exchange Commission (SEC) on May 6, 2026, and other documents that RxSight files from time to time with the SEC. These forward-looking statements are made as of the date of this press release, and RxSight assumes no obligation to update or revise any forward-looking statements, whether as a result of new information, future events or otherwise, except as required by law.</w:t>
      </w:r>
    </w:p>
    <w:p>
      <w:pPr>
        <w:pStyle w:val="TextBody"/>
        <w:bidi w:val="0"/>
        <w:jc w:val="left"/>
        <w:rPr/>
      </w:pPr>
      <w:r>
        <w:rPr/>
        <w:t> </w:t>
      </w:r>
    </w:p>
    <w:p>
      <w:pPr>
        <w:pStyle w:val="TextBody"/>
        <w:bidi w:val="0"/>
        <w:jc w:val="left"/>
        <w:rPr>
          <w:rFonts w:ascii="Montserrat;Montserrat Medium;sans-serif" w:hAnsi="Montserrat;Montserrat Medium;sans-serif"/>
          <w:b/>
          <w:color w:val="77206D"/>
          <w:sz w:val="21"/>
        </w:rPr>
      </w:pPr>
      <w:r>
        <w:rPr>
          <w:rFonts w:ascii="Montserrat;Montserrat Medium;sans-serif" w:hAnsi="Montserrat;Montserrat Medium;sans-serif"/>
          <w:b/>
          <w:color w:val="77206D"/>
          <w:sz w:val="21"/>
        </w:rPr>
        <w:t>Connect with us on</w:t>
      </w:r>
    </w:p>
    <w:p>
      <w:pPr>
        <w:pStyle w:val="TextBody"/>
        <w:bidi w:val="0"/>
        <w:spacing w:before="0" w:after="160"/>
        <w:jc w:val="left"/>
        <w:rPr/>
      </w:pPr>
      <w:r>
        <w:rPr/>
        <w:drawing>
          <wp:inline distT="0" distB="0" distL="0" distR="0">
            <wp:extent cx="1914525"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14525" cy="628650"/>
                    </a:xfrm>
                    <a:prstGeom prst="rect">
                      <a:avLst/>
                    </a:prstGeom>
                  </pic:spPr>
                </pic:pic>
              </a:graphicData>
            </a:graphic>
          </wp:inline>
        </w:drawing>
      </w:r>
    </w:p>
    <w:tbl>
      <w:tblPr>
        <w:tblW w:w="5518" w:type="dxa"/>
        <w:jc w:val="left"/>
        <w:tblInd w:w="0" w:type="dxa"/>
        <w:tblLayout w:type="fixed"/>
        <w:tblCellMar>
          <w:top w:w="28" w:type="dxa"/>
          <w:left w:w="28" w:type="dxa"/>
          <w:bottom w:w="28" w:type="dxa"/>
          <w:right w:w="28" w:type="dxa"/>
        </w:tblCellMar>
      </w:tblPr>
      <w:tblGrid>
        <w:gridCol w:w="3016"/>
        <w:gridCol w:w="231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Open Sans;sans-serif" w:hAnsi="Open Sans;sans-serif"/>
                <w:b/>
                <w:color w:val="813A74"/>
                <w:sz w:val="21"/>
                <w:u w:val="single"/>
              </w:rPr>
            </w:pPr>
            <w:r>
              <w:rPr>
                <w:rFonts w:ascii="Open Sans;sans-serif" w:hAnsi="Open Sans;sans-serif"/>
                <w:b/>
                <w:color w:val="813A74"/>
                <w:sz w:val="21"/>
                <w:u w:val="single"/>
              </w:rPr>
              <w:t>Investor Relations</w:t>
            </w:r>
          </w:p>
        </w:tc>
        <w:tc>
          <w:tcPr>
            <w:tcW w:w="2311" w:type="dxa"/>
            <w:tcBorders/>
            <w:tcMar>
              <w:top w:w="0" w:type="dxa"/>
              <w:left w:w="0" w:type="dxa"/>
              <w:bottom w:w="0" w:type="dxa"/>
              <w:right w:w="0" w:type="dxa"/>
            </w:tcMar>
            <w:vAlign w:val="center"/>
          </w:tcPr>
          <w:p>
            <w:pPr>
              <w:pStyle w:val="TableContents"/>
              <w:bidi w:val="0"/>
              <w:spacing w:before="0" w:after="283"/>
              <w:jc w:val="left"/>
              <w:rPr>
                <w:rFonts w:ascii="Open Sans;sans-serif" w:hAnsi="Open Sans;sans-serif"/>
                <w:b/>
                <w:color w:val="813A74"/>
                <w:sz w:val="21"/>
                <w:u w:val="single"/>
              </w:rPr>
            </w:pPr>
            <w:r>
              <w:rPr>
                <w:rFonts w:ascii="Open Sans;sans-serif" w:hAnsi="Open Sans;sans-serif"/>
                <w:b/>
                <w:color w:val="813A74"/>
                <w:sz w:val="21"/>
                <w:u w:val="single"/>
              </w:rPr>
              <w:t>Media Relations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1"/>
              </w:rPr>
            </w:pPr>
            <w:r>
              <w:rPr>
                <w:rFonts w:ascii="Open Sans;sans-serif" w:hAnsi="Open Sans;sans-serif"/>
                <w:color w:val="000000"/>
                <w:sz w:val="21"/>
              </w:rPr>
              <w:t>Oliver Moravcevic</w:t>
            </w:r>
            <w:r>
              <w:rPr>
                <w:rFonts w:ascii="Times New Roman" w:hAnsi="Times New Roman"/>
                <w:color w:val="000000"/>
                <w:sz w:val="21"/>
              </w:rPr>
              <w:t xml:space="preserve"> </w:t>
            </w:r>
          </w:p>
        </w:tc>
        <w:tc>
          <w:tcPr>
            <w:tcW w:w="2311" w:type="dxa"/>
            <w:tcBorders/>
            <w:tcMar>
              <w:top w:w="0" w:type="dxa"/>
              <w:left w:w="0" w:type="dxa"/>
              <w:bottom w:w="0" w:type="dxa"/>
              <w:right w:w="0" w:type="dxa"/>
            </w:tcMar>
            <w:vAlign w:val="center"/>
          </w:tcPr>
          <w:p>
            <w:pPr>
              <w:pStyle w:val="TableContents"/>
              <w:bidi w:val="0"/>
              <w:spacing w:before="0" w:after="283"/>
              <w:jc w:val="left"/>
              <w:rPr>
                <w:rFonts w:ascii="Open Sans;sans-serif" w:hAnsi="Open Sans;sans-serif"/>
                <w:color w:val="000000"/>
                <w:sz w:val="21"/>
              </w:rPr>
            </w:pPr>
            <w:r>
              <w:rPr>
                <w:rFonts w:ascii="Open Sans;sans-serif" w:hAnsi="Open Sans;sans-serif"/>
                <w:color w:val="000000"/>
                <w:sz w:val="21"/>
              </w:rPr>
              <w:t>Robert Spirito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Open Sans;sans-serif" w:hAnsi="Open Sans;sans-serif"/>
                <w:color w:val="0000FF"/>
                <w:sz w:val="21"/>
              </w:rPr>
              <w:t>omoravcevic@rxsight.com</w:t>
            </w:r>
            <w:r>
              <w:rPr>
                <w:rFonts w:ascii="Times New Roman" w:hAnsi="Times New Roman"/>
                <w:color w:val="000000"/>
                <w:sz w:val="24"/>
              </w:rPr>
              <w:t xml:space="preserve"> </w:t>
            </w:r>
          </w:p>
        </w:tc>
        <w:tc>
          <w:tcPr>
            <w:tcW w:w="2311" w:type="dxa"/>
            <w:tcBorders/>
            <w:tcMar>
              <w:top w:w="0" w:type="dxa"/>
              <w:left w:w="0" w:type="dxa"/>
              <w:bottom w:w="0" w:type="dxa"/>
              <w:right w:w="0" w:type="dxa"/>
            </w:tcMar>
            <w:vAlign w:val="center"/>
          </w:tcPr>
          <w:p>
            <w:pPr>
              <w:pStyle w:val="TableContents"/>
              <w:bidi w:val="0"/>
              <w:spacing w:before="0" w:after="283"/>
              <w:jc w:val="left"/>
              <w:rPr>
                <w:rFonts w:ascii="Open Sans;sans-serif" w:hAnsi="Open Sans;sans-serif"/>
                <w:color w:val="0000FF"/>
                <w:sz w:val="21"/>
              </w:rPr>
            </w:pPr>
            <w:r>
              <w:rPr>
                <w:rFonts w:ascii="Open Sans;sans-serif" w:hAnsi="Open Sans;sans-serif"/>
                <w:color w:val="0000FF"/>
                <w:sz w:val="21"/>
              </w:rPr>
              <w:t>rspirito@rxsight.com</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RxSight, Inc. | 100 Columbia, Aliso Viejo, CA 92656 | rxsight.com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Montserrat">
    <w:altName w:val="Montserrat Medium"/>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2612</Words>
  <Characters>15440</Characters>
  <CharactersWithSpaces>18043</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