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579755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593725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75565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86995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9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4"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02" w:lineRule="exact"/>
        <w:rPr>
          <w:sz w:val="24"/>
          <w:szCs w:val="24"/>
          <w:color w:val="auto"/>
        </w:rPr>
      </w:pPr>
    </w:p>
    <w:p>
      <w:pPr>
        <w:ind w:left="34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9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RxSIGHT,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81280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87" w:lineRule="exact"/>
        <w:rPr>
          <w:sz w:val="24"/>
          <w:szCs w:val="24"/>
          <w:color w:val="auto"/>
        </w:rPr>
      </w:pPr>
    </w:p>
    <w:tbl>
      <w:tblPr>
        <w:tblLayout w:type="fixed"/>
        <w:tblInd w:w="1620" w:type="dxa"/>
        <w:tblCellMar>
          <w:top w:w="0" w:type="dxa"/>
          <w:left w:w="0" w:type="dxa"/>
          <w:bottom w:w="0" w:type="dxa"/>
          <w:right w:w="0" w:type="dxa"/>
        </w:tblCellMar>
      </w:tblPr>
      <w:tr>
        <w:trPr>
          <w:trHeight w:val="126"/>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94-3268801</w:t>
            </w:r>
          </w:p>
        </w:tc>
      </w:tr>
      <w:tr>
        <w:trPr>
          <w:trHeight w:val="127"/>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2"/>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120" w:type="dxa"/>
            <w:vAlign w:val="bottom"/>
          </w:tcPr>
          <w:p>
            <w:pPr>
              <w:jc w:val="center"/>
              <w:ind w:left="116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183"/>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100 Columbia</w:t>
            </w:r>
          </w:p>
        </w:tc>
        <w:tc>
          <w:tcPr>
            <w:tcW w:w="2120" w:type="dxa"/>
            <w:vAlign w:val="bottom"/>
          </w:tcPr>
          <w:p>
            <w:pPr>
              <w:spacing w:after="0"/>
              <w:rPr>
                <w:sz w:val="15"/>
                <w:szCs w:val="15"/>
                <w:color w:val="auto"/>
              </w:rPr>
            </w:pPr>
          </w:p>
        </w:tc>
      </w:tr>
      <w:tr>
        <w:trPr>
          <w:trHeight w:val="118"/>
        </w:trPr>
        <w:tc>
          <w:tcPr>
            <w:tcW w:w="3140" w:type="dxa"/>
            <w:vAlign w:val="bottom"/>
          </w:tcPr>
          <w:p>
            <w:pPr>
              <w:jc w:val="center"/>
              <w:ind w:right="1203"/>
              <w:spacing w:after="0" w:line="119" w:lineRule="exact"/>
              <w:rPr>
                <w:sz w:val="20"/>
                <w:szCs w:val="20"/>
                <w:color w:val="auto"/>
              </w:rPr>
            </w:pPr>
            <w:r>
              <w:rPr>
                <w:rFonts w:ascii="Times New Roman" w:cs="Times New Roman" w:eastAsia="Times New Roman" w:hAnsi="Times New Roman"/>
                <w:sz w:val="11"/>
                <w:szCs w:val="11"/>
                <w:b w:val="1"/>
                <w:bCs w:val="1"/>
                <w:color w:val="auto"/>
              </w:rPr>
              <w:t>Aliso Viejo, CA</w:t>
            </w:r>
          </w:p>
        </w:tc>
        <w:tc>
          <w:tcPr>
            <w:tcW w:w="2120" w:type="dxa"/>
            <w:vAlign w:val="bottom"/>
          </w:tcPr>
          <w:p>
            <w:pPr>
              <w:jc w:val="right"/>
              <w:ind w:right="243"/>
              <w:spacing w:after="0" w:line="119" w:lineRule="exact"/>
              <w:rPr>
                <w:sz w:val="20"/>
                <w:szCs w:val="20"/>
                <w:color w:val="auto"/>
              </w:rPr>
            </w:pPr>
            <w:r>
              <w:rPr>
                <w:rFonts w:ascii="Times New Roman" w:cs="Times New Roman" w:eastAsia="Times New Roman" w:hAnsi="Times New Roman"/>
                <w:sz w:val="11"/>
                <w:szCs w:val="11"/>
                <w:b w:val="1"/>
                <w:bCs w:val="1"/>
                <w:color w:val="auto"/>
              </w:rPr>
              <w:t>92656</w:t>
            </w:r>
          </w:p>
        </w:tc>
      </w:tr>
      <w:tr>
        <w:trPr>
          <w:trHeight w:val="150"/>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5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6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91"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1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RXST</w:t>
            </w:r>
          </w:p>
        </w:tc>
        <w:tc>
          <w:tcPr>
            <w:tcW w:w="8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640" w:right="73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left="640" w:right="7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left="640" w:right="919" w:firstLine="351"/>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640" w:type="dxa"/>
        <w:tblCellMar>
          <w:top w:w="0" w:type="dxa"/>
          <w:left w:w="0" w:type="dxa"/>
          <w:bottom w:w="0" w:type="dxa"/>
          <w:right w:w="0" w:type="dxa"/>
        </w:tblCellMar>
      </w:tblPr>
      <w:tr>
        <w:trPr>
          <w:trHeight w:val="215"/>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1" w:lineRule="exact"/>
        <w:rPr>
          <w:sz w:val="24"/>
          <w:szCs w:val="24"/>
          <w:color w:val="auto"/>
        </w:rPr>
      </w:pPr>
    </w:p>
    <w:p>
      <w:pPr>
        <w:ind w:left="640" w:right="819" w:firstLine="351"/>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980" w:right="115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April 30, 2025, the registrant had 40,636,981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686435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78105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92075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93" w:right="1440"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188"/>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8"/>
        </w:trPr>
        <w:tc>
          <w:tcPr>
            <w:tcW w:w="1300" w:type="dxa"/>
            <w:vAlign w:val="bottom"/>
            <w:gridSpan w:val="3"/>
            <w:vMerge w:val="continue"/>
          </w:tcPr>
          <w:p>
            <w:pPr>
              <w:spacing w:after="0"/>
              <w:rPr>
                <w:sz w:val="12"/>
                <w:szCs w:val="12"/>
                <w:color w:val="auto"/>
              </w:rPr>
            </w:pPr>
          </w:p>
        </w:tc>
        <w:tc>
          <w:tcPr>
            <w:tcW w:w="6420" w:type="dxa"/>
            <w:vAlign w:val="bottom"/>
            <w:gridSpan w:val="13"/>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Equity</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tcBorders>
              <w:left w:val="single" w:sz="8" w:color="0000FF"/>
            </w:tcBorders>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gridSpan w:val="3"/>
            <w:vMerge w:val="continue"/>
          </w:tcPr>
          <w:p>
            <w:pPr>
              <w:spacing w:after="0"/>
              <w:rPr>
                <w:sz w:val="14"/>
                <w:szCs w:val="14"/>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OTHER INFORMATION</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7"/>
        </w:trPr>
        <w:tc>
          <w:tcPr>
            <w:tcW w:w="5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97" w:lineRule="exact"/>
        <w:rPr>
          <w:sz w:val="20"/>
          <w:szCs w:val="20"/>
          <w:color w:val="auto"/>
        </w:rPr>
      </w:pPr>
    </w:p>
    <w:p>
      <w:pPr>
        <w:ind w:left="1860" w:right="1179" w:hanging="357"/>
        <w:spacing w:after="0" w:line="26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profitability from operations, as disclosed in our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U.S. and internationally and to pursue other business opportunities;</w:t>
      </w:r>
    </w:p>
    <w:p>
      <w:pPr>
        <w:spacing w:after="0" w:line="58"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current cash, cash equivalents and short-term investments through the date of filing of this report will be sufficient to fund our operations for at least the next 12 months;</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68"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revenue will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54"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gross margin may improve significantly as the manufacturing volume of the LAL increases;</w:t>
      </w:r>
    </w:p>
    <w:p>
      <w:pPr>
        <w:spacing w:after="0" w:line="37"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expenses, ongoing losses, future revenue, capital requirements and our need for, or ability to obtain, additional financing;</w:t>
      </w:r>
    </w:p>
    <w:p>
      <w:pPr>
        <w:spacing w:after="0" w:line="37"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our gross margin may continue to improve as our manufacturing volume of Light-Adjustable Lenses (“LALs”) increases;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for the growth of our business and our organization, including with respect to new geographic markets;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over time, our adjustable lens solution can be used to address a broad range of cataract surgery patients, including those that would otherwise elect for a conventional cataract procedure today;</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w:t>
      </w:r>
    </w:p>
    <w:p>
      <w:pPr>
        <w:spacing w:after="0" w:line="50"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there is an opportunity to gain market share in the premium intraocular lens (“IOL”) market segment and also increase the penetration of premium IOLs in the broader market by converting doctors and patients currently electing for conventional cataract surgery;</w:t>
      </w:r>
    </w:p>
    <w:p>
      <w:pPr>
        <w:spacing w:after="0" w:line="50" w:lineRule="exact"/>
        <w:rPr>
          <w:rFonts w:ascii="Times New Roman" w:cs="Times New Roman" w:eastAsia="Times New Roman" w:hAnsi="Times New Roman"/>
          <w:sz w:val="14"/>
          <w:szCs w:val="14"/>
          <w:color w:val="auto"/>
        </w:rPr>
      </w:pPr>
    </w:p>
    <w:p>
      <w:pPr>
        <w:ind w:left="1860" w:right="1199" w:hanging="357"/>
        <w:spacing w:after="0" w:line="268"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w:t>
      </w:r>
    </w:p>
    <w:p>
      <w:pPr>
        <w:spacing w:after="0" w:line="54" w:lineRule="exact"/>
        <w:rPr>
          <w:rFonts w:ascii="Times New Roman" w:cs="Times New Roman" w:eastAsia="Times New Roman" w:hAnsi="Times New Roman"/>
          <w:sz w:val="14"/>
          <w:szCs w:val="14"/>
          <w:color w:val="auto"/>
        </w:rPr>
      </w:pPr>
    </w:p>
    <w:p>
      <w:pPr>
        <w:ind w:left="1860" w:right="1479" w:hanging="357"/>
        <w:spacing w:after="0" w:line="274"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regarding investment in our business as we pursue growth;</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 w:name="page4"/>
    <w:bookmarkEnd w:id="3"/>
    <w:p>
      <w:pPr>
        <w:ind w:left="1860" w:right="163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expected timelines related to our products, or developing new products, to address additional indications or otherwise;</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expand regulatory clearances for our products and any new products we create;</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uses of our existing resources;</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current manufacturing capacity is sufficient to meet our current expected demand for at least the next 12 months;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our existing facilities are adequate for our near-term needs, and that suitable additional or alternative space would be available in the future as required on commercially reasonable terms;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payer coverage and reimbursement;</w:t>
      </w:r>
    </w:p>
    <w:p>
      <w:pPr>
        <w:spacing w:after="0" w:line="96" w:lineRule="exact"/>
        <w:rPr>
          <w:rFonts w:ascii="Times New Roman" w:cs="Times New Roman" w:eastAsia="Times New Roman" w:hAnsi="Times New Roman"/>
          <w:sz w:val="14"/>
          <w:szCs w:val="14"/>
          <w:color w:val="auto"/>
        </w:rPr>
      </w:pPr>
    </w:p>
    <w:p>
      <w:pPr>
        <w:ind w:left="1860" w:right="13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supply of materials and components for our products from our third-party suppliers, including single and sole source suppliers;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enforce intellectual property protection for our products and protect our intellectual property rights;</w:t>
      </w:r>
    </w:p>
    <w:p>
      <w:pPr>
        <w:spacing w:after="0" w:line="37"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conduct further clinical trials and any expectations related to the timing or outcomes of such trials;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and future government laws, rules and regulations both in the United States and internationally;</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and planned products and/or acquire new products; and</w:t>
      </w:r>
    </w:p>
    <w:p>
      <w:pPr>
        <w:spacing w:after="0" w:line="96"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or our industry, including anticipated growth rates for the conventional and premium IOL markets.</w:t>
      </w:r>
    </w:p>
    <w:p>
      <w:pPr>
        <w:spacing w:after="0" w:line="70"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76"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9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INDUSTRY, BUSINESS AND MARKET DATA</w:t>
      </w:r>
    </w:p>
    <w:p>
      <w:pPr>
        <w:spacing w:after="0" w:line="120"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 w:name="page5"/>
    <w:bookmarkEnd w:id="4"/>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surveys, studies and similar data prepared by market research firms and other third parties, industry, medical and general publications, government data and similar sources.</w:t>
      </w:r>
    </w:p>
    <w:p>
      <w:pPr>
        <w:spacing w:after="0" w:line="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131"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6350</wp:posOffset>
            </wp:positionV>
            <wp:extent cx="425513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43"/>
              <w:spacing w:after="0" w:line="109" w:lineRule="exact"/>
              <w:rPr>
                <w:sz w:val="20"/>
                <w:szCs w:val="20"/>
                <w:color w:val="auto"/>
              </w:rPr>
            </w:pPr>
            <w:r>
              <w:rPr>
                <w:rFonts w:ascii="Times New Roman" w:cs="Times New Roman" w:eastAsia="Times New Roman" w:hAnsi="Times New Roman"/>
                <w:sz w:val="11"/>
                <w:szCs w:val="11"/>
                <w:color w:val="auto"/>
              </w:rPr>
              <w:t>(Unaudited)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assets:</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28,000</w:t>
            </w: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16,706</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Short-term investments</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201,341</w:t>
            </w:r>
          </w:p>
        </w:tc>
        <w:tc>
          <w:tcPr>
            <w:tcW w:w="100" w:type="dxa"/>
            <w:vAlign w:val="bottom"/>
          </w:tcPr>
          <w:p>
            <w:pPr>
              <w:spacing w:after="0"/>
              <w:rPr>
                <w:sz w:val="10"/>
                <w:szCs w:val="10"/>
                <w:color w:val="auto"/>
              </w:rPr>
            </w:pPr>
          </w:p>
        </w:tc>
        <w:tc>
          <w:tcPr>
            <w:tcW w:w="9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220,517</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receivable, net</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30,958</w:t>
            </w: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30,050</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Inventories, net</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23,574</w:t>
            </w:r>
          </w:p>
        </w:tc>
        <w:tc>
          <w:tcPr>
            <w:tcW w:w="100" w:type="dxa"/>
            <w:vAlign w:val="bottom"/>
          </w:tcPr>
          <w:p>
            <w:pPr>
              <w:spacing w:after="0"/>
              <w:rPr>
                <w:sz w:val="10"/>
                <w:szCs w:val="10"/>
                <w:color w:val="auto"/>
              </w:rPr>
            </w:pPr>
          </w:p>
        </w:tc>
        <w:tc>
          <w:tcPr>
            <w:tcW w:w="9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22,009</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Prepaid and other current assets</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4,541</w:t>
            </w: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4,541</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current assets</w:t>
            </w:r>
          </w:p>
        </w:tc>
        <w:tc>
          <w:tcPr>
            <w:tcW w:w="100" w:type="dxa"/>
            <w:vAlign w:val="bottom"/>
          </w:tcPr>
          <w:p>
            <w:pPr>
              <w:spacing w:after="0"/>
              <w:rPr>
                <w:sz w:val="9"/>
                <w:szCs w:val="9"/>
                <w:color w:val="auto"/>
              </w:rPr>
            </w:pPr>
          </w:p>
        </w:tc>
        <w:tc>
          <w:tcPr>
            <w:tcW w:w="8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288,414</w:t>
            </w:r>
          </w:p>
        </w:tc>
        <w:tc>
          <w:tcPr>
            <w:tcW w:w="100" w:type="dxa"/>
            <w:vAlign w:val="bottom"/>
          </w:tcPr>
          <w:p>
            <w:pPr>
              <w:spacing w:after="0"/>
              <w:rPr>
                <w:sz w:val="9"/>
                <w:szCs w:val="9"/>
                <w:color w:val="auto"/>
              </w:rPr>
            </w:pPr>
          </w:p>
        </w:tc>
        <w:tc>
          <w:tcPr>
            <w:tcW w:w="92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293,823</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Property and equipment, net</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12,557</w:t>
            </w: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12,413</w:t>
            </w: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Operating leases right-of-use assets</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10,922</w:t>
            </w:r>
          </w:p>
        </w:tc>
        <w:tc>
          <w:tcPr>
            <w:tcW w:w="100" w:type="dxa"/>
            <w:vAlign w:val="bottom"/>
          </w:tcPr>
          <w:p>
            <w:pPr>
              <w:spacing w:after="0"/>
              <w:rPr>
                <w:sz w:val="10"/>
                <w:szCs w:val="10"/>
                <w:color w:val="auto"/>
              </w:rPr>
            </w:pPr>
          </w:p>
        </w:tc>
        <w:tc>
          <w:tcPr>
            <w:tcW w:w="9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11,217</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Restricted cash</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750</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750</w:t>
            </w: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401</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360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313,044</w:t>
            </w: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318,563</w:t>
            </w:r>
          </w:p>
        </w:tc>
        <w:tc>
          <w:tcPr>
            <w:tcW w:w="0" w:type="dxa"/>
            <w:vAlign w:val="bottom"/>
          </w:tcPr>
          <w:p>
            <w:pPr>
              <w:spacing w:after="0"/>
              <w:rPr>
                <w:sz w:val="1"/>
                <w:szCs w:val="1"/>
                <w:color w:val="auto"/>
              </w:rPr>
            </w:pPr>
          </w:p>
        </w:tc>
      </w:tr>
      <w:tr>
        <w:trPr>
          <w:trHeight w:val="90"/>
        </w:trPr>
        <w:tc>
          <w:tcPr>
            <w:tcW w:w="47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liabilities:</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7,111</w:t>
            </w: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4,544</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14,575</w:t>
            </w:r>
          </w:p>
        </w:tc>
        <w:tc>
          <w:tcPr>
            <w:tcW w:w="100" w:type="dxa"/>
            <w:vAlign w:val="bottom"/>
          </w:tcPr>
          <w:p>
            <w:pPr>
              <w:spacing w:after="0"/>
              <w:rPr>
                <w:sz w:val="10"/>
                <w:szCs w:val="10"/>
                <w:color w:val="auto"/>
              </w:rPr>
            </w:pPr>
          </w:p>
        </w:tc>
        <w:tc>
          <w:tcPr>
            <w:tcW w:w="9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20,358</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Lease liabilities</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1,055</w:t>
            </w: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974</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current liabilities</w:t>
            </w:r>
          </w:p>
        </w:tc>
        <w:tc>
          <w:tcPr>
            <w:tcW w:w="100" w:type="dxa"/>
            <w:vAlign w:val="bottom"/>
          </w:tcPr>
          <w:p>
            <w:pPr>
              <w:spacing w:after="0"/>
              <w:rPr>
                <w:sz w:val="9"/>
                <w:szCs w:val="9"/>
                <w:color w:val="auto"/>
              </w:rPr>
            </w:pPr>
          </w:p>
        </w:tc>
        <w:tc>
          <w:tcPr>
            <w:tcW w:w="8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22,741</w:t>
            </w:r>
          </w:p>
        </w:tc>
        <w:tc>
          <w:tcPr>
            <w:tcW w:w="100" w:type="dxa"/>
            <w:vAlign w:val="bottom"/>
          </w:tcPr>
          <w:p>
            <w:pPr>
              <w:spacing w:after="0"/>
              <w:rPr>
                <w:sz w:val="9"/>
                <w:szCs w:val="9"/>
                <w:color w:val="auto"/>
              </w:rPr>
            </w:pPr>
          </w:p>
        </w:tc>
        <w:tc>
          <w:tcPr>
            <w:tcW w:w="92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25,876</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Long-term lease liabilities</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10,987</w:t>
            </w: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11,322</w:t>
            </w:r>
          </w:p>
        </w:tc>
        <w:tc>
          <w:tcPr>
            <w:tcW w:w="0" w:type="dxa"/>
            <w:vAlign w:val="bottom"/>
          </w:tcPr>
          <w:p>
            <w:pPr>
              <w:spacing w:after="0"/>
              <w:rPr>
                <w:sz w:val="1"/>
                <w:szCs w:val="1"/>
                <w:color w:val="auto"/>
              </w:rPr>
            </w:pPr>
          </w:p>
        </w:tc>
      </w:tr>
      <w:tr>
        <w:trPr>
          <w:trHeight w:val="118"/>
        </w:trPr>
        <w:tc>
          <w:tcPr>
            <w:tcW w:w="47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long-term liabilities</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1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33,728</w:t>
            </w:r>
          </w:p>
        </w:tc>
        <w:tc>
          <w:tcPr>
            <w:tcW w:w="1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37,325</w:t>
            </w:r>
          </w:p>
        </w:tc>
        <w:tc>
          <w:tcPr>
            <w:tcW w:w="0" w:type="dxa"/>
            <w:vAlign w:val="bottom"/>
          </w:tcPr>
          <w:p>
            <w:pPr>
              <w:spacing w:after="0"/>
              <w:rPr>
                <w:sz w:val="1"/>
                <w:szCs w:val="1"/>
                <w:color w:val="auto"/>
              </w:rPr>
            </w:pPr>
          </w:p>
        </w:tc>
      </w:tr>
      <w:tr>
        <w:trPr>
          <w:trHeight w:val="109"/>
        </w:trPr>
        <w:tc>
          <w:tcPr>
            <w:tcW w:w="470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color w:val="auto"/>
              </w:rPr>
              <w:t>Commitments and contingencies (Note 8)</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Stockholders' equity:</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7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Common stock, $0.001 par value, 900,000,000 shares authorized,</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200"/>
              <w:spacing w:after="0" w:line="119" w:lineRule="exact"/>
              <w:rPr>
                <w:sz w:val="20"/>
                <w:szCs w:val="20"/>
                <w:color w:val="auto"/>
              </w:rPr>
            </w:pPr>
            <w:r>
              <w:rPr>
                <w:rFonts w:ascii="Times New Roman" w:cs="Times New Roman" w:eastAsia="Times New Roman" w:hAnsi="Times New Roman"/>
                <w:sz w:val="11"/>
                <w:szCs w:val="11"/>
                <w:color w:val="auto"/>
              </w:rPr>
              <w:t>40,588,540 shares issued and outstanding as of March 31, 2025 and</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35"/>
        </w:trPr>
        <w:tc>
          <w:tcPr>
            <w:tcW w:w="4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40,428,220 shares issued and outstanding as of December 31, 2024</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0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Preferred stock, $0.001 par value, 100,000,000 shares authorized,</w:t>
            </w:r>
          </w:p>
        </w:tc>
        <w:tc>
          <w:tcPr>
            <w:tcW w:w="10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no shares issued and outstanding</w:t>
            </w:r>
          </w:p>
        </w:tc>
        <w:tc>
          <w:tcPr>
            <w:tcW w:w="10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Additional paid-in capital</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909,545</w:t>
            </w:r>
          </w:p>
        </w:tc>
        <w:tc>
          <w:tcPr>
            <w:tcW w:w="100" w:type="dxa"/>
            <w:vAlign w:val="bottom"/>
          </w:tcPr>
          <w:p>
            <w:pPr>
              <w:spacing w:after="0"/>
              <w:rPr>
                <w:sz w:val="10"/>
                <w:szCs w:val="10"/>
                <w:color w:val="auto"/>
              </w:rPr>
            </w:pPr>
          </w:p>
        </w:tc>
        <w:tc>
          <w:tcPr>
            <w:tcW w:w="9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903,127</w:t>
            </w:r>
          </w:p>
        </w:tc>
        <w:tc>
          <w:tcPr>
            <w:tcW w:w="0" w:type="dxa"/>
            <w:vAlign w:val="bottom"/>
          </w:tcPr>
          <w:p>
            <w:pPr>
              <w:spacing w:after="0"/>
              <w:rPr>
                <w:sz w:val="1"/>
                <w:szCs w:val="1"/>
                <w:color w:val="auto"/>
              </w:rPr>
            </w:pPr>
          </w:p>
        </w:tc>
      </w:tr>
      <w:tr>
        <w:trPr>
          <w:trHeight w:val="118"/>
        </w:trPr>
        <w:tc>
          <w:tcPr>
            <w:tcW w:w="470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18"/>
        </w:trPr>
        <w:tc>
          <w:tcPr>
            <w:tcW w:w="47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deficit</w:t>
            </w:r>
          </w:p>
        </w:tc>
        <w:tc>
          <w:tcPr>
            <w:tcW w:w="100" w:type="dxa"/>
            <w:vAlign w:val="bottom"/>
          </w:tcPr>
          <w:p>
            <w:pPr>
              <w:spacing w:after="0"/>
              <w:rPr>
                <w:sz w:val="10"/>
                <w:szCs w:val="10"/>
                <w:color w:val="auto"/>
              </w:rPr>
            </w:pPr>
          </w:p>
        </w:tc>
        <w:tc>
          <w:tcPr>
            <w:tcW w:w="8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(630,285)</w:t>
            </w:r>
          </w:p>
        </w:tc>
        <w:tc>
          <w:tcPr>
            <w:tcW w:w="100" w:type="dxa"/>
            <w:vAlign w:val="bottom"/>
          </w:tcPr>
          <w:p>
            <w:pPr>
              <w:spacing w:after="0"/>
              <w:rPr>
                <w:sz w:val="10"/>
                <w:szCs w:val="10"/>
                <w:color w:val="auto"/>
              </w:rPr>
            </w:pPr>
          </w:p>
        </w:tc>
        <w:tc>
          <w:tcPr>
            <w:tcW w:w="9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(622,095)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shd w:val="clear" w:color="auto" w:fill="CFF0FC"/>
          </w:tcPr>
          <w:p>
            <w:pPr>
              <w:ind w:left="280"/>
              <w:spacing w:after="0" w:line="109" w:lineRule="exact"/>
              <w:rPr>
                <w:sz w:val="20"/>
                <w:szCs w:val="20"/>
                <w:color w:val="auto"/>
              </w:rPr>
            </w:pPr>
            <w:r>
              <w:rPr>
                <w:rFonts w:ascii="Times New Roman" w:cs="Times New Roman" w:eastAsia="Times New Roman" w:hAnsi="Times New Roman"/>
                <w:sz w:val="11"/>
                <w:szCs w:val="11"/>
                <w:color w:val="auto"/>
              </w:rPr>
              <w:t>Total stockholders' equity</w:t>
            </w:r>
          </w:p>
        </w:tc>
        <w:tc>
          <w:tcPr>
            <w:tcW w:w="1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279,316</w:t>
            </w:r>
          </w:p>
        </w:tc>
        <w:tc>
          <w:tcPr>
            <w:tcW w:w="1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281,238</w:t>
            </w:r>
          </w:p>
        </w:tc>
        <w:tc>
          <w:tcPr>
            <w:tcW w:w="0" w:type="dxa"/>
            <w:vAlign w:val="bottom"/>
          </w:tcPr>
          <w:p>
            <w:pPr>
              <w:spacing w:after="0"/>
              <w:rPr>
                <w:sz w:val="1"/>
                <w:szCs w:val="1"/>
                <w:color w:val="auto"/>
              </w:rPr>
            </w:pPr>
          </w:p>
        </w:tc>
      </w:tr>
      <w:tr>
        <w:trPr>
          <w:trHeight w:val="109"/>
        </w:trPr>
        <w:tc>
          <w:tcPr>
            <w:tcW w:w="47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313,044</w:t>
            </w: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318,563</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-2263140</wp:posOffset>
            </wp:positionV>
            <wp:extent cx="406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-2263140</wp:posOffset>
            </wp:positionV>
            <wp:extent cx="406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-1799590</wp:posOffset>
            </wp:positionV>
            <wp:extent cx="4064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-1786255</wp:posOffset>
            </wp:positionV>
            <wp:extent cx="4064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-1799590</wp:posOffset>
            </wp:positionV>
            <wp:extent cx="406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-1786255</wp:posOffset>
            </wp:positionV>
            <wp:extent cx="4064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-1329055</wp:posOffset>
            </wp:positionV>
            <wp:extent cx="4064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-1329055</wp:posOffset>
            </wp:positionV>
            <wp:extent cx="4064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-1015365</wp:posOffset>
            </wp:positionV>
            <wp:extent cx="4064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-1015365</wp:posOffset>
            </wp:positionV>
            <wp:extent cx="4064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-176530</wp:posOffset>
            </wp:positionV>
            <wp:extent cx="4064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-176530</wp:posOffset>
            </wp:positionV>
            <wp:extent cx="4064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-19685</wp:posOffset>
            </wp:positionV>
            <wp:extent cx="406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-6350</wp:posOffset>
            </wp:positionV>
            <wp:extent cx="4064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322"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6350</wp:posOffset>
            </wp:positionV>
            <wp:extent cx="425513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3420" w:type="dxa"/>
            <w:vAlign w:val="bottom"/>
          </w:tcPr>
          <w:p>
            <w:pPr>
              <w:spacing w:after="0"/>
              <w:rPr>
                <w:sz w:val="11"/>
                <w:szCs w:val="11"/>
                <w:color w:val="auto"/>
              </w:rPr>
            </w:pPr>
          </w:p>
        </w:tc>
        <w:tc>
          <w:tcPr>
            <w:tcW w:w="3280" w:type="dxa"/>
            <w:vAlign w:val="bottom"/>
            <w:gridSpan w:val="7"/>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3420" w:type="dxa"/>
            <w:vAlign w:val="bottom"/>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jc w:val="right"/>
              <w:ind w:right="46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9"/>
                <w:szCs w:val="9"/>
                <w:color w:val="auto"/>
              </w:rPr>
            </w:pPr>
          </w:p>
        </w:tc>
      </w:tr>
      <w:tr>
        <w:trPr>
          <w:trHeight w:val="109"/>
        </w:trPr>
        <w:tc>
          <w:tcPr>
            <w:tcW w:w="3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18"/>
        </w:trPr>
        <w:tc>
          <w:tcPr>
            <w:tcW w:w="34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Sales</w:t>
            </w:r>
          </w:p>
        </w:tc>
        <w:tc>
          <w:tcPr>
            <w:tcW w:w="920" w:type="dxa"/>
            <w:vAlign w:val="bottom"/>
            <w:shd w:val="clear" w:color="auto" w:fill="CFF0FC"/>
          </w:tcPr>
          <w:p>
            <w:pPr>
              <w:jc w:val="right"/>
              <w:ind w:right="80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37,895</w:t>
            </w:r>
          </w:p>
        </w:tc>
        <w:tc>
          <w:tcPr>
            <w:tcW w:w="1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29,512</w:t>
            </w: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Cost of sales</w:t>
            </w: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9,566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8,827</w:t>
            </w:r>
          </w:p>
        </w:tc>
        <w:tc>
          <w:tcPr>
            <w:tcW w:w="260" w:type="dxa"/>
            <w:vAlign w:val="bottom"/>
          </w:tcPr>
          <w:p>
            <w:pPr>
              <w:spacing w:after="0"/>
              <w:rPr>
                <w:sz w:val="10"/>
                <w:szCs w:val="10"/>
                <w:color w:val="auto"/>
              </w:rPr>
            </w:pPr>
          </w:p>
        </w:tc>
      </w:tr>
      <w:tr>
        <w:trPr>
          <w:trHeight w:val="109"/>
        </w:trPr>
        <w:tc>
          <w:tcPr>
            <w:tcW w:w="342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Gross profit</w:t>
            </w:r>
          </w:p>
        </w:tc>
        <w:tc>
          <w:tcPr>
            <w:tcW w:w="92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28,329</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20,685</w:t>
            </w:r>
          </w:p>
        </w:tc>
        <w:tc>
          <w:tcPr>
            <w:tcW w:w="260" w:type="dxa"/>
            <w:vAlign w:val="bottom"/>
            <w:tcBorders>
              <w:bottom w:val="single" w:sz="8" w:color="CFF0FC"/>
            </w:tcBorders>
            <w:shd w:val="clear" w:color="auto" w:fill="CFF0FC"/>
          </w:tcPr>
          <w:p>
            <w:pPr>
              <w:spacing w:after="0"/>
              <w:rPr>
                <w:sz w:val="9"/>
                <w:szCs w:val="9"/>
                <w:color w:val="auto"/>
              </w:rPr>
            </w:pPr>
          </w:p>
        </w:tc>
      </w:tr>
      <w:tr>
        <w:trPr>
          <w:trHeight w:val="109"/>
        </w:trPr>
        <w:tc>
          <w:tcPr>
            <w:tcW w:w="342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Operating expenses:</w:t>
            </w: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18"/>
        </w:trPr>
        <w:tc>
          <w:tcPr>
            <w:tcW w:w="342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9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28,636</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23,324</w:t>
            </w: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Research and development</w:t>
            </w: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10,367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8,031</w:t>
            </w:r>
          </w:p>
        </w:tc>
        <w:tc>
          <w:tcPr>
            <w:tcW w:w="260" w:type="dxa"/>
            <w:vAlign w:val="bottom"/>
          </w:tcPr>
          <w:p>
            <w:pPr>
              <w:spacing w:after="0"/>
              <w:rPr>
                <w:sz w:val="10"/>
                <w:szCs w:val="10"/>
                <w:color w:val="auto"/>
              </w:rPr>
            </w:pPr>
          </w:p>
        </w:tc>
      </w:tr>
      <w:tr>
        <w:trPr>
          <w:trHeight w:val="109"/>
        </w:trPr>
        <w:tc>
          <w:tcPr>
            <w:tcW w:w="342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Total operating expenses</w:t>
            </w:r>
          </w:p>
        </w:tc>
        <w:tc>
          <w:tcPr>
            <w:tcW w:w="92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39,003</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31,355</w:t>
            </w:r>
          </w:p>
        </w:tc>
        <w:tc>
          <w:tcPr>
            <w:tcW w:w="260" w:type="dxa"/>
            <w:vAlign w:val="bottom"/>
            <w:tcBorders>
              <w:bottom w:val="single" w:sz="8" w:color="CFF0FC"/>
            </w:tcBorders>
            <w:shd w:val="clear" w:color="auto" w:fill="CFF0FC"/>
          </w:tcPr>
          <w:p>
            <w:pPr>
              <w:spacing w:after="0"/>
              <w:rPr>
                <w:sz w:val="9"/>
                <w:szCs w:val="9"/>
                <w:color w:val="auto"/>
              </w:rPr>
            </w:pPr>
          </w:p>
        </w:tc>
      </w:tr>
      <w:tr>
        <w:trPr>
          <w:trHeight w:val="109"/>
        </w:trPr>
        <w:tc>
          <w:tcPr>
            <w:tcW w:w="342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Loss from operations</w:t>
            </w:r>
          </w:p>
        </w:tc>
        <w:tc>
          <w:tcPr>
            <w:tcW w:w="920" w:type="dxa"/>
            <w:vAlign w:val="bottom"/>
          </w:tcPr>
          <w:p>
            <w:pPr>
              <w:spacing w:after="0"/>
              <w:rPr>
                <w:sz w:val="9"/>
                <w:szCs w:val="9"/>
                <w:color w:val="auto"/>
              </w:rPr>
            </w:pPr>
          </w:p>
        </w:tc>
        <w:tc>
          <w:tcPr>
            <w:tcW w:w="7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(10,674)</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(10,670)</w:t>
            </w:r>
          </w:p>
        </w:tc>
      </w:tr>
      <w:tr>
        <w:trPr>
          <w:trHeight w:val="118"/>
        </w:trPr>
        <w:tc>
          <w:tcPr>
            <w:tcW w:w="34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income (expense), net:</w:t>
            </w:r>
          </w:p>
        </w:tc>
        <w:tc>
          <w:tcPr>
            <w:tcW w:w="9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expense</w:t>
            </w:r>
          </w:p>
        </w:tc>
        <w:tc>
          <w:tcPr>
            <w:tcW w:w="920" w:type="dxa"/>
            <w:vAlign w:val="bottom"/>
          </w:tcPr>
          <w:p>
            <w:pPr>
              <w:spacing w:after="0"/>
              <w:rPr>
                <w:sz w:val="10"/>
                <w:szCs w:val="10"/>
                <w:color w:val="auto"/>
              </w:rPr>
            </w:pP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(6)</w:t>
            </w:r>
          </w:p>
        </w:tc>
      </w:tr>
      <w:tr>
        <w:trPr>
          <w:trHeight w:val="118"/>
        </w:trPr>
        <w:tc>
          <w:tcPr>
            <w:tcW w:w="3420" w:type="dxa"/>
            <w:vAlign w:val="bottom"/>
            <w:tcBorders>
              <w:bottom w:val="single" w:sz="8" w:color="CFF0FC"/>
            </w:tcBorders>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and other income</w:t>
            </w:r>
          </w:p>
        </w:tc>
        <w:tc>
          <w:tcPr>
            <w:tcW w:w="9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2,508</w:t>
            </w: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1,585</w:t>
            </w:r>
          </w:p>
        </w:tc>
        <w:tc>
          <w:tcPr>
            <w:tcW w:w="260" w:type="dxa"/>
            <w:vAlign w:val="bottom"/>
            <w:tcBorders>
              <w:bottom w:val="single" w:sz="8" w:color="CFF0FC"/>
            </w:tcBorders>
            <w:shd w:val="clear" w:color="auto" w:fill="CFF0FC"/>
          </w:tcPr>
          <w:p>
            <w:pPr>
              <w:spacing w:after="0"/>
              <w:rPr>
                <w:sz w:val="10"/>
                <w:szCs w:val="10"/>
                <w:color w:val="auto"/>
              </w:rPr>
            </w:pPr>
          </w:p>
        </w:tc>
      </w:tr>
      <w:tr>
        <w:trPr>
          <w:trHeight w:val="109"/>
        </w:trPr>
        <w:tc>
          <w:tcPr>
            <w:tcW w:w="342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Loss before income taxes</w:t>
            </w:r>
          </w:p>
        </w:tc>
        <w:tc>
          <w:tcPr>
            <w:tcW w:w="920" w:type="dxa"/>
            <w:vAlign w:val="bottom"/>
          </w:tcPr>
          <w:p>
            <w:pPr>
              <w:spacing w:after="0"/>
              <w:rPr>
                <w:sz w:val="9"/>
                <w:szCs w:val="9"/>
                <w:color w:val="auto"/>
              </w:rPr>
            </w:pPr>
          </w:p>
        </w:tc>
        <w:tc>
          <w:tcPr>
            <w:tcW w:w="7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(8,172)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(9,091)</w:t>
            </w:r>
          </w:p>
        </w:tc>
      </w:tr>
      <w:tr>
        <w:trPr>
          <w:trHeight w:val="118"/>
        </w:trPr>
        <w:tc>
          <w:tcPr>
            <w:tcW w:w="342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Income tax expense</w:t>
            </w:r>
          </w:p>
        </w:tc>
        <w:tc>
          <w:tcPr>
            <w:tcW w:w="9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w:t>
            </w:r>
          </w:p>
        </w:tc>
        <w:tc>
          <w:tcPr>
            <w:tcW w:w="260" w:type="dxa"/>
            <w:vAlign w:val="bottom"/>
            <w:tcBorders>
              <w:bottom w:val="single" w:sz="8" w:color="CFF0FC"/>
            </w:tcBorders>
            <w:shd w:val="clear" w:color="auto" w:fill="CFF0FC"/>
          </w:tcPr>
          <w:p>
            <w:pPr>
              <w:spacing w:after="0"/>
              <w:rPr>
                <w:sz w:val="10"/>
                <w:szCs w:val="10"/>
                <w:color w:val="auto"/>
              </w:rPr>
            </w:pPr>
          </w:p>
        </w:tc>
      </w:tr>
      <w:tr>
        <w:trPr>
          <w:trHeight w:val="109"/>
        </w:trPr>
        <w:tc>
          <w:tcPr>
            <w:tcW w:w="3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58"/>
        </w:trPr>
        <w:tc>
          <w:tcPr>
            <w:tcW w:w="342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Borders>
              <w:bottom w:val="single" w:sz="8" w:color="auto"/>
            </w:tcBorders>
            <w:shd w:val="clear" w:color="auto" w:fill="CFF0FC"/>
          </w:tcPr>
          <w:p>
            <w:pPr>
              <w:jc w:val="right"/>
              <w:ind w:right="8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(8,190)</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(9,100)</w:t>
            </w:r>
          </w:p>
        </w:tc>
        <w:tc>
          <w:tcPr>
            <w:tcW w:w="260" w:type="dxa"/>
            <w:vAlign w:val="bottom"/>
            <w:tcBorders>
              <w:bottom w:val="single" w:sz="8" w:color="CFF0FC"/>
            </w:tcBorders>
            <w:shd w:val="clear" w:color="auto" w:fill="CFF0FC"/>
          </w:tcPr>
          <w:p>
            <w:pPr>
              <w:spacing w:after="0"/>
              <w:rPr>
                <w:sz w:val="13"/>
                <w:szCs w:val="13"/>
                <w:color w:val="auto"/>
              </w:rPr>
            </w:pPr>
          </w:p>
        </w:tc>
      </w:tr>
      <w:tr>
        <w:trPr>
          <w:trHeight w:val="90"/>
        </w:trPr>
        <w:tc>
          <w:tcPr>
            <w:tcW w:w="342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auto"/>
              </w:rPr>
              <w:t>Other comprehensive loss</w:t>
            </w: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18"/>
        </w:trPr>
        <w:tc>
          <w:tcPr>
            <w:tcW w:w="342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9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(45)</w:t>
            </w: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Foreign currency translation gain (loss)</w:t>
            </w:r>
          </w:p>
        </w:tc>
        <w:tc>
          <w:tcPr>
            <w:tcW w:w="92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(3)</w:t>
            </w:r>
          </w:p>
        </w:tc>
      </w:tr>
      <w:tr>
        <w:trPr>
          <w:trHeight w:val="20"/>
        </w:trPr>
        <w:tc>
          <w:tcPr>
            <w:tcW w:w="3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9"/>
        </w:trPr>
        <w:tc>
          <w:tcPr>
            <w:tcW w:w="342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Total other comprehensive loss</w:t>
            </w:r>
          </w:p>
        </w:tc>
        <w:tc>
          <w:tcPr>
            <w:tcW w:w="9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(151)</w:t>
            </w: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40" w:type="dxa"/>
            <w:vAlign w:val="bottom"/>
            <w:gridSpan w:val="2"/>
            <w:shd w:val="clear" w:color="auto" w:fill="CFF0FC"/>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(48)</w:t>
            </w:r>
          </w:p>
        </w:tc>
      </w:tr>
      <w:tr>
        <w:trPr>
          <w:trHeight w:val="109"/>
        </w:trPr>
        <w:tc>
          <w:tcPr>
            <w:tcW w:w="3420" w:type="dxa"/>
            <w:vAlign w:val="bottom"/>
            <w:tcBorders>
              <w:top w:val="single" w:sz="8" w:color="CFF0F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r>
      <w:tr>
        <w:trPr>
          <w:trHeight w:val="158"/>
        </w:trPr>
        <w:tc>
          <w:tcPr>
            <w:tcW w:w="342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Comprehensive loss</w:t>
            </w:r>
          </w:p>
        </w:tc>
        <w:tc>
          <w:tcPr>
            <w:tcW w:w="920" w:type="dxa"/>
            <w:vAlign w:val="bottom"/>
            <w:tcBorders>
              <w:bottom w:val="single" w:sz="8" w:color="auto"/>
            </w:tcBorders>
            <w:shd w:val="clear" w:color="auto" w:fill="CFF0FC"/>
          </w:tcPr>
          <w:p>
            <w:pPr>
              <w:jc w:val="right"/>
              <w:ind w:right="8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(8,341)</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(9,148)</w:t>
            </w:r>
          </w:p>
        </w:tc>
        <w:tc>
          <w:tcPr>
            <w:tcW w:w="260" w:type="dxa"/>
            <w:vAlign w:val="bottom"/>
            <w:tcBorders>
              <w:bottom w:val="single" w:sz="8" w:color="CFF0FC"/>
            </w:tcBorders>
            <w:shd w:val="clear" w:color="auto" w:fill="CFF0FC"/>
          </w:tcPr>
          <w:p>
            <w:pPr>
              <w:spacing w:after="0"/>
              <w:rPr>
                <w:sz w:val="13"/>
                <w:szCs w:val="13"/>
                <w:color w:val="auto"/>
              </w:rPr>
            </w:pPr>
          </w:p>
        </w:tc>
      </w:tr>
      <w:tr>
        <w:trPr>
          <w:trHeight w:val="90"/>
        </w:trPr>
        <w:tc>
          <w:tcPr>
            <w:tcW w:w="3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18"/>
        </w:trPr>
        <w:tc>
          <w:tcPr>
            <w:tcW w:w="342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Net loss per share:</w:t>
            </w:r>
          </w:p>
        </w:tc>
        <w:tc>
          <w:tcPr>
            <w:tcW w:w="9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r>
      <w:tr>
        <w:trPr>
          <w:trHeight w:val="118"/>
        </w:trPr>
        <w:tc>
          <w:tcPr>
            <w:tcW w:w="342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Basic &amp; diluted</w:t>
            </w:r>
          </w:p>
        </w:tc>
        <w:tc>
          <w:tcPr>
            <w:tcW w:w="920" w:type="dxa"/>
            <w:vAlign w:val="bottom"/>
          </w:tcPr>
          <w:p>
            <w:pPr>
              <w:jc w:val="right"/>
              <w:ind w:right="80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(0.20)</w:t>
            </w:r>
          </w:p>
        </w:tc>
        <w:tc>
          <w:tcPr>
            <w:tcW w:w="380" w:type="dxa"/>
            <w:vAlign w:val="bottom"/>
            <w:gridSpan w:val="2"/>
          </w:tcPr>
          <w:p>
            <w:pPr>
              <w:jc w:val="right"/>
              <w:ind w:right="1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(0.25)</w:t>
            </w:r>
          </w:p>
        </w:tc>
      </w:tr>
      <w:tr>
        <w:trPr>
          <w:trHeight w:val="101"/>
        </w:trPr>
        <w:tc>
          <w:tcPr>
            <w:tcW w:w="3420" w:type="dxa"/>
            <w:vAlign w:val="bottom"/>
            <w:shd w:val="clear" w:color="auto" w:fill="CFF0FC"/>
          </w:tcPr>
          <w:p>
            <w:pPr>
              <w:ind w:left="140"/>
              <w:spacing w:after="0" w:line="101" w:lineRule="exact"/>
              <w:rPr>
                <w:sz w:val="20"/>
                <w:szCs w:val="20"/>
                <w:color w:val="auto"/>
              </w:rPr>
            </w:pPr>
            <w:r>
              <w:rPr>
                <w:rFonts w:ascii="Times New Roman" w:cs="Times New Roman" w:eastAsia="Times New Roman" w:hAnsi="Times New Roman"/>
                <w:sz w:val="11"/>
                <w:szCs w:val="11"/>
                <w:color w:val="auto"/>
              </w:rPr>
              <w:t>Weighted-average shares used in computing net loss per</w:t>
            </w:r>
          </w:p>
        </w:tc>
        <w:tc>
          <w:tcPr>
            <w:tcW w:w="9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r>
      <w:tr>
        <w:trPr>
          <w:trHeight w:val="135"/>
        </w:trPr>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share:</w:t>
            </w:r>
          </w:p>
        </w:tc>
        <w:tc>
          <w:tcPr>
            <w:tcW w:w="9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r>
      <w:tr>
        <w:trPr>
          <w:trHeight w:val="148"/>
        </w:trPr>
        <w:tc>
          <w:tcPr>
            <w:tcW w:w="34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Attributable to common stock, basic &amp; diluted</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40,509,646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36,843,087</w:t>
            </w:r>
          </w:p>
        </w:tc>
        <w:tc>
          <w:tcPr>
            <w:tcW w:w="2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-1907540</wp:posOffset>
            </wp:positionV>
            <wp:extent cx="406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-1907540</wp:posOffset>
            </wp:positionV>
            <wp:extent cx="406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-1593850</wp:posOffset>
            </wp:positionV>
            <wp:extent cx="406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-1593850</wp:posOffset>
            </wp:positionV>
            <wp:extent cx="406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-1286510</wp:posOffset>
            </wp:positionV>
            <wp:extent cx="406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-1286510</wp:posOffset>
            </wp:positionV>
            <wp:extent cx="4064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-1129665</wp:posOffset>
            </wp:positionV>
            <wp:extent cx="4064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-1129665</wp:posOffset>
            </wp:positionV>
            <wp:extent cx="4064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-972820</wp:posOffset>
            </wp:positionV>
            <wp:extent cx="4064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-959485</wp:posOffset>
            </wp:positionV>
            <wp:extent cx="4064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-972820</wp:posOffset>
            </wp:positionV>
            <wp:extent cx="4064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-959485</wp:posOffset>
            </wp:positionV>
            <wp:extent cx="406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-645795</wp:posOffset>
            </wp:positionV>
            <wp:extent cx="4064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-645795</wp:posOffset>
            </wp:positionV>
            <wp:extent cx="406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-488950</wp:posOffset>
            </wp:positionV>
            <wp:extent cx="4064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-474980</wp:posOffset>
            </wp:positionV>
            <wp:extent cx="4064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-488950</wp:posOffset>
            </wp:positionV>
            <wp:extent cx="4064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-474980</wp:posOffset>
            </wp:positionV>
            <wp:extent cx="406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spacing w:after="0" w:line="234"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54685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6985</wp:posOffset>
            </wp:positionV>
            <wp:extent cx="46164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16450" cy="69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60" w:type="dxa"/>
            <w:vAlign w:val="bottom"/>
            <w:gridSpan w:val="5"/>
            <w:vMerge w:val="restart"/>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2060" w:type="dxa"/>
            <w:vAlign w:val="bottom"/>
            <w:tcBorders>
              <w:bottom w:val="single" w:sz="8" w:color="auto"/>
            </w:tcBorders>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8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94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1"/>
                <w:szCs w:val="11"/>
                <w:color w:val="auto"/>
              </w:rPr>
              <w:t>Balance at December 31, 2024</w:t>
            </w:r>
          </w:p>
        </w:tc>
        <w:tc>
          <w:tcPr>
            <w:tcW w:w="10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40,428,220</w:t>
            </w:r>
          </w:p>
        </w:tc>
        <w:tc>
          <w:tcPr>
            <w:tcW w:w="14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1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40</w:t>
            </w:r>
          </w:p>
        </w:tc>
        <w:tc>
          <w:tcPr>
            <w:tcW w:w="420" w:type="dxa"/>
            <w:vAlign w:val="bottom"/>
            <w:gridSpan w:val="2"/>
            <w:shd w:val="clear" w:color="auto" w:fill="CFF0FC"/>
          </w:tcPr>
          <w:p>
            <w:pPr>
              <w:jc w:val="right"/>
              <w:ind w:right="79"/>
              <w:spacing w:after="0" w:line="11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903,127</w:t>
            </w:r>
          </w:p>
        </w:tc>
        <w:tc>
          <w:tcPr>
            <w:tcW w:w="140" w:type="dxa"/>
            <w:vAlign w:val="bottom"/>
            <w:shd w:val="clear" w:color="auto" w:fill="CFF0FC"/>
          </w:tcPr>
          <w:p>
            <w:pPr>
              <w:spacing w:after="0"/>
              <w:rPr>
                <w:sz w:val="9"/>
                <w:szCs w:val="9"/>
                <w:color w:val="auto"/>
              </w:rPr>
            </w:pPr>
          </w:p>
        </w:tc>
        <w:tc>
          <w:tcPr>
            <w:tcW w:w="18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166</w:t>
            </w:r>
          </w:p>
        </w:tc>
        <w:tc>
          <w:tcPr>
            <w:tcW w:w="12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12"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(622,095)</w:t>
            </w:r>
          </w:p>
        </w:tc>
        <w:tc>
          <w:tcPr>
            <w:tcW w:w="16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281,238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210,332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(50,012)</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7,140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7,140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94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(157)</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1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(8,190)</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(8,190)</w:t>
            </w:r>
          </w:p>
        </w:tc>
        <w:tc>
          <w:tcPr>
            <w:tcW w:w="0" w:type="dxa"/>
            <w:vAlign w:val="bottom"/>
          </w:tcPr>
          <w:p>
            <w:pPr>
              <w:spacing w:after="0"/>
              <w:rPr>
                <w:sz w:val="1"/>
                <w:szCs w:val="1"/>
                <w:color w:val="auto"/>
              </w:rPr>
            </w:pPr>
          </w:p>
        </w:tc>
      </w:tr>
      <w:tr>
        <w:trPr>
          <w:trHeight w:val="109"/>
        </w:trPr>
        <w:tc>
          <w:tcPr>
            <w:tcW w:w="29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2025</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40,588,540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41</w:t>
            </w:r>
          </w:p>
        </w:tc>
        <w:tc>
          <w:tcPr>
            <w:tcW w:w="2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79"/>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909,545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(630,285)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279,316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412750</wp:posOffset>
            </wp:positionV>
            <wp:extent cx="722249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2490"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54685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ectPr>
          <w:pgSz w:w="11900" w:h="16838" w:orient="portrait"/>
          <w:cols w:equalWidth="0" w:num="1">
            <w:col w:w="10320"/>
          </w:cols>
          <w:pgMar w:left="820" w:top="1151" w:right="7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ind w:right="40"/>
        <w:spacing w:after="0" w:line="234"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54685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pacing w:after="0" w:line="2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6985</wp:posOffset>
            </wp:positionV>
            <wp:extent cx="46164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16450" cy="69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60" w:type="dxa"/>
            <w:vAlign w:val="bottom"/>
            <w:gridSpan w:val="5"/>
            <w:vMerge w:val="restart"/>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2060" w:type="dxa"/>
            <w:vAlign w:val="bottom"/>
            <w:tcBorders>
              <w:bottom w:val="single" w:sz="8" w:color="auto"/>
            </w:tcBorders>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8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2023</w:t>
            </w:r>
          </w:p>
        </w:tc>
        <w:tc>
          <w:tcPr>
            <w:tcW w:w="10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36,139,513</w:t>
            </w:r>
          </w:p>
        </w:tc>
        <w:tc>
          <w:tcPr>
            <w:tcW w:w="14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36</w:t>
            </w:r>
          </w:p>
        </w:tc>
        <w:tc>
          <w:tcPr>
            <w:tcW w:w="420" w:type="dxa"/>
            <w:vAlign w:val="bottom"/>
            <w:gridSpan w:val="2"/>
            <w:shd w:val="clear" w:color="auto" w:fill="CFF0FC"/>
          </w:tcPr>
          <w:p>
            <w:pPr>
              <w:jc w:val="right"/>
              <w:ind w:right="79"/>
              <w:spacing w:after="0" w:line="10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754,971</w:t>
            </w:r>
          </w:p>
        </w:tc>
        <w:tc>
          <w:tcPr>
            <w:tcW w:w="140" w:type="dxa"/>
            <w:vAlign w:val="bottom"/>
            <w:shd w:val="clear" w:color="auto" w:fill="CFF0FC"/>
          </w:tcPr>
          <w:p>
            <w:pPr>
              <w:spacing w:after="0"/>
              <w:rPr>
                <w:sz w:val="9"/>
                <w:szCs w:val="9"/>
                <w:color w:val="auto"/>
              </w:rPr>
            </w:pPr>
          </w:p>
        </w:tc>
        <w:tc>
          <w:tcPr>
            <w:tcW w:w="600" w:type="dxa"/>
            <w:vAlign w:val="bottom"/>
            <w:gridSpan w:val="2"/>
            <w:shd w:val="clear" w:color="auto" w:fill="CFF0FC"/>
          </w:tcPr>
          <w:p>
            <w:pPr>
              <w:jc w:val="right"/>
              <w:ind w:right="398"/>
              <w:spacing w:after="0" w:line="10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(594,640)</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160,362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1,061,336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10,152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10,153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18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(39,096)</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(2,134)</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(2,134)</w:t>
            </w: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4,696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4,696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94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0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1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18"/>
        </w:trPr>
        <w:tc>
          <w:tcPr>
            <w:tcW w:w="2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118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(9,100)</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(9,100)</w:t>
            </w:r>
          </w:p>
        </w:tc>
        <w:tc>
          <w:tcPr>
            <w:tcW w:w="0" w:type="dxa"/>
            <w:vAlign w:val="bottom"/>
          </w:tcPr>
          <w:p>
            <w:pPr>
              <w:spacing w:after="0"/>
              <w:rPr>
                <w:sz w:val="1"/>
                <w:szCs w:val="1"/>
                <w:color w:val="auto"/>
              </w:rPr>
            </w:pPr>
          </w:p>
        </w:tc>
      </w:tr>
      <w:tr>
        <w:trPr>
          <w:trHeight w:val="109"/>
        </w:trPr>
        <w:tc>
          <w:tcPr>
            <w:tcW w:w="29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2024</w:t>
            </w:r>
          </w:p>
        </w:tc>
        <w:tc>
          <w:tcPr>
            <w:tcW w:w="10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37,161,753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79"/>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767,685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ind w:right="398"/>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(53)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(603,740)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163,929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412750</wp:posOffset>
            </wp:positionV>
            <wp:extent cx="722249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2490"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54685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6850" cy="13335"/>
                    </a:xfrm>
                    <a:prstGeom prst="rect">
                      <a:avLst/>
                    </a:prstGeom>
                    <a:noFill/>
                  </pic:spPr>
                </pic:pic>
              </a:graphicData>
            </a:graphic>
          </wp:anchor>
        </w:drawing>
      </w:r>
    </w:p>
    <w:p>
      <w:pPr>
        <w:sectPr>
          <w:pgSz w:w="11900" w:h="16838" w:orient="portrait"/>
          <w:cols w:equalWidth="0" w:num="1">
            <w:col w:w="10320"/>
          </w:cols>
          <w:pgMar w:left="820" w:top="1151" w:right="7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ind w:left="4000"/>
        <w:spacing w:after="0"/>
        <w:rPr>
          <w:sz w:val="20"/>
          <w:szCs w:val="20"/>
          <w:color w:val="auto"/>
        </w:rPr>
      </w:pPr>
      <w:r>
        <w:rPr>
          <w:rFonts w:ascii="Times New Roman" w:cs="Times New Roman" w:eastAsia="Times New Roman" w:hAnsi="Times New Roman"/>
          <w:sz w:val="15"/>
          <w:szCs w:val="15"/>
          <w:b w:val="1"/>
          <w:bCs w:val="1"/>
          <w:color w:val="auto"/>
        </w:rPr>
        <w:t>(UNAUDITED)</w:t>
      </w:r>
    </w:p>
    <w:p>
      <w:pPr>
        <w:ind w:left="404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9525</wp:posOffset>
            </wp:positionV>
            <wp:extent cx="4255135"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pacing w:after="0" w:line="86"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212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37"/>
        </w:trPr>
        <w:tc>
          <w:tcPr>
            <w:tcW w:w="4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shd w:val="clear" w:color="auto" w:fill="CFF0FC"/>
          </w:tcPr>
          <w:p>
            <w:pPr>
              <w:jc w:val="right"/>
              <w:ind w:right="485"/>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(8,190)</w:t>
            </w:r>
          </w:p>
        </w:tc>
        <w:tc>
          <w:tcPr>
            <w:tcW w:w="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(9,100)</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776</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1,115</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Provision for bad debts</w:t>
            </w:r>
          </w:p>
        </w:tc>
        <w:tc>
          <w:tcPr>
            <w:tcW w:w="60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right-of-use lease assets</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discount on short-term investments</w:t>
            </w:r>
          </w:p>
        </w:tc>
        <w:tc>
          <w:tcPr>
            <w:tcW w:w="60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(2,411)</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(1,505)</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7,140</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4,696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60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Change in operating assets and liabilities:</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Accounts receivable</w:t>
            </w:r>
          </w:p>
        </w:tc>
        <w:tc>
          <w:tcPr>
            <w:tcW w:w="60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(928)</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(1,269)</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Inventories</w:t>
            </w:r>
          </w:p>
        </w:tc>
        <w:tc>
          <w:tcPr>
            <w:tcW w:w="60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(1,597)</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(1,390)</w:t>
            </w: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Prepaid and other assets</w:t>
            </w:r>
          </w:p>
        </w:tc>
        <w:tc>
          <w:tcPr>
            <w:tcW w:w="60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254</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569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2,226</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1,176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Accrued expenses and other liabilities</w:t>
            </w:r>
          </w:p>
        </w:tc>
        <w:tc>
          <w:tcPr>
            <w:tcW w:w="60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(6,163)</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(3,737)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600" w:type="dxa"/>
            <w:vAlign w:val="bottom"/>
            <w:shd w:val="clear" w:color="auto" w:fill="CFF0FC"/>
          </w:tcPr>
          <w:p>
            <w:pPr>
              <w:spacing w:after="0"/>
              <w:rPr>
                <w:sz w:val="9"/>
                <w:szCs w:val="9"/>
                <w:color w:val="auto"/>
              </w:rPr>
            </w:pPr>
          </w:p>
        </w:tc>
        <w:tc>
          <w:tcPr>
            <w:tcW w:w="50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(8,832)</w:t>
            </w:r>
          </w:p>
        </w:tc>
        <w:tc>
          <w:tcPr>
            <w:tcW w:w="20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(9,309)</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Investing Activities:</w:t>
            </w:r>
          </w:p>
        </w:tc>
        <w:tc>
          <w:tcPr>
            <w:tcW w:w="6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Purchases of property and equipment</w:t>
            </w:r>
          </w:p>
        </w:tc>
        <w:tc>
          <w:tcPr>
            <w:tcW w:w="60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(575)</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(1,967)</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Maturities of short-term investments</w:t>
            </w:r>
          </w:p>
        </w:tc>
        <w:tc>
          <w:tcPr>
            <w:tcW w:w="60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60,000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74,000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Purchases of short-term investments</w:t>
            </w:r>
          </w:p>
        </w:tc>
        <w:tc>
          <w:tcPr>
            <w:tcW w:w="60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w w:val="95"/>
              </w:rPr>
              <w:t>(38,570)</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(47,759)</w:t>
            </w:r>
          </w:p>
        </w:tc>
        <w:tc>
          <w:tcPr>
            <w:tcW w:w="0" w:type="dxa"/>
            <w:vAlign w:val="bottom"/>
          </w:tcPr>
          <w:p>
            <w:pPr>
              <w:spacing w:after="0"/>
              <w:rPr>
                <w:sz w:val="1"/>
                <w:szCs w:val="1"/>
                <w:color w:val="auto"/>
              </w:rPr>
            </w:pPr>
          </w:p>
        </w:tc>
      </w:tr>
      <w:tr>
        <w:trPr>
          <w:trHeight w:val="109"/>
        </w:trPr>
        <w:tc>
          <w:tcPr>
            <w:tcW w:w="4580" w:type="dxa"/>
            <w:vAlign w:val="bottom"/>
            <w:tcBorders>
              <w:top w:val="single" w:sz="8" w:color="CFF0FC"/>
            </w:tcBorders>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provided by investing activities</w:t>
            </w:r>
          </w:p>
        </w:tc>
        <w:tc>
          <w:tcPr>
            <w:tcW w:w="60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20,855</w:t>
            </w:r>
          </w:p>
        </w:tc>
        <w:tc>
          <w:tcPr>
            <w:tcW w:w="160" w:type="dxa"/>
            <w:vAlign w:val="bottom"/>
            <w:tcBorders>
              <w:top w:val="single" w:sz="8" w:color="CFF0FC"/>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24,274</w:t>
            </w: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Financing Activities:</w:t>
            </w:r>
          </w:p>
        </w:tc>
        <w:tc>
          <w:tcPr>
            <w:tcW w:w="6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Proceeds from issuance of common stock</w:t>
            </w:r>
          </w:p>
        </w:tc>
        <w:tc>
          <w:tcPr>
            <w:tcW w:w="60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696</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10,153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Payments for employee taxes related to stock compensation</w:t>
            </w:r>
          </w:p>
        </w:tc>
        <w:tc>
          <w:tcPr>
            <w:tcW w:w="60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(1,418)</w:t>
            </w:r>
          </w:p>
        </w:tc>
        <w:tc>
          <w:tcPr>
            <w:tcW w:w="2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(2,134)</w:t>
            </w: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Principal payments on finance lease liabilities</w:t>
            </w:r>
          </w:p>
        </w:tc>
        <w:tc>
          <w:tcPr>
            <w:tcW w:w="60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200" w:type="dxa"/>
            <w:vAlign w:val="bottom"/>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600" w:type="dxa"/>
            <w:vAlign w:val="bottom"/>
            <w:shd w:val="clear" w:color="auto" w:fill="CFF0FC"/>
          </w:tcPr>
          <w:p>
            <w:pPr>
              <w:spacing w:after="0"/>
              <w:rPr>
                <w:sz w:val="9"/>
                <w:szCs w:val="9"/>
                <w:color w:val="auto"/>
              </w:rPr>
            </w:pPr>
          </w:p>
        </w:tc>
        <w:tc>
          <w:tcPr>
            <w:tcW w:w="50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(735)</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7,992</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Effect of foreign exchange rate on cash, cash equivalents and restricted cash</w:t>
            </w:r>
          </w:p>
        </w:tc>
        <w:tc>
          <w:tcPr>
            <w:tcW w:w="600" w:type="dxa"/>
            <w:vAlign w:val="bottom"/>
          </w:tcPr>
          <w:p>
            <w:pPr>
              <w:spacing w:after="0"/>
              <w:rPr>
                <w:sz w:val="9"/>
                <w:szCs w:val="9"/>
                <w:color w:val="auto"/>
              </w:rPr>
            </w:pPr>
          </w:p>
        </w:tc>
        <w:tc>
          <w:tcPr>
            <w:tcW w:w="3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11,294</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22,954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beginning of period</w:t>
            </w: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17,456</w:t>
            </w: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10,402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end of period</w:t>
            </w:r>
          </w:p>
        </w:tc>
        <w:tc>
          <w:tcPr>
            <w:tcW w:w="600" w:type="dxa"/>
            <w:vAlign w:val="bottom"/>
            <w:tcBorders>
              <w:bottom w:val="single" w:sz="8" w:color="auto"/>
            </w:tcBorders>
            <w:shd w:val="clear" w:color="auto" w:fill="CFF0FC"/>
          </w:tcPr>
          <w:p>
            <w:pPr>
              <w:jc w:val="right"/>
              <w:ind w:right="485"/>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28,750</w:t>
            </w:r>
          </w:p>
        </w:tc>
        <w:tc>
          <w:tcPr>
            <w:tcW w:w="160" w:type="dxa"/>
            <w:vAlign w:val="bottom"/>
            <w:tcBorders>
              <w:bottom w:val="single" w:sz="8" w:color="CFF0FC"/>
              <w:right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33,356</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8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Operating cash flows from operating leases</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694</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548</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paid for income taxes</w:t>
            </w:r>
          </w:p>
        </w:tc>
        <w:tc>
          <w:tcPr>
            <w:tcW w:w="60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458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paid for interest on financing leases</w:t>
            </w:r>
          </w:p>
        </w:tc>
        <w:tc>
          <w:tcPr>
            <w:tcW w:w="6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580" w:type="dxa"/>
            <w:vAlign w:val="bottom"/>
            <w:shd w:val="clear" w:color="auto" w:fill="CFF0FC"/>
          </w:tcPr>
          <w:p>
            <w:pPr>
              <w:ind w:left="140"/>
              <w:spacing w:after="0" w:line="107" w:lineRule="exact"/>
              <w:rPr>
                <w:sz w:val="20"/>
                <w:szCs w:val="20"/>
                <w:color w:val="auto"/>
              </w:rPr>
            </w:pPr>
            <w:r>
              <w:rPr>
                <w:rFonts w:ascii="Times New Roman" w:cs="Times New Roman" w:eastAsia="Times New Roman" w:hAnsi="Times New Roman"/>
                <w:sz w:val="11"/>
                <w:szCs w:val="11"/>
                <w:color w:val="auto"/>
              </w:rPr>
              <w:t>Acquisition of property and equipment included in accounts payable and accrued expenses</w:t>
            </w:r>
          </w:p>
        </w:tc>
        <w:tc>
          <w:tcPr>
            <w:tcW w:w="6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and accrued liabilities</w:t>
            </w: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6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offering and financing costs included in accounts payable and accrued liabilities</w:t>
            </w:r>
          </w:p>
        </w:tc>
        <w:tc>
          <w:tcPr>
            <w:tcW w:w="60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-1724660</wp:posOffset>
            </wp:positionV>
            <wp:extent cx="406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-1724660</wp:posOffset>
            </wp:positionV>
            <wp:extent cx="476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-1417955</wp:posOffset>
            </wp:positionV>
            <wp:extent cx="406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-1417955</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-947420</wp:posOffset>
            </wp:positionV>
            <wp:extent cx="406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-947420</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-633730</wp:posOffset>
            </wp:positionV>
            <wp:extent cx="4064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-619760</wp:posOffset>
            </wp:positionV>
            <wp:extent cx="406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-633730</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-619760</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Presentation</w:t>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RxSight®, Inc. (the “Company”) is a Delaware corporation headquartered in Aliso Viejo, California with one wholly owned subsidiary located in Amsterdam, Netherlands (“RxSight, B.V.”).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p>
    <w:p>
      <w:pPr>
        <w:spacing w:after="0" w:line="78"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The Company’s products, which include the light adjustable lens® (“LAL®” and “LAL+®”, and collectively the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spacing w:after="0" w:line="9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Basis of Presentation and Principles of Consolidation</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2024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2024 Annual Report on Form 10-K filed with the SEC on February 25, 2025. The operating results presented in these unaudited condensed consolidated financial statements are not necessarily indicative of the results that may be expected for any future periods.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1" w:name="page12"/>
    <w:bookmarkEnd w:id="11"/>
    <w:p>
      <w:pPr>
        <w:ind w:left="1160"/>
        <w:spacing w:after="0"/>
        <w:rPr>
          <w:sz w:val="20"/>
          <w:szCs w:val="20"/>
          <w:color w:val="auto"/>
        </w:rPr>
      </w:pPr>
      <w:r>
        <w:rPr>
          <w:rFonts w:ascii="Times New Roman" w:cs="Times New Roman" w:eastAsia="Times New Roman" w:hAnsi="Times New Roman"/>
          <w:sz w:val="14"/>
          <w:szCs w:val="14"/>
          <w:i w:val="1"/>
          <w:iCs w:val="1"/>
          <w:color w:val="auto"/>
        </w:rPr>
        <w:t>Operating Segments</w:t>
      </w:r>
    </w:p>
    <w:p>
      <w:pPr>
        <w:spacing w:after="0" w:line="13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Company determined that it operates and manages its business (including its non-U.S. subsidiaries) in one reportable segment: the research and development, manufacture and sale of light adjustable lenses and related capital equipment. The Company determined its operating segment on the same basis that it uses to evaluate its performance internally. Asset information provided to the CODM is consistent with those reported on the Consolidated Balance Sheets and are primarily attributable to the United States. The key measure of segment profit and loss that the CODM uses to allocate resources and assess performance is the Company’s consolidated net loss. The table below shows a reconciliation of the Company’s net loss, including the significant expense categories regularly provided to and reviewed by the CODM, as computed under U.S. GAAP to the Company’s total consolidated net loss in the Consolidated Statements of Operations:</w:t>
      </w:r>
    </w:p>
    <w:p>
      <w:pPr>
        <w:spacing w:after="0" w:line="80"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3940" w:type="dxa"/>
            <w:vAlign w:val="bottom"/>
          </w:tcPr>
          <w:p>
            <w:pPr>
              <w:spacing w:after="0"/>
              <w:rPr>
                <w:sz w:val="11"/>
                <w:szCs w:val="11"/>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9"/>
        </w:trPr>
        <w:tc>
          <w:tcPr>
            <w:tcW w:w="3940" w:type="dxa"/>
            <w:vAlign w:val="bottom"/>
          </w:tcPr>
          <w:p>
            <w:pPr>
              <w:spacing w:after="0"/>
              <w:rPr>
                <w:sz w:val="9"/>
                <w:szCs w:val="9"/>
                <w:color w:val="auto"/>
              </w:rPr>
            </w:pPr>
          </w:p>
        </w:tc>
        <w:tc>
          <w:tcPr>
            <w:tcW w:w="780" w:type="dxa"/>
            <w:vAlign w:val="bottom"/>
            <w:tcBorders>
              <w:bottom w:val="single" w:sz="8" w:color="auto"/>
            </w:tcBorders>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3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8"/>
        </w:trPr>
        <w:tc>
          <w:tcPr>
            <w:tcW w:w="39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Sales</w:t>
            </w:r>
          </w:p>
        </w:tc>
        <w:tc>
          <w:tcPr>
            <w:tcW w:w="780" w:type="dxa"/>
            <w:vAlign w:val="bottom"/>
            <w:shd w:val="clear" w:color="auto" w:fill="CFF0FC"/>
          </w:tcPr>
          <w:p>
            <w:pPr>
              <w:jc w:val="right"/>
              <w:ind w:right="66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37,895</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74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29,512</w:t>
            </w: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Cost of sales</w:t>
            </w: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9,566</w:t>
            </w:r>
          </w:p>
        </w:tc>
        <w:tc>
          <w:tcPr>
            <w:tcW w:w="2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8,827</w:t>
            </w:r>
          </w:p>
        </w:tc>
        <w:tc>
          <w:tcPr>
            <w:tcW w:w="60" w:type="dxa"/>
            <w:vAlign w:val="bottom"/>
          </w:tcPr>
          <w:p>
            <w:pPr>
              <w:spacing w:after="0"/>
              <w:rPr>
                <w:sz w:val="10"/>
                <w:szCs w:val="10"/>
                <w:color w:val="auto"/>
              </w:rPr>
            </w:pPr>
          </w:p>
        </w:tc>
      </w:tr>
      <w:tr>
        <w:trPr>
          <w:trHeight w:val="109"/>
        </w:trPr>
        <w:tc>
          <w:tcPr>
            <w:tcW w:w="3940" w:type="dxa"/>
            <w:vAlign w:val="bottom"/>
            <w:tcBorders>
              <w:bottom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color w:val="auto"/>
              </w:rPr>
              <w:t>Gross profit</w:t>
            </w:r>
          </w:p>
        </w:tc>
        <w:tc>
          <w:tcPr>
            <w:tcW w:w="7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28,329</w:t>
            </w:r>
          </w:p>
        </w:tc>
        <w:tc>
          <w:tcPr>
            <w:tcW w:w="2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20,685</w:t>
            </w:r>
          </w:p>
        </w:tc>
        <w:tc>
          <w:tcPr>
            <w:tcW w:w="60" w:type="dxa"/>
            <w:vAlign w:val="bottom"/>
            <w:tcBorders>
              <w:bottom w:val="single" w:sz="8" w:color="CFF0FC"/>
            </w:tcBorders>
            <w:shd w:val="clear" w:color="auto" w:fill="CFF0FC"/>
          </w:tcPr>
          <w:p>
            <w:pPr>
              <w:spacing w:after="0"/>
              <w:rPr>
                <w:sz w:val="9"/>
                <w:szCs w:val="9"/>
                <w:color w:val="auto"/>
              </w:rPr>
            </w:pPr>
          </w:p>
        </w:tc>
      </w:tr>
      <w:tr>
        <w:trPr>
          <w:trHeight w:val="109"/>
        </w:trPr>
        <w:tc>
          <w:tcPr>
            <w:tcW w:w="394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Operating expenses:</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8"/>
        </w:trPr>
        <w:tc>
          <w:tcPr>
            <w:tcW w:w="394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Commercial</w:t>
            </w:r>
          </w:p>
        </w:tc>
        <w:tc>
          <w:tcPr>
            <w:tcW w:w="7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21,174</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16,475</w:t>
            </w: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General and administrative</w:t>
            </w:r>
          </w:p>
        </w:tc>
        <w:tc>
          <w:tcPr>
            <w:tcW w:w="7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7,462</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6,849</w:t>
            </w:r>
          </w:p>
        </w:tc>
        <w:tc>
          <w:tcPr>
            <w:tcW w:w="60" w:type="dxa"/>
            <w:vAlign w:val="bottom"/>
          </w:tcPr>
          <w:p>
            <w:pPr>
              <w:spacing w:after="0"/>
              <w:rPr>
                <w:sz w:val="10"/>
                <w:szCs w:val="10"/>
                <w:color w:val="auto"/>
              </w:rPr>
            </w:pPr>
          </w:p>
        </w:tc>
      </w:tr>
      <w:tr>
        <w:trPr>
          <w:trHeight w:val="118"/>
        </w:trPr>
        <w:tc>
          <w:tcPr>
            <w:tcW w:w="3940" w:type="dxa"/>
            <w:vAlign w:val="bottom"/>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Research and development</w:t>
            </w:r>
          </w:p>
        </w:tc>
        <w:tc>
          <w:tcPr>
            <w:tcW w:w="7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9,056</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6,150</w:t>
            </w: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Clinical &amp; regulatory</w:t>
            </w: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1,311</w:t>
            </w:r>
          </w:p>
        </w:tc>
        <w:tc>
          <w:tcPr>
            <w:tcW w:w="2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1,881</w:t>
            </w:r>
          </w:p>
        </w:tc>
        <w:tc>
          <w:tcPr>
            <w:tcW w:w="60" w:type="dxa"/>
            <w:vAlign w:val="bottom"/>
          </w:tcPr>
          <w:p>
            <w:pPr>
              <w:spacing w:after="0"/>
              <w:rPr>
                <w:sz w:val="10"/>
                <w:szCs w:val="10"/>
                <w:color w:val="auto"/>
              </w:rPr>
            </w:pPr>
          </w:p>
        </w:tc>
      </w:tr>
      <w:tr>
        <w:trPr>
          <w:trHeight w:val="109"/>
        </w:trPr>
        <w:tc>
          <w:tcPr>
            <w:tcW w:w="3940" w:type="dxa"/>
            <w:vAlign w:val="bottom"/>
            <w:tcBorders>
              <w:bottom w:val="single" w:sz="8" w:color="CFF0FC"/>
            </w:tcBorders>
            <w:shd w:val="clear" w:color="auto" w:fill="CFF0FC"/>
          </w:tcPr>
          <w:p>
            <w:pPr>
              <w:ind w:left="420"/>
              <w:spacing w:after="0" w:line="109" w:lineRule="exact"/>
              <w:rPr>
                <w:sz w:val="20"/>
                <w:szCs w:val="20"/>
                <w:color w:val="auto"/>
              </w:rPr>
            </w:pPr>
            <w:r>
              <w:rPr>
                <w:rFonts w:ascii="Times New Roman" w:cs="Times New Roman" w:eastAsia="Times New Roman" w:hAnsi="Times New Roman"/>
                <w:sz w:val="11"/>
                <w:szCs w:val="11"/>
                <w:color w:val="auto"/>
              </w:rPr>
              <w:t>Total operating expenses</w:t>
            </w:r>
          </w:p>
        </w:tc>
        <w:tc>
          <w:tcPr>
            <w:tcW w:w="7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39,003</w:t>
            </w:r>
          </w:p>
        </w:tc>
        <w:tc>
          <w:tcPr>
            <w:tcW w:w="2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auto"/>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31,355</w:t>
            </w:r>
          </w:p>
        </w:tc>
        <w:tc>
          <w:tcPr>
            <w:tcW w:w="60" w:type="dxa"/>
            <w:vAlign w:val="bottom"/>
            <w:tcBorders>
              <w:bottom w:val="single" w:sz="8" w:color="CFF0FC"/>
            </w:tcBorders>
            <w:shd w:val="clear" w:color="auto" w:fill="CFF0FC"/>
          </w:tcPr>
          <w:p>
            <w:pPr>
              <w:spacing w:after="0"/>
              <w:rPr>
                <w:sz w:val="9"/>
                <w:szCs w:val="9"/>
                <w:color w:val="auto"/>
              </w:rPr>
            </w:pPr>
          </w:p>
        </w:tc>
      </w:tr>
      <w:tr>
        <w:trPr>
          <w:trHeight w:val="109"/>
        </w:trPr>
        <w:tc>
          <w:tcPr>
            <w:tcW w:w="394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Loss from operations</w:t>
            </w:r>
          </w:p>
        </w:tc>
        <w:tc>
          <w:tcPr>
            <w:tcW w:w="780" w:type="dxa"/>
            <w:vAlign w:val="bottom"/>
          </w:tcPr>
          <w:p>
            <w:pPr>
              <w:spacing w:after="0"/>
              <w:rPr>
                <w:sz w:val="9"/>
                <w:szCs w:val="9"/>
                <w:color w:val="auto"/>
              </w:rPr>
            </w:pPr>
          </w:p>
        </w:tc>
        <w:tc>
          <w:tcPr>
            <w:tcW w:w="6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(10,674)</w:t>
            </w:r>
          </w:p>
        </w:tc>
        <w:tc>
          <w:tcPr>
            <w:tcW w:w="860" w:type="dxa"/>
            <w:vAlign w:val="bottom"/>
          </w:tcPr>
          <w:p>
            <w:pPr>
              <w:spacing w:after="0"/>
              <w:rPr>
                <w:sz w:val="9"/>
                <w:szCs w:val="9"/>
                <w:color w:val="auto"/>
              </w:rPr>
            </w:pPr>
          </w:p>
        </w:tc>
        <w:tc>
          <w:tcPr>
            <w:tcW w:w="44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(10,670)</w:t>
            </w:r>
          </w:p>
        </w:tc>
      </w:tr>
      <w:tr>
        <w:trPr>
          <w:trHeight w:val="118"/>
        </w:trPr>
        <w:tc>
          <w:tcPr>
            <w:tcW w:w="3940" w:type="dxa"/>
            <w:vAlign w:val="bottom"/>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income (expense), net:</w:t>
            </w:r>
          </w:p>
        </w:tc>
        <w:tc>
          <w:tcPr>
            <w:tcW w:w="7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8"/>
        </w:trPr>
        <w:tc>
          <w:tcPr>
            <w:tcW w:w="394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expense</w:t>
            </w:r>
          </w:p>
        </w:tc>
        <w:tc>
          <w:tcPr>
            <w:tcW w:w="780" w:type="dxa"/>
            <w:vAlign w:val="bottom"/>
          </w:tcPr>
          <w:p>
            <w:pPr>
              <w:spacing w:after="0"/>
              <w:rPr>
                <w:sz w:val="10"/>
                <w:szCs w:val="10"/>
                <w:color w:val="auto"/>
              </w:rPr>
            </w:pP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(6)</w:t>
            </w:r>
          </w:p>
        </w:tc>
        <w:tc>
          <w:tcPr>
            <w:tcW w:w="86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w:t>
            </w:r>
          </w:p>
        </w:tc>
      </w:tr>
      <w:tr>
        <w:trPr>
          <w:trHeight w:val="118"/>
        </w:trPr>
        <w:tc>
          <w:tcPr>
            <w:tcW w:w="3940" w:type="dxa"/>
            <w:vAlign w:val="bottom"/>
            <w:tcBorders>
              <w:bottom w:val="single" w:sz="8" w:color="CFF0FC"/>
            </w:tcBorders>
            <w:shd w:val="clear" w:color="auto" w:fill="CFF0FC"/>
          </w:tcPr>
          <w:p>
            <w:pPr>
              <w:ind w:left="280"/>
              <w:spacing w:after="0" w:line="119" w:lineRule="exact"/>
              <w:rPr>
                <w:sz w:val="20"/>
                <w:szCs w:val="20"/>
                <w:color w:val="auto"/>
              </w:rPr>
            </w:pPr>
            <w:r>
              <w:rPr>
                <w:rFonts w:ascii="Times New Roman" w:cs="Times New Roman" w:eastAsia="Times New Roman" w:hAnsi="Times New Roman"/>
                <w:sz w:val="11"/>
                <w:szCs w:val="11"/>
                <w:color w:val="auto"/>
              </w:rPr>
              <w:t>Interest and other income</w:t>
            </w:r>
          </w:p>
        </w:tc>
        <w:tc>
          <w:tcPr>
            <w:tcW w:w="78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2,508</w:t>
            </w:r>
          </w:p>
        </w:tc>
        <w:tc>
          <w:tcPr>
            <w:tcW w:w="24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1,585</w:t>
            </w:r>
          </w:p>
        </w:tc>
        <w:tc>
          <w:tcPr>
            <w:tcW w:w="60" w:type="dxa"/>
            <w:vAlign w:val="bottom"/>
            <w:tcBorders>
              <w:bottom w:val="single" w:sz="8" w:color="CFF0FC"/>
            </w:tcBorders>
            <w:shd w:val="clear" w:color="auto" w:fill="CFF0FC"/>
          </w:tcPr>
          <w:p>
            <w:pPr>
              <w:spacing w:after="0"/>
              <w:rPr>
                <w:sz w:val="10"/>
                <w:szCs w:val="10"/>
                <w:color w:val="auto"/>
              </w:rPr>
            </w:pPr>
          </w:p>
        </w:tc>
      </w:tr>
      <w:tr>
        <w:trPr>
          <w:trHeight w:val="109"/>
        </w:trPr>
        <w:tc>
          <w:tcPr>
            <w:tcW w:w="3940" w:type="dxa"/>
            <w:vAlign w:val="bottom"/>
          </w:tcPr>
          <w:p>
            <w:pPr>
              <w:ind w:left="140"/>
              <w:spacing w:after="0" w:line="109" w:lineRule="exact"/>
              <w:rPr>
                <w:sz w:val="20"/>
                <w:szCs w:val="20"/>
                <w:color w:val="auto"/>
              </w:rPr>
            </w:pPr>
            <w:r>
              <w:rPr>
                <w:rFonts w:ascii="Times New Roman" w:cs="Times New Roman" w:eastAsia="Times New Roman" w:hAnsi="Times New Roman"/>
                <w:sz w:val="11"/>
                <w:szCs w:val="11"/>
                <w:color w:val="auto"/>
              </w:rPr>
              <w:t>Loss before income taxes</w:t>
            </w:r>
          </w:p>
        </w:tc>
        <w:tc>
          <w:tcPr>
            <w:tcW w:w="780" w:type="dxa"/>
            <w:vAlign w:val="bottom"/>
          </w:tcPr>
          <w:p>
            <w:pPr>
              <w:spacing w:after="0"/>
              <w:rPr>
                <w:sz w:val="9"/>
                <w:szCs w:val="9"/>
                <w:color w:val="auto"/>
              </w:rPr>
            </w:pPr>
          </w:p>
        </w:tc>
        <w:tc>
          <w:tcPr>
            <w:tcW w:w="6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(8,172)</w:t>
            </w:r>
          </w:p>
        </w:tc>
        <w:tc>
          <w:tcPr>
            <w:tcW w:w="860" w:type="dxa"/>
            <w:vAlign w:val="bottom"/>
          </w:tcPr>
          <w:p>
            <w:pPr>
              <w:spacing w:after="0"/>
              <w:rPr>
                <w:sz w:val="9"/>
                <w:szCs w:val="9"/>
                <w:color w:val="auto"/>
              </w:rPr>
            </w:pPr>
          </w:p>
        </w:tc>
        <w:tc>
          <w:tcPr>
            <w:tcW w:w="44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(9,091)</w:t>
            </w:r>
          </w:p>
        </w:tc>
      </w:tr>
      <w:tr>
        <w:trPr>
          <w:trHeight w:val="118"/>
        </w:trPr>
        <w:tc>
          <w:tcPr>
            <w:tcW w:w="3940" w:type="dxa"/>
            <w:vAlign w:val="bottom"/>
            <w:tcBorders>
              <w:bottom w:val="single" w:sz="8" w:color="CFF0FC"/>
            </w:tcBorders>
            <w:shd w:val="clear" w:color="auto" w:fill="CFF0FC"/>
          </w:tcPr>
          <w:p>
            <w:pPr>
              <w:ind w:left="140"/>
              <w:spacing w:after="0" w:line="119" w:lineRule="exact"/>
              <w:rPr>
                <w:sz w:val="20"/>
                <w:szCs w:val="20"/>
                <w:color w:val="auto"/>
              </w:rPr>
            </w:pPr>
            <w:r>
              <w:rPr>
                <w:rFonts w:ascii="Times New Roman" w:cs="Times New Roman" w:eastAsia="Times New Roman" w:hAnsi="Times New Roman"/>
                <w:sz w:val="11"/>
                <w:szCs w:val="11"/>
                <w:color w:val="auto"/>
              </w:rPr>
              <w:t>Income tax expense</w:t>
            </w:r>
          </w:p>
        </w:tc>
        <w:tc>
          <w:tcPr>
            <w:tcW w:w="78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24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w:t>
            </w:r>
          </w:p>
        </w:tc>
        <w:tc>
          <w:tcPr>
            <w:tcW w:w="60" w:type="dxa"/>
            <w:vAlign w:val="bottom"/>
            <w:tcBorders>
              <w:bottom w:val="single" w:sz="8" w:color="CFF0FC"/>
            </w:tcBorders>
            <w:shd w:val="clear" w:color="auto" w:fill="CFF0FC"/>
          </w:tcPr>
          <w:p>
            <w:pPr>
              <w:spacing w:after="0"/>
              <w:rPr>
                <w:sz w:val="10"/>
                <w:szCs w:val="10"/>
                <w:color w:val="auto"/>
              </w:rPr>
            </w:pPr>
          </w:p>
        </w:tc>
      </w:tr>
      <w:tr>
        <w:trPr>
          <w:trHeight w:val="109"/>
        </w:trPr>
        <w:tc>
          <w:tcPr>
            <w:tcW w:w="3940" w:type="dxa"/>
            <w:vAlign w:val="bottom"/>
          </w:tcPr>
          <w:p>
            <w:pPr>
              <w:ind w:left="420"/>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Borders>
              <w:bottom w:val="single" w:sz="8" w:color="auto"/>
            </w:tcBorders>
          </w:tcPr>
          <w:p>
            <w:pPr>
              <w:jc w:val="right"/>
              <w:ind w:right="66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(8,190)</w:t>
            </w: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7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(9,100)</w:t>
            </w:r>
          </w:p>
        </w:tc>
        <w:tc>
          <w:tcPr>
            <w:tcW w:w="60" w:type="dxa"/>
            <w:vAlign w:val="bottom"/>
          </w:tcPr>
          <w:p>
            <w:pPr>
              <w:spacing w:after="0"/>
              <w:rPr>
                <w:sz w:val="9"/>
                <w:szCs w:val="9"/>
                <w:color w:val="auto"/>
              </w:rPr>
            </w:pPr>
          </w:p>
        </w:tc>
      </w:tr>
      <w:tr>
        <w:trPr>
          <w:trHeight w:val="20"/>
        </w:trPr>
        <w:tc>
          <w:tcPr>
            <w:tcW w:w="3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-1029335</wp:posOffset>
            </wp:positionV>
            <wp:extent cx="4064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-1029335</wp:posOffset>
            </wp:positionV>
            <wp:extent cx="4064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-565150</wp:posOffset>
            </wp:positionV>
            <wp:extent cx="4064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-565150</wp:posOffset>
            </wp:positionV>
            <wp:extent cx="4064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-258445</wp:posOffset>
            </wp:positionV>
            <wp:extent cx="4064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-258445</wp:posOffset>
            </wp:positionV>
            <wp:extent cx="4064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-101600</wp:posOffset>
            </wp:positionV>
            <wp:extent cx="4064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-101600</wp:posOffset>
            </wp:positionV>
            <wp:extent cx="4064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Liquidity</w:t>
      </w:r>
    </w:p>
    <w:p>
      <w:pPr>
        <w:spacing w:after="0" w:line="131" w:lineRule="exact"/>
        <w:rPr>
          <w:sz w:val="20"/>
          <w:szCs w:val="20"/>
          <w:color w:val="auto"/>
        </w:rPr>
      </w:pPr>
    </w:p>
    <w:p>
      <w:pPr>
        <w:ind w:left="1160" w:right="1719" w:firstLine="258"/>
        <w:spacing w:after="0" w:line="292" w:lineRule="auto"/>
        <w:rPr>
          <w:sz w:val="20"/>
          <w:szCs w:val="20"/>
          <w:color w:val="auto"/>
        </w:rPr>
      </w:pPr>
      <w:r>
        <w:rPr>
          <w:rFonts w:ascii="Times New Roman" w:cs="Times New Roman" w:eastAsia="Times New Roman" w:hAnsi="Times New Roman"/>
          <w:sz w:val="14"/>
          <w:szCs w:val="14"/>
          <w:color w:val="auto"/>
        </w:rPr>
        <w:t>As of March 31, 2025 and December 31, 2024 the Company had cash, cash equivalents and short-term investments of $229.3 million and $237.2 million, respectively.</w:t>
      </w:r>
    </w:p>
    <w:p>
      <w:pPr>
        <w:spacing w:after="0" w:line="70"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March 31, 2025 and 2024, the Company incurred losses from operations of $10.7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8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however for the near future, the Company expects to continue to incur operating losses and negative cash flows. The Company plans to continue to fund its losses from operations using its cash, cash equivalents and short-term investments as of March 31, 2025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w:t>
      </w:r>
    </w:p>
    <w:p>
      <w:pPr>
        <w:spacing w:after="0" w:line="3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12" w:name="page13"/>
    <w:bookmarkEnd w:id="12"/>
    <w:p>
      <w:pPr>
        <w:ind w:left="1160" w:right="1259"/>
        <w:spacing w:after="0" w:line="262" w:lineRule="auto"/>
        <w:rPr>
          <w:sz w:val="20"/>
          <w:szCs w:val="20"/>
          <w:color w:val="auto"/>
        </w:rPr>
      </w:pPr>
      <w:r>
        <w:rPr>
          <w:rFonts w:ascii="Times New Roman" w:cs="Times New Roman" w:eastAsia="Times New Roman" w:hAnsi="Times New Roman"/>
          <w:sz w:val="14"/>
          <w:szCs w:val="14"/>
          <w:color w:val="auto"/>
        </w:rPr>
        <w:t>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2 - Summary of Accounting Policies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1160" w:right="1319" w:firstLine="258"/>
        <w:spacing w:after="0" w:line="262"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99"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There have been no significant changes to the accounting policies during the three months ended March 31, 2025, as compared to the significant accounting policies described in Note 2 of the “Notes to Consolidated Financial Statements” in the Company’s audited consolidated financial statements included in its Annual Report on Form 10-K filed with the SEC on February 25, 2025.</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Cash Equivalents</w:t>
      </w:r>
    </w:p>
    <w:p>
      <w:pPr>
        <w:spacing w:after="0" w:line="99" w:lineRule="exact"/>
        <w:rPr>
          <w:sz w:val="20"/>
          <w:szCs w:val="20"/>
          <w:color w:val="auto"/>
        </w:rPr>
      </w:pPr>
    </w:p>
    <w:p>
      <w:pPr>
        <w:jc w:val="both"/>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9"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256" w:lineRule="exact"/>
        <w:rPr>
          <w:sz w:val="20"/>
          <w:szCs w:val="20"/>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has been in a continuous loss position for over 12 months;</w:t>
      </w:r>
    </w:p>
    <w:p>
      <w:pPr>
        <w:spacing w:after="0" w:line="128"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to maturity of investments;</w:t>
      </w:r>
    </w:p>
    <w:p>
      <w:pPr>
        <w:spacing w:after="0" w:line="128" w:lineRule="exact"/>
        <w:rPr>
          <w:rFonts w:ascii="Times New Roman" w:cs="Times New Roman" w:eastAsia="Times New Roman" w:hAnsi="Times New Roman"/>
          <w:sz w:val="14"/>
          <w:szCs w:val="14"/>
          <w:color w:val="auto"/>
        </w:rPr>
      </w:pPr>
    </w:p>
    <w:p>
      <w:pPr>
        <w:ind w:left="1420" w:right="1399" w:hanging="267"/>
        <w:spacing w:after="0" w:line="292" w:lineRule="auto"/>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 and ability to hold the investment to maturity and if it is not more likely than not that the Company will be required to sell the investment before recovery of the amortized cost basis;</w:t>
      </w:r>
    </w:p>
    <w:p>
      <w:pPr>
        <w:spacing w:after="0" w:line="59"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rating, financial condition and near-term prospects of the issuer; and</w:t>
      </w:r>
    </w:p>
    <w:p>
      <w:pPr>
        <w:spacing w:after="0" w:line="128"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of investments made.</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3" w:name="page14"/>
    <w:bookmarkEnd w:id="13"/>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Company had $33,000 and $190,000 of net unrealized gains related to short-term investments as of March 31, 2025 and December 31, 2024, respectively.</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Concentration of Credit Risk and Other Risks and Uncertainties</w:t>
      </w:r>
    </w:p>
    <w:p>
      <w:pPr>
        <w:spacing w:after="0" w:line="12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264"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88" w:lineRule="exact"/>
        <w:rPr>
          <w:sz w:val="20"/>
          <w:szCs w:val="20"/>
          <w:color w:val="auto"/>
        </w:rPr>
      </w:pPr>
    </w:p>
    <w:p>
      <w:pPr>
        <w:ind w:left="1160" w:right="1459" w:firstLine="258"/>
        <w:spacing w:after="0" w:line="265" w:lineRule="auto"/>
        <w:rPr>
          <w:sz w:val="20"/>
          <w:szCs w:val="20"/>
          <w:color w:val="auto"/>
        </w:rPr>
      </w:pPr>
      <w:r>
        <w:rPr>
          <w:rFonts w:ascii="Times New Roman" w:cs="Times New Roman" w:eastAsia="Times New Roman" w:hAnsi="Times New Roman"/>
          <w:sz w:val="14"/>
          <w:szCs w:val="14"/>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7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is subject to risks from changes in United States trade policy, including recently announced tariffs. The imposition of retaliatory or new tariffs or increases in existing tariffs on goods imported from countries where we source our products could result in increased material costs for our products. The Company is also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Company has a diverse customer base and as of March 31, 2025 and December 31, 2024 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March 31, 2025 or December 31, 2024.</w:t>
      </w:r>
    </w:p>
    <w:p>
      <w:pPr>
        <w:spacing w:after="0" w:line="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80"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Level 1—Observable inputs such as unadjusted quoted prices in active markets that are accessible at the measurement date for identical unrestricted assets or liabilities.</w:t>
      </w:r>
    </w:p>
    <w:p>
      <w:pPr>
        <w:spacing w:after="0" w:line="70"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4" w:name="page15"/>
    <w:bookmarkEnd w:id="14"/>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do not require significant judgment because the inputs used in the model, such as interest rates and volatility, can be corroborated by readily observable market data.</w:t>
      </w:r>
    </w:p>
    <w:p>
      <w:pPr>
        <w:spacing w:after="0" w:line="70"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80"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88"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March 31, 2025 and December 31, 2024, approximated their carrying values, based on the borrowing rates that were available for loans with similar terms as of such date.</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3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200" w:lineRule="exact"/>
        <w:rPr>
          <w:sz w:val="20"/>
          <w:szCs w:val="20"/>
          <w:color w:val="auto"/>
        </w:rPr>
      </w:pPr>
    </w:p>
    <w:p>
      <w:pPr>
        <w:spacing w:after="0" w:line="3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5" w:name="page16"/>
    <w:bookmarkEnd w:id="15"/>
    <w:p>
      <w:pPr>
        <w:ind w:left="1160"/>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20"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9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8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3"/>
        </w:trPr>
        <w:tc>
          <w:tcPr>
            <w:tcW w:w="3880" w:type="dxa"/>
            <w:vAlign w:val="bottom"/>
          </w:tcPr>
          <w:p>
            <w:pPr>
              <w:spacing w:after="0"/>
              <w:rPr>
                <w:sz w:val="14"/>
                <w:szCs w:val="14"/>
                <w:color w:val="auto"/>
              </w:rPr>
            </w:pPr>
          </w:p>
        </w:tc>
        <w:tc>
          <w:tcPr>
            <w:tcW w:w="132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148"/>
        </w:trPr>
        <w:tc>
          <w:tcPr>
            <w:tcW w:w="3880" w:type="dxa"/>
            <w:vAlign w:val="bottom"/>
            <w:tcBorders>
              <w:top w:val="single" w:sz="8" w:color="auto"/>
            </w:tcBorders>
            <w:shd w:val="clear" w:color="auto" w:fill="CFF0FC"/>
          </w:tcPr>
          <w:p>
            <w:pPr>
              <w:ind w:left="140"/>
              <w:spacing w:after="0" w:line="148" w:lineRule="exact"/>
              <w:rPr>
                <w:sz w:val="20"/>
                <w:szCs w:val="20"/>
                <w:color w:val="auto"/>
              </w:rPr>
            </w:pPr>
            <w:r>
              <w:rPr>
                <w:rFonts w:ascii="Times New Roman" w:cs="Times New Roman" w:eastAsia="Times New Roman" w:hAnsi="Times New Roman"/>
                <w:sz w:val="14"/>
                <w:szCs w:val="14"/>
                <w:color w:val="auto"/>
              </w:rPr>
              <w:t>Stock options issued and outstanding under the Calhoun Vision,</w:t>
            </w:r>
          </w:p>
        </w:tc>
        <w:tc>
          <w:tcPr>
            <w:tcW w:w="132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72"/>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Inc. 2006 Stock Plan, Calhoun Vision, Inc. 2015 Equity</w:t>
            </w: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7"/>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Incentive Plan and the 2021 Equity Incentive Plan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4,515,812</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6,065,073</w:t>
            </w:r>
          </w:p>
        </w:tc>
        <w:tc>
          <w:tcPr>
            <w:tcW w:w="60" w:type="dxa"/>
            <w:vAlign w:val="bottom"/>
            <w:shd w:val="clear" w:color="auto" w:fill="CFF0FC"/>
          </w:tcPr>
          <w:p>
            <w:pPr>
              <w:spacing w:after="0"/>
              <w:rPr>
                <w:sz w:val="16"/>
                <w:szCs w:val="16"/>
                <w:color w:val="auto"/>
              </w:rPr>
            </w:pPr>
          </w:p>
        </w:tc>
      </w:tr>
      <w:tr>
        <w:trPr>
          <w:trHeight w:val="157"/>
        </w:trPr>
        <w:tc>
          <w:tcPr>
            <w:tcW w:w="38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Restricted stock units issued under the 2021 Equity Incentive</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451,324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590,346</w:t>
            </w:r>
          </w:p>
        </w:tc>
        <w:tc>
          <w:tcPr>
            <w:tcW w:w="60" w:type="dxa"/>
            <w:vAlign w:val="bottom"/>
          </w:tcPr>
          <w:p>
            <w:pPr>
              <w:spacing w:after="0"/>
              <w:rPr>
                <w:sz w:val="16"/>
                <w:szCs w:val="16"/>
                <w:color w:val="auto"/>
              </w:rPr>
            </w:pPr>
          </w:p>
        </w:tc>
      </w:tr>
      <w:tr>
        <w:trPr>
          <w:trHeight w:val="158"/>
        </w:trPr>
        <w:tc>
          <w:tcPr>
            <w:tcW w:w="388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Stock issuable in offering period under the 2021 Employee</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87"/>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 Purchase Plan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50,425</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43,035</w:t>
            </w:r>
          </w:p>
        </w:tc>
        <w:tc>
          <w:tcPr>
            <w:tcW w:w="60" w:type="dxa"/>
            <w:vAlign w:val="bottom"/>
            <w:shd w:val="clear" w:color="auto" w:fill="CFF0FC"/>
          </w:tcPr>
          <w:p>
            <w:pPr>
              <w:spacing w:after="0"/>
              <w:rPr>
                <w:sz w:val="16"/>
                <w:szCs w:val="16"/>
                <w:color w:val="auto"/>
              </w:rPr>
            </w:pPr>
          </w:p>
        </w:tc>
      </w:tr>
    </w:tbl>
    <w:p>
      <w:pPr>
        <w:spacing w:after="0" w:line="2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99"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Canada and Europe. Customers are primarily comprised of ambulatory surgery centers, hospitals, and physician private practices.</w:t>
      </w:r>
    </w:p>
    <w:p>
      <w:pPr>
        <w:spacing w:after="0" w:line="86"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88"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w:t>
      </w:r>
    </w:p>
    <w:p>
      <w:pPr>
        <w:spacing w:after="0" w:line="3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16" w:name="page17"/>
    <w:bookmarkEnd w:id="16"/>
    <w:p>
      <w:pPr>
        <w:ind w:left="1160" w:right="1159"/>
        <w:spacing w:after="0" w:line="258" w:lineRule="auto"/>
        <w:rPr>
          <w:sz w:val="20"/>
          <w:szCs w:val="20"/>
          <w:color w:val="auto"/>
        </w:rPr>
      </w:pPr>
      <w:r>
        <w:rPr>
          <w:rFonts w:ascii="Times New Roman" w:cs="Times New Roman" w:eastAsia="Times New Roman" w:hAnsi="Times New Roman"/>
          <w:sz w:val="14"/>
          <w:szCs w:val="14"/>
          <w:color w:val="auto"/>
        </w:rPr>
        <w:t>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01"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LALs are generally held at customer sites on consignment. The single performance obligation is satisfied, and revenue from sales is recognized for LALs upon customer notification that the LALs have been implanted in a patient. For the three months ended March 31, 2025 and 2024, credits related to returns and rebates on list prices were not significant.</w:t>
      </w:r>
    </w:p>
    <w:p>
      <w:pPr>
        <w:spacing w:after="0" w:line="76"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8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2025 and 2024, revenue from contracts with customers consisted of the following (in thousands):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3"/>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LDD (including training)</w:t>
            </w:r>
          </w:p>
        </w:tc>
        <w:tc>
          <w:tcPr>
            <w:tcW w:w="11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10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60" w:type="dxa"/>
            <w:vAlign w:val="bottom"/>
            <w:shd w:val="clear" w:color="auto" w:fill="CFF0FC"/>
          </w:tcPr>
          <w:p>
            <w:pPr>
              <w:spacing w:after="0"/>
              <w:rPr>
                <w:sz w:val="14"/>
                <w:szCs w:val="14"/>
                <w:color w:val="auto"/>
              </w:rPr>
            </w:pPr>
          </w:p>
        </w:tc>
      </w:tr>
      <w:tr>
        <w:trPr>
          <w:trHeight w:val="17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LAL</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27,186</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19,916</w:t>
            </w:r>
          </w:p>
        </w:tc>
        <w:tc>
          <w:tcPr>
            <w:tcW w:w="60" w:type="dxa"/>
            <w:vAlign w:val="bottom"/>
          </w:tcPr>
          <w:p>
            <w:pPr>
              <w:spacing w:after="0"/>
              <w:rPr>
                <w:sz w:val="14"/>
                <w:szCs w:val="14"/>
                <w:color w:val="auto"/>
              </w:rPr>
            </w:pPr>
          </w:p>
        </w:tc>
      </w:tr>
      <w:tr>
        <w:trPr>
          <w:trHeight w:val="172"/>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warranty, service contracts, and accessories</w:t>
            </w:r>
          </w:p>
        </w:tc>
        <w:tc>
          <w:tcPr>
            <w:tcW w:w="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sales</w:t>
            </w:r>
          </w:p>
        </w:tc>
        <w:tc>
          <w:tcPr>
            <w:tcW w:w="1180" w:type="dxa"/>
            <w:vAlign w:val="bottom"/>
            <w:gridSpan w:val="2"/>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37,895</w:t>
            </w:r>
          </w:p>
        </w:tc>
        <w:tc>
          <w:tcPr>
            <w:tcW w:w="10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29,512</w:t>
            </w:r>
          </w:p>
        </w:tc>
        <w:tc>
          <w:tcPr>
            <w:tcW w:w="6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-135890</wp:posOffset>
            </wp:positionV>
            <wp:extent cx="406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79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2025 and 2024, the Company did not have any customers who individually accounted for greater than 10% of revenue.</w:t>
      </w:r>
    </w:p>
    <w:p>
      <w:pPr>
        <w:spacing w:after="0" w:line="59"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represents the contract liabilities from sales activity for the three months ended March 31, 2025 and 2024, respectively (in thousands):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740" w:type="dxa"/>
            <w:vAlign w:val="bottom"/>
            <w:gridSpan w:val="2"/>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20" w:type="dxa"/>
            <w:vAlign w:val="bottom"/>
          </w:tcPr>
          <w:p>
            <w:pPr>
              <w:spacing w:after="0"/>
              <w:rPr>
                <w:sz w:val="24"/>
                <w:szCs w:val="24"/>
                <w:color w:val="auto"/>
              </w:rPr>
            </w:pPr>
          </w:p>
        </w:tc>
        <w:tc>
          <w:tcPr>
            <w:tcW w:w="88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1,888</w:t>
            </w:r>
          </w:p>
        </w:tc>
      </w:tr>
      <w:tr>
        <w:trPr>
          <w:trHeight w:val="172"/>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Additions during the period</w:t>
            </w: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963</w:t>
            </w:r>
          </w:p>
        </w:tc>
      </w:tr>
      <w:tr>
        <w:trPr>
          <w:trHeight w:val="172"/>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Revenue recognized during the period</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(1,184)</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(840)</w:t>
            </w:r>
          </w:p>
        </w:tc>
      </w:tr>
      <w:tr>
        <w:trPr>
          <w:trHeight w:val="203"/>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7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-19685</wp:posOffset>
            </wp:positionV>
            <wp:extent cx="406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-6350</wp:posOffset>
            </wp:positionV>
            <wp:extent cx="4064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-19685</wp:posOffset>
            </wp:positionV>
            <wp:extent cx="4064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-6350</wp:posOffset>
            </wp:positionV>
            <wp:extent cx="4064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3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spacing w:after="0" w:line="3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7" w:name="page18"/>
    <w:bookmarkEnd w:id="17"/>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condensed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Forfeitures of unvested stock option awards are recognized as reductions of expense as they occur.</w:t>
      </w:r>
    </w:p>
    <w:p>
      <w:pPr>
        <w:spacing w:after="0" w:line="9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Black-Scholes option-pricing model requires the use of assumptions about a number of variables, such as the fair market value of the Company’s common stock, expected volatility, expected term, risk-free interest rate, and dividend yield as discussed below:</w:t>
      </w:r>
    </w:p>
    <w:p>
      <w:pPr>
        <w:spacing w:after="0" w:line="69" w:lineRule="exact"/>
        <w:rPr>
          <w:sz w:val="20"/>
          <w:szCs w:val="20"/>
          <w:color w:val="auto"/>
        </w:rPr>
      </w:pPr>
    </w:p>
    <w:p>
      <w:pPr>
        <w:ind w:left="1600" w:right="1379"/>
        <w:spacing w:after="0" w:line="295" w:lineRule="auto"/>
        <w:rPr>
          <w:sz w:val="20"/>
          <w:szCs w:val="20"/>
          <w:color w:val="auto"/>
        </w:rPr>
      </w:pPr>
      <w:r>
        <w:rPr>
          <w:rFonts w:ascii="Times New Roman" w:cs="Times New Roman" w:eastAsia="Times New Roman" w:hAnsi="Times New Roman"/>
          <w:sz w:val="14"/>
          <w:szCs w:val="14"/>
          <w:i w:val="1"/>
          <w:iCs w:val="1"/>
          <w:color w:val="auto"/>
        </w:rPr>
        <w:t>Fair market value</w:t>
      </w:r>
      <w:r>
        <w:rPr>
          <w:rFonts w:ascii="Times New Roman" w:cs="Times New Roman" w:eastAsia="Times New Roman" w:hAnsi="Times New Roman"/>
          <w:sz w:val="14"/>
          <w:szCs w:val="14"/>
          <w:color w:val="auto"/>
        </w:rPr>
        <w:t>—The fair value of common stock is determined by using the closing price per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as reported on the Nasdaq Global Market.</w:t>
      </w:r>
    </w:p>
    <w:p>
      <w:pPr>
        <w:spacing w:after="0" w:line="66" w:lineRule="exact"/>
        <w:rPr>
          <w:sz w:val="20"/>
          <w:szCs w:val="20"/>
          <w:color w:val="auto"/>
        </w:rPr>
      </w:pPr>
    </w:p>
    <w:p>
      <w:pPr>
        <w:ind w:left="1600" w:right="1379"/>
        <w:spacing w:after="0" w:line="295"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—Effective January 1, 2024, the Company based the expected volatility on the historic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volatility of its common stock.</w:t>
      </w:r>
    </w:p>
    <w:p>
      <w:pPr>
        <w:spacing w:after="0" w:line="66" w:lineRule="exact"/>
        <w:rPr>
          <w:sz w:val="20"/>
          <w:szCs w:val="20"/>
          <w:color w:val="auto"/>
        </w:rPr>
      </w:pPr>
    </w:p>
    <w:p>
      <w:pPr>
        <w:ind w:left="1600" w:right="1359"/>
        <w:spacing w:after="0" w:line="275"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—The Company’s expected term represents the period that the Company’s stock-based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are expected to be outstanding. The Company used the simplified method (based on the mid-point between the vesting date and the end of the contractual term) to determine the expected term.</w:t>
      </w:r>
    </w:p>
    <w:p>
      <w:pPr>
        <w:spacing w:after="0" w:line="69" w:lineRule="exact"/>
        <w:rPr>
          <w:sz w:val="20"/>
          <w:szCs w:val="20"/>
          <w:color w:val="auto"/>
        </w:rPr>
      </w:pPr>
    </w:p>
    <w:p>
      <w:pPr>
        <w:ind w:left="1600" w:right="1379"/>
        <w:spacing w:after="0" w:line="275" w:lineRule="auto"/>
        <w:rPr>
          <w:sz w:val="20"/>
          <w:szCs w:val="20"/>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—The risk-free interest rate used is based on the published U.S. Department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Treasury interest rates in effect at the time of stock option grant for zero coupon U.S. Treasury notes with maturities approximating each grant’s expected term.</w:t>
      </w:r>
    </w:p>
    <w:p>
      <w:pPr>
        <w:spacing w:after="0" w:line="134" w:lineRule="exact"/>
        <w:rPr>
          <w:sz w:val="20"/>
          <w:szCs w:val="20"/>
          <w:color w:val="auto"/>
        </w:rPr>
      </w:pPr>
    </w:p>
    <w:p>
      <w:pPr>
        <w:ind w:left="1600" w:right="1579"/>
        <w:spacing w:after="0" w:line="295" w:lineRule="auto"/>
        <w:rPr>
          <w:sz w:val="20"/>
          <w:szCs w:val="20"/>
          <w:color w:val="auto"/>
        </w:rPr>
      </w:pPr>
      <w:r>
        <w:rPr>
          <w:rFonts w:ascii="Times New Roman" w:cs="Times New Roman" w:eastAsia="Times New Roman" w:hAnsi="Times New Roman"/>
          <w:sz w:val="14"/>
          <w:szCs w:val="14"/>
          <w:i w:val="1"/>
          <w:iCs w:val="1"/>
          <w:color w:val="auto"/>
        </w:rPr>
        <w:t>Dividend yield</w:t>
      </w:r>
      <w:r>
        <w:rPr>
          <w:rFonts w:ascii="Times New Roman" w:cs="Times New Roman" w:eastAsia="Times New Roman" w:hAnsi="Times New Roman"/>
          <w:sz w:val="14"/>
          <w:szCs w:val="14"/>
          <w:color w:val="auto"/>
        </w:rPr>
        <w:t>—The Company has never paid dividends on its common stock and has no plans to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its common stock. Therefore, the Company used an expected dividend yield of zero.</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13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March 31, 2025 that are of significance or potential significance to the Company.</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3 – Short-Term Investments</w:t>
      </w:r>
    </w:p>
    <w:p>
      <w:pPr>
        <w:spacing w:after="0" w:line="99"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Short-term investments, principally U.S. Treasury bills, are available-for-sale and consisted of the following (in thousands):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64"/>
        </w:trPr>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Unrealized Gain,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3"/>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201,308</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201,341</w:t>
            </w:r>
          </w:p>
        </w:tc>
      </w:tr>
      <w:tr>
        <w:trPr>
          <w:trHeight w:val="240"/>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164"/>
        </w:trPr>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Unrealized Gain,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83"/>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220,327</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220,517</w:t>
            </w: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-442595</wp:posOffset>
            </wp:positionV>
            <wp:extent cx="4064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-429260</wp:posOffset>
            </wp:positionV>
            <wp:extent cx="4064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-442595</wp:posOffset>
            </wp:positionV>
            <wp:extent cx="406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-429260</wp:posOffset>
            </wp:positionV>
            <wp:extent cx="4064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-442595</wp:posOffset>
            </wp:positionV>
            <wp:extent cx="406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-429260</wp:posOffset>
            </wp:positionV>
            <wp:extent cx="4064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-19685</wp:posOffset>
            </wp:positionV>
            <wp:extent cx="406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-6350</wp:posOffset>
            </wp:positionV>
            <wp:extent cx="406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-19685</wp:posOffset>
            </wp:positionV>
            <wp:extent cx="406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-6350</wp:posOffset>
            </wp:positionV>
            <wp:extent cx="4064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All available-for-sale securities held as of March 31, 2025 and December 31, 2024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18" w:name="page19"/>
    <w:bookmarkEnd w:id="18"/>
    <w:tbl>
      <w:tblPr>
        <w:tblLayout w:type="fixed"/>
        <w:tblInd w:w="1160" w:type="dxa"/>
        <w:tblCellMar>
          <w:top w:w="0" w:type="dxa"/>
          <w:left w:w="0" w:type="dxa"/>
          <w:bottom w:w="0" w:type="dxa"/>
          <w:right w:w="0" w:type="dxa"/>
        </w:tblCellMar>
      </w:tblPr>
      <w:tr>
        <w:trPr>
          <w:trHeight w:val="188"/>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8"/>
        </w:trPr>
        <w:tc>
          <w:tcPr>
            <w:tcW w:w="3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3"/>
        </w:trPr>
        <w:tc>
          <w:tcPr>
            <w:tcW w:w="3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4"/>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12,029</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7,109</w:t>
            </w:r>
          </w:p>
        </w:tc>
      </w:tr>
      <w:tr>
        <w:trPr>
          <w:trHeight w:val="172"/>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Work-in-process</w:t>
            </w: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w:t>
            </w:r>
          </w:p>
        </w:tc>
      </w:tr>
      <w:tr>
        <w:trPr>
          <w:trHeight w:val="16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inventories, gross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22,622</w:t>
            </w:r>
          </w:p>
        </w:tc>
      </w:tr>
      <w:tr>
        <w:trPr>
          <w:trHeight w:val="17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reserve for excess and obsolete inventory</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(579)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0"/>
        </w:trPr>
        <w:tc>
          <w:tcPr>
            <w:tcW w:w="39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r>
      <w:tr>
        <w:trPr>
          <w:trHeight w:val="16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inventories,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22,009</w:t>
            </w: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-360680</wp:posOffset>
            </wp:positionV>
            <wp:extent cx="406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-360680</wp:posOffset>
            </wp:positionV>
            <wp:extent cx="406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-135890</wp:posOffset>
            </wp:positionV>
            <wp:extent cx="406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-135890</wp:posOffset>
            </wp:positionV>
            <wp:extent cx="406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At March 31, 2025 and December 31, 2024, finished goods included $6.1 million and $5.7 million of inventory held on consignment at customer sites, respectively.</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5 – Fair Value Measurements</w:t>
      </w:r>
    </w:p>
    <w:p>
      <w:pPr>
        <w:spacing w:after="0" w:line="99"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spacing w:after="0" w:line="84"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3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63"/>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Money market securities</w:t>
            </w:r>
          </w:p>
        </w:tc>
        <w:tc>
          <w:tcPr>
            <w:tcW w:w="8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20,001</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20,001</w:t>
            </w:r>
          </w:p>
        </w:tc>
        <w:tc>
          <w:tcPr>
            <w:tcW w:w="60" w:type="dxa"/>
            <w:vAlign w:val="bottom"/>
            <w:shd w:val="clear" w:color="auto" w:fill="CFF0FC"/>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201,341</w:t>
            </w:r>
          </w:p>
        </w:tc>
        <w:tc>
          <w:tcPr>
            <w:tcW w:w="60" w:type="dxa"/>
            <w:vAlign w:val="bottom"/>
          </w:tcPr>
          <w:p>
            <w:pPr>
              <w:spacing w:after="0"/>
              <w:rPr>
                <w:sz w:val="14"/>
                <w:szCs w:val="14"/>
                <w:color w:val="auto"/>
              </w:rPr>
            </w:pPr>
          </w:p>
        </w:tc>
      </w:tr>
      <w:tr>
        <w:trPr>
          <w:trHeight w:val="203"/>
        </w:trPr>
        <w:tc>
          <w:tcPr>
            <w:tcW w:w="2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86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20,001</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201,341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221,342</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-19685</wp:posOffset>
            </wp:positionV>
            <wp:extent cx="406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-6350</wp:posOffset>
            </wp:positionV>
            <wp:extent cx="4064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-19685</wp:posOffset>
            </wp:positionV>
            <wp:extent cx="406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-6350</wp:posOffset>
            </wp:positionV>
            <wp:extent cx="406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23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63"/>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Money market securities</w:t>
            </w:r>
          </w:p>
        </w:tc>
        <w:tc>
          <w:tcPr>
            <w:tcW w:w="90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60" w:type="dxa"/>
            <w:vAlign w:val="bottom"/>
            <w:shd w:val="clear" w:color="auto" w:fill="CFF0FC"/>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220,517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220,517</w:t>
            </w:r>
          </w:p>
        </w:tc>
        <w:tc>
          <w:tcPr>
            <w:tcW w:w="60" w:type="dxa"/>
            <w:vAlign w:val="bottom"/>
          </w:tcPr>
          <w:p>
            <w:pPr>
              <w:spacing w:after="0"/>
              <w:rPr>
                <w:sz w:val="14"/>
                <w:szCs w:val="14"/>
                <w:color w:val="auto"/>
              </w:rPr>
            </w:pPr>
          </w:p>
        </w:tc>
      </w:tr>
      <w:tr>
        <w:trPr>
          <w:trHeight w:val="203"/>
        </w:trPr>
        <w:tc>
          <w:tcPr>
            <w:tcW w:w="2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90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220,517</w:t>
            </w: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229,745</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-19685</wp:posOffset>
            </wp:positionV>
            <wp:extent cx="406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-6350</wp:posOffset>
            </wp:positionV>
            <wp:extent cx="4064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-19685</wp:posOffset>
            </wp:positionV>
            <wp:extent cx="4064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-6350</wp:posOffset>
            </wp:positionV>
            <wp:extent cx="4064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6 – Stock-Based Compensation Expense</w:t>
      </w:r>
    </w:p>
    <w:p>
      <w:pPr>
        <w:spacing w:after="0" w:line="1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has three equity incentive compensation plans: the 2006 Plan, the 2015 Plan and the 2021 Plan.</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2006 Plan</w:t>
      </w:r>
    </w:p>
    <w:p>
      <w:pPr>
        <w:spacing w:after="0" w:line="10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2015 Plan</w:t>
      </w:r>
    </w:p>
    <w:p>
      <w:pPr>
        <w:spacing w:after="0" w:line="10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2015 Plan was originally adopted by the Board and approved by the Company’s stockholders in 2015.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2021 Plan</w:t>
      </w:r>
    </w:p>
    <w:p>
      <w:pPr>
        <w:spacing w:after="0" w:line="10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On July 28, 2021, the 2021 Plan was adopted and approved by the Board and stockholders.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w:t>
      </w: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19" w:name="page20"/>
    <w:bookmarkEnd w:id="19"/>
    <w:p>
      <w:pPr>
        <w:ind w:left="1160" w:right="1159"/>
        <w:spacing w:after="0" w:line="263" w:lineRule="auto"/>
        <w:rPr>
          <w:sz w:val="20"/>
          <w:szCs w:val="20"/>
          <w:color w:val="auto"/>
        </w:rPr>
      </w:pPr>
      <w:r>
        <w:rPr>
          <w:rFonts w:ascii="Times New Roman" w:cs="Times New Roman" w:eastAsia="Times New Roman" w:hAnsi="Times New Roman"/>
          <w:sz w:val="14"/>
          <w:szCs w:val="14"/>
          <w:color w:val="auto"/>
        </w:rPr>
        <w:t>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w:t>
      </w:r>
    </w:p>
    <w:p>
      <w:pPr>
        <w:spacing w:after="0" w:line="9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lesser of: (i) 7,260,406 shares of the Company's common stock; (ii) 4% of the outstanding shares of the Company's common stock on the last day of the immediately preceding fiscal year; or (iii) such other amount as the administrator may determine. The 2021 Plan is administered by the Board. On January 1, 2025 and 2024, the number of shares available under the 2021 Plan increased by 1,617,128 and 1,445,580 shares of common stock, respectively, pursuant to this feature. As of March 31, 2025, the number of shares of the Company’s common stock available for future issuance and not subject to outstanding awards under the 2021 Plan was equal to 642,465 shares of common stock.</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2021 ESPP</w:t>
      </w:r>
    </w:p>
    <w:p>
      <w:pPr>
        <w:spacing w:after="0" w:line="101"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On July 28, 2021, the Board and stockholders adopted and approved the 2021 ESPP. As of March 31, 2025, the number of shares of the Company’s common stock available for future issuance under the 2021 ESPP was equal to 519,595 shares of common stock. The initial purchase period began on November 1, 2021.</w:t>
      </w:r>
    </w:p>
    <w:p>
      <w:pPr>
        <w:spacing w:after="0" w:line="82" w:lineRule="exact"/>
        <w:rPr>
          <w:sz w:val="20"/>
          <w:szCs w:val="20"/>
          <w:color w:val="auto"/>
        </w:rPr>
      </w:pPr>
    </w:p>
    <w:p>
      <w:pPr>
        <w:ind w:left="1160" w:right="1179" w:firstLine="258"/>
        <w:spacing w:after="0" w:line="267" w:lineRule="auto"/>
        <w:rPr>
          <w:sz w:val="20"/>
          <w:szCs w:val="20"/>
          <w:color w:val="auto"/>
        </w:rPr>
      </w:pPr>
      <w:r>
        <w:rPr>
          <w:rFonts w:ascii="Times New Roman" w:cs="Times New Roman" w:eastAsia="Times New Roman" w:hAnsi="Times New Roman"/>
          <w:sz w:val="14"/>
          <w:szCs w:val="14"/>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w:t>
      </w:r>
    </w:p>
    <w:p>
      <w:pPr>
        <w:spacing w:after="0" w:line="26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ESPP will be increased automatically on the first day of each fiscal year beginning with the 2022 fiscal year, by a number equal to the lesser of: (i) 1,452,081 shares; (ii) 1% of the outstanding shares of the Company's common stock on the last day of the immediately preceding fiscal year; or (iii) such other amount as the administrator may determine. The 2021 ESPP is administered by the Board. The Board determined that no additional shares were reserved for issuance on January 1, 2025 and 2024 pursuant to this feature.</w:t>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86"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spacing w:after="0" w:line="3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0" w:name="page21"/>
    <w:bookmarkEnd w:id="20"/>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A summary of the stock option activities related to the Equity Plans for the three months ended March 31, 2025 is presented below:</w:t>
      </w:r>
    </w:p>
    <w:p>
      <w:pPr>
        <w:sectPr>
          <w:pgSz w:w="11900" w:h="16838" w:orient="portrait"/>
          <w:cols w:equalWidth="0" w:num="1">
            <w:col w:w="9019"/>
          </w:cols>
          <w:pgMar w:left="1440" w:top="12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color w:val="auto"/>
        </w:rPr>
        <w:t>Options outstanding as of December 31, 2024</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Granted</w:t>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Exercised</w:t>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Forfeited</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Expired</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Options outstanding as of March 31, 2025</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Exercisable as of March 31, 2025</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Weighted Avg</w:t>
            </w:r>
          </w:p>
        </w:tc>
      </w:t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61"/>
        </w:trPr>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Contractual Life</w:t>
            </w:r>
          </w:p>
        </w:tc>
      </w:tr>
      <w:tr>
        <w:trPr>
          <w:trHeight w:val="171"/>
        </w:trPr>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r>
      <w:tr>
        <w:trPr>
          <w:trHeight w:val="144"/>
        </w:trPr>
        <w:tc>
          <w:tcPr>
            <w:tcW w:w="9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5,906,298</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22.07</w:t>
            </w:r>
          </w:p>
        </w:tc>
        <w:tc>
          <w:tcPr>
            <w:tcW w:w="140" w:type="dxa"/>
            <w:vAlign w:val="bottom"/>
          </w:tcPr>
          <w:p>
            <w:pPr>
              <w:spacing w:after="0"/>
              <w:rPr>
                <w:sz w:val="12"/>
                <w:szCs w:val="12"/>
                <w:color w:val="auto"/>
              </w:rPr>
            </w:pPr>
          </w:p>
        </w:tc>
        <w:tc>
          <w:tcPr>
            <w:tcW w:w="9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6.92</w:t>
            </w:r>
          </w:p>
        </w:tc>
      </w:tr>
      <w:tr>
        <w:trPr>
          <w:trHeight w:val="161"/>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1,230,232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(66,304)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(11,031)</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(6,451)</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2"/>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7,052,744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7.23</w:t>
            </w:r>
          </w:p>
        </w:tc>
      </w:tr>
      <w:tr>
        <w:trPr>
          <w:trHeight w:val="152"/>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3,840,969</w:t>
            </w:r>
          </w:p>
        </w:tc>
        <w:tc>
          <w:tcPr>
            <w:tcW w:w="16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-749300</wp:posOffset>
            </wp:positionV>
            <wp:extent cx="4255135" cy="102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55135" cy="10223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-544830</wp:posOffset>
            </wp:positionV>
            <wp:extent cx="4255135" cy="102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5135" cy="10223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-340360</wp:posOffset>
            </wp:positionV>
            <wp:extent cx="4255135" cy="1092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5135" cy="10922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-121920</wp:posOffset>
            </wp:positionV>
            <wp:extent cx="4255135" cy="122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5135" cy="1225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040" w:space="720"/>
            <w:col w:w="4259"/>
          </w:cols>
          <w:pgMar w:left="1440" w:top="1242" w:right="1440" w:bottom="1440" w:gutter="0" w:footer="0" w:header="0"/>
          <w:type w:val="continuous"/>
        </w:sect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As of March 31, 2025 and December 31, 2024 the intrinsic value of options vested was $40.0 million and $69.3 million, respectively, and of all options outstanding was $50.8 million and $94.4 million, respectively. During the three months ended March 31, 2025 and 2024, the total cash received from the exercise of stock options was $0.7 million and $10.2 million, respectively. The total fair value less strike price of these options was $1.4 million and $34.7 million, respectively.</w:t>
      </w:r>
    </w:p>
    <w:p>
      <w:pPr>
        <w:spacing w:after="0" w:line="78" w:lineRule="exact"/>
        <w:rPr>
          <w:sz w:val="20"/>
          <w:szCs w:val="20"/>
          <w:color w:val="auto"/>
        </w:rPr>
      </w:pPr>
    </w:p>
    <w:p>
      <w:pPr>
        <w:ind w:left="1160" w:right="1599" w:firstLine="258"/>
        <w:spacing w:after="0" w:line="292" w:lineRule="auto"/>
        <w:rPr>
          <w:sz w:val="20"/>
          <w:szCs w:val="20"/>
          <w:color w:val="auto"/>
        </w:rPr>
      </w:pPr>
      <w:r>
        <w:rPr>
          <w:rFonts w:ascii="Times New Roman" w:cs="Times New Roman" w:eastAsia="Times New Roman" w:hAnsi="Times New Roman"/>
          <w:sz w:val="14"/>
          <w:szCs w:val="14"/>
          <w:color w:val="auto"/>
        </w:rPr>
        <w:t>A summary of non-vested restricted stock unit activities for the three months ended March 31, 2025 is as follows:</w:t>
      </w:r>
    </w:p>
    <w:p>
      <w:pPr>
        <w:spacing w:after="0" w:line="7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Weighted</w:t>
            </w:r>
          </w:p>
        </w:tc>
      </w:tr>
      <w:tr>
        <w:trPr>
          <w:trHeight w:val="16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61"/>
        </w:trPr>
        <w:tc>
          <w:tcPr>
            <w:tcW w:w="430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r>
      <w:tr>
        <w:trPr>
          <w:trHeight w:val="171"/>
        </w:trPr>
        <w:tc>
          <w:tcPr>
            <w:tcW w:w="430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4"/>
        </w:trPr>
        <w:tc>
          <w:tcPr>
            <w:tcW w:w="43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Unvested at December 31, 2024</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585,458</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30.64</w:t>
            </w: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382,984</w:t>
            </w: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28.21</w:t>
            </w:r>
          </w:p>
        </w:tc>
      </w:tr>
      <w:tr>
        <w:trPr>
          <w:trHeight w:val="16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(144,028)</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22.75</w:t>
            </w: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(7,928)</w:t>
            </w: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24.22</w:t>
            </w:r>
          </w:p>
        </w:tc>
      </w:tr>
      <w:tr>
        <w:trPr>
          <w:trHeight w:val="20"/>
        </w:trPr>
        <w:tc>
          <w:tcPr>
            <w:tcW w:w="4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Unvested at March 31, 2025</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816,486</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30.95</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-19685</wp:posOffset>
            </wp:positionV>
            <wp:extent cx="406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-6350</wp:posOffset>
            </wp:positionV>
            <wp:extent cx="406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Stock-based compensation expense was classified in the accompanying condensed consolidated statements of operations and comprehensive income (loss) as follows (in thousands):</w:t>
      </w:r>
    </w:p>
    <w:p>
      <w:pPr>
        <w:spacing w:after="0" w:line="7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20" w:type="dxa"/>
            <w:vAlign w:val="bottom"/>
            <w:gridSpan w:val="2"/>
            <w:shd w:val="clear" w:color="auto" w:fill="CFF0FC"/>
          </w:tcPr>
          <w:p>
            <w:pPr>
              <w:jc w:val="right"/>
              <w:ind w:right="99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92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60" w:type="dxa"/>
            <w:vAlign w:val="bottom"/>
            <w:shd w:val="clear" w:color="auto" w:fill="CFF0FC"/>
          </w:tcPr>
          <w:p>
            <w:pPr>
              <w:spacing w:after="0"/>
              <w:rPr>
                <w:sz w:val="13"/>
                <w:szCs w:val="13"/>
                <w:color w:val="auto"/>
              </w:rPr>
            </w:pPr>
          </w:p>
        </w:tc>
      </w:t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4,714</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3,199</w:t>
            </w:r>
          </w:p>
        </w:tc>
        <w:tc>
          <w:tcPr>
            <w:tcW w:w="60" w:type="dxa"/>
            <w:vAlign w:val="bottom"/>
          </w:tcPr>
          <w:p>
            <w:pPr>
              <w:spacing w:after="0"/>
              <w:rPr>
                <w:sz w:val="14"/>
                <w:szCs w:val="14"/>
                <w:color w:val="auto"/>
              </w:rPr>
            </w:pPr>
          </w:p>
        </w:tc>
      </w:tr>
      <w:tr>
        <w:trPr>
          <w:trHeight w:val="161"/>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52"/>
        </w:trPr>
        <w:tc>
          <w:tcPr>
            <w:tcW w:w="3740" w:type="dxa"/>
            <w:vAlign w:val="bottom"/>
          </w:tcPr>
          <w:p>
            <w:pPr>
              <w:spacing w:after="0"/>
              <w:rPr>
                <w:sz w:val="13"/>
                <w:szCs w:val="13"/>
                <w:color w:val="auto"/>
              </w:rPr>
            </w:pPr>
          </w:p>
        </w:tc>
        <w:tc>
          <w:tcPr>
            <w:tcW w:w="1120" w:type="dxa"/>
            <w:vAlign w:val="bottom"/>
            <w:gridSpan w:val="2"/>
          </w:tcPr>
          <w:p>
            <w:pPr>
              <w:jc w:val="right"/>
              <w:ind w:right="99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7,140</w:t>
            </w:r>
          </w:p>
        </w:tc>
        <w:tc>
          <w:tcPr>
            <w:tcW w:w="920" w:type="dxa"/>
            <w:vAlign w:val="bottom"/>
            <w:gridSpan w:val="2"/>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4,696</w:t>
            </w:r>
          </w:p>
        </w:tc>
        <w:tc>
          <w:tcPr>
            <w:tcW w:w="60" w:type="dxa"/>
            <w:vAlign w:val="bottom"/>
          </w:tcPr>
          <w:p>
            <w:pPr>
              <w:spacing w:after="0"/>
              <w:rPr>
                <w:sz w:val="13"/>
                <w:szCs w:val="13"/>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-128905</wp:posOffset>
            </wp:positionV>
            <wp:extent cx="406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-128905</wp:posOffset>
            </wp:positionV>
            <wp:extent cx="4064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8"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As of March 31, 2025 and December 31, 2024, there were 3,211,775 and 2,343,015 unvested options, respectively. As of March 31, 2025 and December 31, 2024, total unrecognized expense related to unvested stock options was approximately $62.3 million and $45.8 million, respectively. Both amounts are expected to be recognized over a weighted average period of approximately 2.8 and 2.4 years, respectively.</w:t>
      </w:r>
    </w:p>
    <w:p>
      <w:pPr>
        <w:spacing w:after="0" w:line="76"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2025, and December 31, 2024, total unrecognized expense related to non-vested restricted stock units was approximately $23.5 million and $15.0 million, respectively. The unrecognized compensation cost is expected to be recognized over a weighted average period of 3.0 years and 2.2 years, respectively.</w:t>
      </w:r>
    </w:p>
    <w:p>
      <w:pPr>
        <w:spacing w:after="0" w:line="3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type w:val="continuous"/>
        </w:sectPr>
      </w:pPr>
    </w:p>
    <w:bookmarkStart w:id="21" w:name="page22"/>
    <w:bookmarkEnd w:id="21"/>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range and weighted-average assumptions, used in the Black-Scholes option pricing model to determine the fair value of stock options:</w:t>
      </w:r>
    </w:p>
    <w:p>
      <w:pPr>
        <w:spacing w:after="0" w:line="65"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09"/>
        </w:trPr>
        <w:tc>
          <w:tcPr>
            <w:tcW w:w="17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ind w:right="1038"/>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3"/>
          </w:tcPr>
          <w:p>
            <w:pPr>
              <w:jc w:val="right"/>
              <w:ind w:right="10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09"/>
        </w:trPr>
        <w:tc>
          <w:tcPr>
            <w:tcW w:w="1700" w:type="dxa"/>
            <w:vAlign w:val="bottom"/>
          </w:tcPr>
          <w:p>
            <w:pPr>
              <w:spacing w:after="0"/>
              <w:rPr>
                <w:sz w:val="9"/>
                <w:szCs w:val="9"/>
                <w:color w:val="auto"/>
              </w:rPr>
            </w:pPr>
          </w:p>
        </w:tc>
        <w:tc>
          <w:tcPr>
            <w:tcW w:w="1100" w:type="dxa"/>
            <w:vAlign w:val="bottom"/>
            <w:tcBorders>
              <w:bottom w:val="single" w:sz="8" w:color="auto"/>
            </w:tcBorders>
          </w:tcPr>
          <w:p>
            <w:pPr>
              <w:jc w:val="center"/>
              <w:ind w:left="11"/>
              <w:spacing w:after="0" w:line="109" w:lineRule="exact"/>
              <w:rPr>
                <w:sz w:val="20"/>
                <w:szCs w:val="20"/>
                <w:color w:val="auto"/>
              </w:rPr>
            </w:pPr>
            <w:r>
              <w:rPr>
                <w:rFonts w:ascii="Times New Roman" w:cs="Times New Roman" w:eastAsia="Times New Roman" w:hAnsi="Times New Roman"/>
                <w:sz w:val="11"/>
                <w:szCs w:val="11"/>
                <w:b w:val="1"/>
                <w:bCs w:val="1"/>
                <w:color w:val="auto"/>
              </w:rPr>
              <w:t>Range</w:t>
            </w:r>
          </w:p>
        </w:tc>
        <w:tc>
          <w:tcPr>
            <w:tcW w:w="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20" w:type="dxa"/>
            <w:vAlign w:val="bottom"/>
          </w:tcPr>
          <w:p>
            <w:pPr>
              <w:spacing w:after="0"/>
              <w:rPr>
                <w:sz w:val="9"/>
                <w:szCs w:val="9"/>
                <w:color w:val="auto"/>
              </w:rPr>
            </w:pPr>
          </w:p>
        </w:tc>
        <w:tc>
          <w:tcPr>
            <w:tcW w:w="1080" w:type="dxa"/>
            <w:vAlign w:val="bottom"/>
            <w:tcBorders>
              <w:bottom w:val="single" w:sz="8" w:color="auto"/>
            </w:tcBorders>
          </w:tcPr>
          <w:p>
            <w:pPr>
              <w:jc w:val="center"/>
              <w:ind w:left="11"/>
              <w:spacing w:after="0" w:line="109" w:lineRule="exact"/>
              <w:rPr>
                <w:sz w:val="20"/>
                <w:szCs w:val="20"/>
                <w:color w:val="auto"/>
              </w:rPr>
            </w:pPr>
            <w:r>
              <w:rPr>
                <w:rFonts w:ascii="Times New Roman" w:cs="Times New Roman" w:eastAsia="Times New Roman" w:hAnsi="Times New Roman"/>
                <w:sz w:val="11"/>
                <w:szCs w:val="11"/>
                <w:b w:val="1"/>
                <w:bCs w:val="1"/>
                <w:color w:val="auto"/>
              </w:rPr>
              <w:t>Range</w:t>
            </w: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63"/>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52.0% to 66.0%</w:t>
            </w:r>
          </w:p>
        </w:tc>
        <w:tc>
          <w:tcPr>
            <w:tcW w:w="1340" w:type="dxa"/>
            <w:vAlign w:val="bottom"/>
            <w:gridSpan w:val="3"/>
            <w:shd w:val="clear" w:color="auto" w:fill="CFF0FC"/>
          </w:tcPr>
          <w:p>
            <w:pPr>
              <w:jc w:val="center"/>
              <w:ind w:left="111"/>
              <w:spacing w:after="0"/>
              <w:rPr>
                <w:sz w:val="20"/>
                <w:szCs w:val="20"/>
                <w:color w:val="auto"/>
              </w:rPr>
            </w:pPr>
            <w:r>
              <w:rPr>
                <w:rFonts w:ascii="Times New Roman" w:cs="Times New Roman" w:eastAsia="Times New Roman" w:hAnsi="Times New Roman"/>
                <w:sz w:val="14"/>
                <w:szCs w:val="14"/>
                <w:color w:val="auto"/>
                <w:w w:val="99"/>
              </w:rPr>
              <w:t>65.8%</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70.7% to 72.3%</w:t>
            </w:r>
          </w:p>
        </w:tc>
        <w:tc>
          <w:tcPr>
            <w:tcW w:w="1360" w:type="dxa"/>
            <w:vAlign w:val="bottom"/>
            <w:gridSpan w:val="3"/>
            <w:shd w:val="clear" w:color="auto" w:fill="CFF0FC"/>
          </w:tcPr>
          <w:p>
            <w:pPr>
              <w:jc w:val="center"/>
              <w:ind w:left="131"/>
              <w:spacing w:after="0"/>
              <w:rPr>
                <w:sz w:val="20"/>
                <w:szCs w:val="20"/>
                <w:color w:val="auto"/>
              </w:rPr>
            </w:pPr>
            <w:r>
              <w:rPr>
                <w:rFonts w:ascii="Times New Roman" w:cs="Times New Roman" w:eastAsia="Times New Roman" w:hAnsi="Times New Roman"/>
                <w:sz w:val="14"/>
                <w:szCs w:val="14"/>
                <w:color w:val="auto"/>
                <w:w w:val="99"/>
              </w:rPr>
              <w:t>71.0%</w:t>
            </w:r>
          </w:p>
        </w:tc>
      </w:tr>
      <w:tr>
        <w:trPr>
          <w:trHeight w:val="17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4.0% to 4.8%</w:t>
            </w:r>
          </w:p>
        </w:tc>
        <w:tc>
          <w:tcPr>
            <w:tcW w:w="1340" w:type="dxa"/>
            <w:vAlign w:val="bottom"/>
            <w:gridSpan w:val="3"/>
          </w:tcPr>
          <w:p>
            <w:pPr>
              <w:jc w:val="center"/>
              <w:ind w:left="131"/>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10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3.9% to 4.3%</w:t>
            </w:r>
          </w:p>
        </w:tc>
        <w:tc>
          <w:tcPr>
            <w:tcW w:w="1360" w:type="dxa"/>
            <w:vAlign w:val="bottom"/>
            <w:gridSpan w:val="3"/>
          </w:tcPr>
          <w:p>
            <w:pPr>
              <w:jc w:val="center"/>
              <w:ind w:left="111"/>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5.5 to 6.1 years</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6.0 years</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6.0 years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6.0 years</w:t>
            </w:r>
          </w:p>
        </w:tc>
      </w:tr>
      <w:tr>
        <w:trPr>
          <w:trHeight w:val="17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0.0%</w:t>
            </w:r>
          </w:p>
        </w:tc>
        <w:tc>
          <w:tcPr>
            <w:tcW w:w="1340" w:type="dxa"/>
            <w:vAlign w:val="bottom"/>
            <w:gridSpan w:val="3"/>
          </w:tcPr>
          <w:p>
            <w:pPr>
              <w:jc w:val="center"/>
              <w:ind w:left="131"/>
              <w:spacing w:after="0"/>
              <w:rPr>
                <w:sz w:val="20"/>
                <w:szCs w:val="20"/>
                <w:color w:val="auto"/>
              </w:rPr>
            </w:pPr>
            <w:r>
              <w:rPr>
                <w:rFonts w:ascii="Times New Roman" w:cs="Times New Roman" w:eastAsia="Times New Roman" w:hAnsi="Times New Roman"/>
                <w:sz w:val="14"/>
                <w:szCs w:val="14"/>
                <w:color w:val="auto"/>
              </w:rPr>
              <w:t>0.0%</w:t>
            </w:r>
          </w:p>
        </w:tc>
        <w:tc>
          <w:tcPr>
            <w:tcW w:w="12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0.0%</w:t>
            </w:r>
          </w:p>
        </w:tc>
        <w:tc>
          <w:tcPr>
            <w:tcW w:w="1360" w:type="dxa"/>
            <w:vAlign w:val="bottom"/>
            <w:gridSpan w:val="3"/>
          </w:tcPr>
          <w:p>
            <w:pPr>
              <w:jc w:val="center"/>
              <w:ind w:left="111"/>
              <w:spacing w:after="0"/>
              <w:rPr>
                <w:sz w:val="20"/>
                <w:szCs w:val="20"/>
                <w:color w:val="auto"/>
              </w:rPr>
            </w:pPr>
            <w:r>
              <w:rPr>
                <w:rFonts w:ascii="Times New Roman" w:cs="Times New Roman" w:eastAsia="Times New Roman" w:hAnsi="Times New Roman"/>
                <w:sz w:val="14"/>
                <w:szCs w:val="14"/>
                <w:color w:val="auto"/>
              </w:rPr>
              <w:t>0.0%</w:t>
            </w:r>
          </w:p>
        </w:tc>
      </w:tr>
      <w:tr>
        <w:trPr>
          <w:trHeight w:val="172"/>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 date fair value</w:t>
            </w:r>
          </w:p>
        </w:tc>
        <w:tc>
          <w:tcPr>
            <w:tcW w:w="11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$24.84 to $33.87</w:t>
            </w:r>
          </w:p>
        </w:tc>
        <w:tc>
          <w:tcPr>
            <w:tcW w:w="1340" w:type="dxa"/>
            <w:vAlign w:val="bottom"/>
            <w:gridSpan w:val="3"/>
            <w:shd w:val="clear" w:color="auto" w:fill="CFF0FC"/>
          </w:tcPr>
          <w:p>
            <w:pPr>
              <w:jc w:val="center"/>
              <w:ind w:left="111"/>
              <w:spacing w:after="0"/>
              <w:rPr>
                <w:sz w:val="20"/>
                <w:szCs w:val="20"/>
                <w:color w:val="auto"/>
              </w:rPr>
            </w:pPr>
            <w:r>
              <w:rPr>
                <w:rFonts w:ascii="Times New Roman" w:cs="Times New Roman" w:eastAsia="Times New Roman" w:hAnsi="Times New Roman"/>
                <w:sz w:val="14"/>
                <w:szCs w:val="14"/>
                <w:color w:val="auto"/>
              </w:rPr>
              <w:t>$28.18</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$36.89 to $56.07</w:t>
            </w:r>
          </w:p>
        </w:tc>
        <w:tc>
          <w:tcPr>
            <w:tcW w:w="1360" w:type="dxa"/>
            <w:vAlign w:val="bottom"/>
            <w:gridSpan w:val="3"/>
            <w:shd w:val="clear" w:color="auto" w:fill="CFF0FC"/>
          </w:tcPr>
          <w:p>
            <w:pPr>
              <w:jc w:val="center"/>
              <w:ind w:left="131"/>
              <w:spacing w:after="0"/>
              <w:rPr>
                <w:sz w:val="20"/>
                <w:szCs w:val="20"/>
                <w:color w:val="auto"/>
              </w:rPr>
            </w:pPr>
            <w:r>
              <w:rPr>
                <w:rFonts w:ascii="Times New Roman" w:cs="Times New Roman" w:eastAsia="Times New Roman" w:hAnsi="Times New Roman"/>
                <w:sz w:val="14"/>
                <w:szCs w:val="14"/>
                <w:color w:val="auto"/>
              </w:rPr>
              <w:t>$55.89</w:t>
            </w:r>
          </w:p>
        </w:tc>
      </w:tr>
    </w:tbl>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22"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Each share of common stock is entitled to one vote. Common stock reserved for future issuance consisted of the following:</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56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 issued and outstanding under the Equity Plans</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7,052,744</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5,906,298</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the 2021 Plan</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642,465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563,311</w:t>
            </w:r>
          </w:p>
        </w:tc>
        <w:tc>
          <w:tcPr>
            <w:tcW w:w="0" w:type="dxa"/>
            <w:vAlign w:val="bottom"/>
          </w:tcPr>
          <w:p>
            <w:pPr>
              <w:spacing w:after="0"/>
              <w:rPr>
                <w:sz w:val="1"/>
                <w:szCs w:val="1"/>
                <w:color w:val="auto"/>
              </w:rPr>
            </w:pPr>
          </w:p>
        </w:tc>
      </w:tr>
      <w:tr>
        <w:trPr>
          <w:trHeight w:val="17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 issued under the 2021 Plan</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816,486</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585,458</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2021 ESPP</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519,595</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9,031,290</w:t>
            </w:r>
          </w:p>
        </w:tc>
        <w:tc>
          <w:tcPr>
            <w:tcW w:w="1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7,574,662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-19685</wp:posOffset>
            </wp:positionV>
            <wp:extent cx="4064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-6350</wp:posOffset>
            </wp:positionV>
            <wp:extent cx="406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7 – Leases</w:t>
      </w:r>
    </w:p>
    <w:p>
      <w:pPr>
        <w:spacing w:after="0" w:line="99"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86"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2025 the Company held four leases for office, manufacturing and warehouse facilities in Aliso Viejo, California. The four leases are for approximately 150,000 square feet in the aggregate. For one such operating lease, the lessor provided $1.1 million in tenant allowances.</w:t>
      </w:r>
    </w:p>
    <w:p>
      <w:pPr>
        <w:spacing w:after="0" w:line="7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lease balances within the Condensed Consolidated Balance Sheets as of March 31, 2025 and December 31, 2024 (in thousands):</w:t>
      </w:r>
    </w:p>
    <w:p>
      <w:pPr>
        <w:spacing w:after="0" w:line="36"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163"/>
        </w:trPr>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10,922</w:t>
            </w:r>
          </w:p>
        </w:tc>
        <w:tc>
          <w:tcPr>
            <w:tcW w:w="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11,217</w:t>
            </w:r>
          </w:p>
        </w:tc>
      </w:tr>
      <w:tr>
        <w:trPr>
          <w:trHeight w:val="17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assets</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11,051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11,342</w:t>
            </w:r>
          </w:p>
        </w:tc>
      </w:tr>
      <w:tr>
        <w:trPr>
          <w:trHeight w:val="144"/>
        </w:trPr>
        <w:tc>
          <w:tcPr>
            <w:tcW w:w="196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r>
      <w:tr>
        <w:trPr>
          <w:trHeight w:val="172"/>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946</w:t>
            </w:r>
          </w:p>
        </w:tc>
      </w:tr>
      <w:tr>
        <w:trPr>
          <w:trHeight w:val="172"/>
        </w:trPr>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Noncurrent</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10,879</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11,216</w:t>
            </w:r>
          </w:p>
        </w:tc>
      </w:tr>
      <w:tr>
        <w:trPr>
          <w:trHeight w:val="172"/>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12,042</w:t>
            </w:r>
          </w:p>
        </w:tc>
        <w:tc>
          <w:tcPr>
            <w:tcW w:w="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12,296</w:t>
            </w: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-920115</wp:posOffset>
            </wp:positionV>
            <wp:extent cx="40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-906145</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-920115</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-906145</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-19685</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-6350</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45"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Maturities of the Company’s operating and finance lease liabilities as of March 31, 2025 were as follows (in thousands):</w:t>
      </w:r>
    </w:p>
    <w:p>
      <w:pPr>
        <w:spacing w:after="0" w:line="3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2" w:name="page23"/>
    <w:bookmarkEnd w:id="22"/>
    <w:tbl>
      <w:tblPr>
        <w:tblLayout w:type="fixed"/>
        <w:tblInd w:w="116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8"/>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6"/>
                <w:szCs w:val="16"/>
                <w:color w:val="auto"/>
              </w:rPr>
            </w:pPr>
          </w:p>
        </w:tc>
      </w:tr>
      <w:tr>
        <w:trPr>
          <w:trHeight w:val="163"/>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2025 (remainder)</w:t>
            </w:r>
          </w:p>
        </w:tc>
        <w:tc>
          <w:tcPr>
            <w:tcW w:w="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4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4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2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4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4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17,987</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180</w:t>
            </w:r>
          </w:p>
        </w:tc>
      </w:tr>
      <w:tr>
        <w:trPr>
          <w:trHeight w:val="172"/>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(6,085)</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r>
      <w:tr>
        <w:trPr>
          <w:trHeight w:val="163"/>
        </w:trPr>
        <w:tc>
          <w:tcPr>
            <w:tcW w:w="2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5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11,902</w:t>
            </w:r>
          </w:p>
        </w:tc>
        <w:tc>
          <w:tcPr>
            <w:tcW w:w="440" w:type="dxa"/>
            <w:vAlign w:val="bottom"/>
            <w:tcBorders>
              <w:top w:val="single" w:sz="8" w:color="CFF0FC"/>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tcBorders>
              <w:top w:val="single" w:sz="8" w:color="CFF0FC"/>
            </w:tcBorders>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-360680</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-360680</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-135890</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3"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weighted average remaining lease term and weighted average discount rate used to determine lease liabilities related to the Company’s operating and finance leases as of March 31, 2025 and December 31, 2024 were:</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163"/>
        </w:trPr>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2"/>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5.83</w:t>
            </w:r>
          </w:p>
        </w:tc>
        <w:tc>
          <w:tcPr>
            <w:tcW w:w="15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6.08</w:t>
            </w:r>
          </w:p>
        </w:tc>
      </w:tr>
      <w:tr>
        <w:trPr>
          <w:trHeight w:val="172"/>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3.60</w:t>
            </w:r>
          </w:p>
        </w:tc>
        <w:tc>
          <w:tcPr>
            <w:tcW w:w="154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rPr>
              <w:t>3.85</w:t>
            </w:r>
          </w:p>
        </w:tc>
      </w:tr>
      <w:tr>
        <w:trPr>
          <w:trHeight w:val="172"/>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14.4%</w:t>
            </w:r>
          </w:p>
        </w:tc>
        <w:tc>
          <w:tcPr>
            <w:tcW w:w="154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w w:val="99"/>
              </w:rPr>
              <w:t>14.4%</w:t>
            </w:r>
          </w:p>
        </w:tc>
      </w:tr>
      <w:tr>
        <w:trPr>
          <w:trHeight w:val="186"/>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14.3%</w:t>
            </w:r>
          </w:p>
        </w:tc>
        <w:tc>
          <w:tcPr>
            <w:tcW w:w="15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w w:val="99"/>
              </w:rPr>
              <w:t>14.4%</w:t>
            </w:r>
          </w:p>
        </w:tc>
      </w:tr>
    </w:tbl>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Legal Matters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March 31, 2025 and December 31, 2024,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00" w:lineRule="exact"/>
        <w:rPr>
          <w:sz w:val="20"/>
          <w:szCs w:val="20"/>
          <w:color w:val="auto"/>
        </w:rPr>
      </w:pPr>
    </w:p>
    <w:p>
      <w:pPr>
        <w:spacing w:after="0" w:line="203" w:lineRule="exact"/>
        <w:rPr>
          <w:sz w:val="20"/>
          <w:szCs w:val="20"/>
          <w:color w:val="auto"/>
        </w:rPr>
      </w:pPr>
    </w:p>
    <w:p>
      <w:pPr>
        <w:ind w:left="1160" w:right="1179"/>
        <w:spacing w:after="0" w:line="295"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34" w:lineRule="exact"/>
        <w:rPr>
          <w:sz w:val="20"/>
          <w:szCs w:val="20"/>
          <w:color w:val="auto"/>
        </w:rPr>
      </w:pPr>
    </w:p>
    <w:p>
      <w:pPr>
        <w:ind w:left="1160" w:right="13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2024, included in our Annual Report on Form 10-K filed with the U.S. Securities and Exchange Commission on February 25, 2025.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elsewhere in, this report. See “Special Note Regarding Forward-Looking Statements.”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50" w:right="1440" w:bottom="1440" w:gutter="0" w:footer="0" w:header="0"/>
        </w:sectPr>
      </w:pPr>
    </w:p>
    <w:bookmarkStart w:id="23" w:name="page24"/>
    <w:bookmarkEnd w:id="23"/>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 collectively the “LAL®”), RxSight Light Delivery Device (“LDD™”), and accessories. Our LAL is a premium intraocular lens (“IOL”) made of proprietary photosensitive material that changes shape in response to specific patterns of ultraviolet (“UV”) light generated by our LDD.</w:t>
      </w:r>
    </w:p>
    <w:p>
      <w:pPr>
        <w:spacing w:after="0" w:line="59"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spacing w:after="0" w:line="59"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58"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We compete primarily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the U.S., Europe, Canada and Mexico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opportunities. New approvals may also be sought in large foreign cataract markets with more complex regulatory processes such as Asia and Europe.</w:t>
      </w:r>
    </w:p>
    <w:p>
      <w:pPr>
        <w:spacing w:after="0" w:line="63"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We are a Delaware corporation headquartered in Aliso Viejo, California with one wholly owned subsidiary located in Amsterdam, Netherlands. The wholly owned subsidiary has a registered branch in the United Kingdom and a wholly owned subsidiary located in Germany.</w:t>
      </w:r>
    </w:p>
    <w:p>
      <w:pPr>
        <w:spacing w:after="0" w:line="50"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3,500 U.S. cataract surgeons that perform 70%-80% of all premium IOL procedures. As of March 31, 2025, we had established an installed base of 1,044 LDDs in ophthalmology practices and, since our inception through March 31, 2025, surgeons have implanted approximately 223,000 LALs.</w:t>
      </w:r>
    </w:p>
    <w:p>
      <w:pPr>
        <w:spacing w:after="0" w:line="59"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p>
    <w:p>
      <w:pPr>
        <w:spacing w:after="0" w:line="60"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4" w:name="page25"/>
    <w:bookmarkEnd w:id="24"/>
    <w:p>
      <w:pPr>
        <w:ind w:left="1160" w:right="1239"/>
        <w:spacing w:after="0" w:line="265" w:lineRule="auto"/>
        <w:rPr>
          <w:sz w:val="20"/>
          <w:szCs w:val="20"/>
          <w:color w:val="auto"/>
        </w:rPr>
      </w:pPr>
      <w:r>
        <w:rPr>
          <w:rFonts w:ascii="Times New Roman" w:cs="Times New Roman" w:eastAsia="Times New Roman" w:hAnsi="Times New Roman"/>
          <w:sz w:val="14"/>
          <w:szCs w:val="14"/>
          <w:color w:val="auto"/>
        </w:rPr>
        <w:t>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56"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(including costs for compliance with Section 404(b) of the Sarbanes-Oxley Act), legal fees, investor relations fees, fees to members of our Board of Directors, and expenses for compliance with public-company reporting requirements. Because of these and other factors, we expect to continue to incur net losses and negative cash flows from operations in the near future.</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w:t>
      </w:r>
    </w:p>
    <w:p>
      <w:pPr>
        <w:spacing w:after="0" w:line="50" w:lineRule="exact"/>
        <w:rPr>
          <w:sz w:val="20"/>
          <w:szCs w:val="20"/>
          <w:color w:val="auto"/>
        </w:rPr>
      </w:pPr>
    </w:p>
    <w:p>
      <w:pPr>
        <w:jc w:val="both"/>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We believe the number of LDDs sold in each quarter and our LDD installed base at the end of each period are important metrics as they represent an installed base into which we can sell our LALs. We also believe the number of LALs sold (reported as implanted in a patient) in each quarter is an important metric indicative of adoption and utilization of our RxSight system.</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52"/>
        </w:trPr>
        <w:tc>
          <w:tcPr>
            <w:tcW w:w="2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Q1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Q1</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Q2</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Q3</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Q4</w:t>
            </w:r>
          </w:p>
        </w:tc>
        <w:tc>
          <w:tcPr>
            <w:tcW w:w="200" w:type="dxa"/>
            <w:vAlign w:val="bottom"/>
          </w:tcPr>
          <w:p>
            <w:pPr>
              <w:spacing w:after="0"/>
              <w:rPr>
                <w:sz w:val="13"/>
                <w:szCs w:val="13"/>
                <w:color w:val="auto"/>
              </w:rPr>
            </w:pPr>
          </w:p>
        </w:tc>
      </w:tr>
      <w:tr>
        <w:trPr>
          <w:trHeight w:val="163"/>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LDDs Sold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shd w:val="clear" w:color="auto" w:fill="CFF0FC"/>
          </w:tcPr>
          <w:p>
            <w:pPr>
              <w:spacing w:after="0"/>
              <w:rPr>
                <w:sz w:val="14"/>
                <w:szCs w:val="14"/>
                <w:color w:val="auto"/>
              </w:rPr>
            </w:pPr>
          </w:p>
        </w:tc>
      </w:tr>
      <w:tr>
        <w:trPr>
          <w:trHeight w:val="172"/>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Installed Base at End of Period</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0" w:type="dxa"/>
            <w:vAlign w:val="bottom"/>
          </w:tcPr>
          <w:p>
            <w:pPr>
              <w:spacing w:after="0"/>
              <w:rPr>
                <w:sz w:val="14"/>
                <w:szCs w:val="14"/>
                <w:color w:val="auto"/>
              </w:rPr>
            </w:pPr>
          </w:p>
        </w:tc>
      </w:tr>
      <w:tr>
        <w:trPr>
          <w:trHeight w:val="367"/>
        </w:trPr>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52"/>
        </w:trPr>
        <w:tc>
          <w:tcPr>
            <w:tcW w:w="2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Q1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Q1</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Q2</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Q3</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Q4</w:t>
            </w:r>
          </w:p>
        </w:tc>
        <w:tc>
          <w:tcPr>
            <w:tcW w:w="200" w:type="dxa"/>
            <w:vAlign w:val="bottom"/>
          </w:tcPr>
          <w:p>
            <w:pPr>
              <w:spacing w:after="0"/>
              <w:rPr>
                <w:sz w:val="13"/>
                <w:szCs w:val="13"/>
                <w:color w:val="auto"/>
              </w:rPr>
            </w:pPr>
          </w:p>
        </w:tc>
      </w:tr>
      <w:tr>
        <w:trPr>
          <w:trHeight w:val="163"/>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LALs Sold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27,579</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24,214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29,069</w:t>
            </w:r>
          </w:p>
        </w:tc>
        <w:tc>
          <w:tcPr>
            <w:tcW w:w="200" w:type="dxa"/>
            <w:vAlign w:val="bottom"/>
            <w:shd w:val="clear" w:color="auto" w:fill="CFF0FC"/>
          </w:tcPr>
          <w:p>
            <w:pPr>
              <w:spacing w:after="0"/>
              <w:rPr>
                <w:sz w:val="14"/>
                <w:szCs w:val="14"/>
                <w:color w:val="auto"/>
              </w:rPr>
            </w:pPr>
          </w:p>
        </w:tc>
      </w:tr>
      <w:tr>
        <w:trPr>
          <w:trHeight w:val="172"/>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bl>
    <w:p>
      <w:pPr>
        <w:spacing w:after="0" w:line="168"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During the quarter ended March 31, 2025, we had increased LDD sales of 7 and increased LAL sales of 7,361 when compared to the quarter ended March 31, 2024 from strong adoption of our RxSight technology by practices and doctors combined with an increased LDD installed base.</w:t>
      </w:r>
    </w:p>
    <w:p>
      <w:pPr>
        <w:spacing w:after="0" w:line="50"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Our quarterly and annual financial results may fluctuate as a result of a variety of factors many of which are outside our control. We may be affected by other seasonal trends in the future, including severe weather (which can impact the number of elective procedures performed), particularly as our business matures. We may not yet be able to accurately assess seasonality and other trends, and we will continue to evaluate our business in the future using these and other financial metrics as we observe trends in our business. To the extent we experience this seasonality, it may cause fluctuations in our operating results and financial metrics and make forecasting our future operating results and financial metrics more difficult.</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5" w:name="page26"/>
    <w:bookmarkEnd w:id="25"/>
    <w:p>
      <w:pPr>
        <w:ind w:left="1160" w:right="1199"/>
        <w:spacing w:after="0" w:line="274" w:lineRule="auto"/>
        <w:rPr>
          <w:sz w:val="20"/>
          <w:szCs w:val="20"/>
          <w:color w:val="auto"/>
        </w:rPr>
      </w:pPr>
      <w:r>
        <w:rPr>
          <w:rFonts w:ascii="Times New Roman" w:cs="Times New Roman" w:eastAsia="Times New Roman" w:hAnsi="Times New Roman"/>
          <w:sz w:val="14"/>
          <w:szCs w:val="14"/>
          <w:color w:val="auto"/>
        </w:rPr>
        <w:t>organization and sales territories, add customers, expand the base of doctors that are trained to use our products, and expand awareness of our products with new and existing customers and as doctors perform more procedures using our products.</w:t>
      </w:r>
    </w:p>
    <w:p>
      <w:pPr>
        <w:spacing w:after="0" w:line="50"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LALs are held at customer sites on consignment. Revenue is recognized for LALs upon customer notification that the LALs have been implanted in a patient.</w:t>
      </w:r>
    </w:p>
    <w:p>
      <w:pPr>
        <w:spacing w:after="0" w:line="38"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w:t>
      </w:r>
    </w:p>
    <w:p>
      <w:pPr>
        <w:spacing w:after="0" w:line="58"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2025 and 2024, revenue from contracts with customers consisted of the following (in thousands):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4"/>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3"/>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LDD (including training)</w:t>
            </w:r>
          </w:p>
        </w:tc>
        <w:tc>
          <w:tcPr>
            <w:tcW w:w="11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10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60" w:type="dxa"/>
            <w:vAlign w:val="bottom"/>
            <w:shd w:val="clear" w:color="auto" w:fill="CFF0FC"/>
          </w:tcPr>
          <w:p>
            <w:pPr>
              <w:spacing w:after="0"/>
              <w:rPr>
                <w:sz w:val="14"/>
                <w:szCs w:val="14"/>
                <w:color w:val="auto"/>
              </w:rPr>
            </w:pPr>
          </w:p>
        </w:tc>
      </w:tr>
      <w:tr>
        <w:trPr>
          <w:trHeight w:val="17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LAL</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27,186</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19,916</w:t>
            </w:r>
          </w:p>
        </w:tc>
        <w:tc>
          <w:tcPr>
            <w:tcW w:w="60" w:type="dxa"/>
            <w:vAlign w:val="bottom"/>
          </w:tcPr>
          <w:p>
            <w:pPr>
              <w:spacing w:after="0"/>
              <w:rPr>
                <w:sz w:val="14"/>
                <w:szCs w:val="14"/>
                <w:color w:val="auto"/>
              </w:rPr>
            </w:pPr>
          </w:p>
        </w:tc>
      </w:tr>
      <w:tr>
        <w:trPr>
          <w:trHeight w:val="172"/>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warranty, service contracts, and accessories</w:t>
            </w:r>
          </w:p>
        </w:tc>
        <w:tc>
          <w:tcPr>
            <w:tcW w:w="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sales</w:t>
            </w:r>
          </w:p>
        </w:tc>
        <w:tc>
          <w:tcPr>
            <w:tcW w:w="1180" w:type="dxa"/>
            <w:vAlign w:val="bottom"/>
            <w:gridSpan w:val="2"/>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37,895</w:t>
            </w:r>
          </w:p>
        </w:tc>
        <w:tc>
          <w:tcPr>
            <w:tcW w:w="10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29,512</w:t>
            </w:r>
          </w:p>
        </w:tc>
        <w:tc>
          <w:tcPr>
            <w:tcW w:w="6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-135890</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2025 and 2024 we did not have any one customer who individually accounted for more than 10% of revenue.</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Cost of sales consist of materials, labor and manufacturing overhead internally to produce our products as well as the cost of shipping and handling. Overhead costs include the cost of quality assurance, material procurement, inventory control, facilities, equipment and operations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58"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We calculate gross margin as gross profit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56"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Our LDD, as is typical of many medical device capital equipment products, has a low gross margin, as the material cost of the LDD is a significant portion of the total cost to manufacture. In addition, we do not mark up our LDD substantially because LDDs, once sold, can generate LAL procedures. Our LAL gross margin is higher, with low material cost but high fixed overhead costs. As our manufacturing volume of the LAL increases, we expect gross margin may improve significantly.</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01"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6" w:name="page27"/>
    <w:bookmarkEnd w:id="26"/>
    <w:p>
      <w:pPr>
        <w:ind w:left="1160" w:right="1279"/>
        <w:spacing w:after="0" w:line="268" w:lineRule="auto"/>
        <w:rPr>
          <w:sz w:val="20"/>
          <w:szCs w:val="20"/>
          <w:color w:val="auto"/>
        </w:rPr>
      </w:pPr>
      <w:r>
        <w:rPr>
          <w:rFonts w:ascii="Times New Roman" w:cs="Times New Roman" w:eastAsia="Times New Roman" w:hAnsi="Times New Roman"/>
          <w:sz w:val="14"/>
          <w:szCs w:val="14"/>
          <w:color w:val="auto"/>
        </w:rPr>
        <w:t>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consists primarily of interest incurred on leases.</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01"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Interest and other income, net consists primarily of interest income earned on our short-term investments and cash equivalents.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01"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7" w:name="page28"/>
    <w:bookmarkEnd w:id="27"/>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2025 and 2024</w:t>
      </w:r>
    </w:p>
    <w:p>
      <w:pPr>
        <w:spacing w:after="0" w:line="101"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March 31, 2025 and 2024 together with the dollar increase or decrease and percentage change in those items.</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37,895</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29,512</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8,382</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28,329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20,685</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7,644</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63"/>
        </w:trPr>
        <w:tc>
          <w:tcPr>
            <w:tcW w:w="2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28,636</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23,324</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6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39,003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31,355</w:t>
            </w:r>
          </w:p>
        </w:tc>
        <w:tc>
          <w:tcPr>
            <w:tcW w:w="16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auto"/>
            </w:tcBorders>
            <w:shd w:val="clear" w:color="auto" w:fill="CFF0FC"/>
          </w:tcPr>
          <w:p>
            <w:pPr>
              <w:spacing w:after="0"/>
              <w:rPr>
                <w:sz w:val="13"/>
                <w:szCs w:val="13"/>
                <w:color w:val="auto"/>
              </w:rPr>
            </w:pPr>
          </w:p>
        </w:tc>
        <w:tc>
          <w:tcPr>
            <w:tcW w:w="620" w:type="dxa"/>
            <w:vAlign w:val="bottom"/>
            <w:tcBorders>
              <w:top w:val="single" w:sz="8" w:color="CFF0FC"/>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7,648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24.4</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(10,674)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(10,670)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2,502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1,579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(8,172)</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(9,091)</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63"/>
        </w:trPr>
        <w:tc>
          <w:tcPr>
            <w:tcW w:w="2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(8,190)</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(9,100)</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3"/>
        </w:trPr>
        <w:tc>
          <w:tcPr>
            <w:tcW w:w="2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(8,341)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(9,148)</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-1949450</wp:posOffset>
            </wp:positionV>
            <wp:extent cx="406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-1949450</wp:posOffset>
            </wp:positionV>
            <wp:extent cx="40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-1949450</wp:posOffset>
            </wp:positionV>
            <wp:extent cx="406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-1949450</wp:posOffset>
            </wp:positionV>
            <wp:extent cx="11620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-1492885</wp:posOffset>
            </wp:positionV>
            <wp:extent cx="406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-1492885</wp:posOffset>
            </wp:positionV>
            <wp:extent cx="4064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-1492885</wp:posOffset>
            </wp:positionV>
            <wp:extent cx="406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-1621155</wp:posOffset>
            </wp:positionV>
            <wp:extent cx="141605" cy="147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1605" cy="1479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-1049655</wp:posOffset>
            </wp:positionV>
            <wp:extent cx="406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-1055370</wp:posOffset>
            </wp:positionV>
            <wp:extent cx="66040" cy="147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-1055370</wp:posOffset>
            </wp:positionV>
            <wp:extent cx="66040" cy="147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-1055370</wp:posOffset>
            </wp:positionV>
            <wp:extent cx="141605" cy="147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1605" cy="14795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-810895</wp:posOffset>
            </wp:positionV>
            <wp:extent cx="406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-810895</wp:posOffset>
            </wp:positionV>
            <wp:extent cx="4064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-810895</wp:posOffset>
            </wp:positionV>
            <wp:extent cx="406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-810895</wp:posOffset>
            </wp:positionV>
            <wp:extent cx="11620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-586105</wp:posOffset>
            </wp:positionV>
            <wp:extent cx="40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-586105</wp:posOffset>
            </wp:positionV>
            <wp:extent cx="4064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-586105</wp:posOffset>
            </wp:positionV>
            <wp:extent cx="406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-586105</wp:posOffset>
            </wp:positionV>
            <wp:extent cx="11620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-135890</wp:posOffset>
            </wp:positionV>
            <wp:extent cx="406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-135890</wp:posOffset>
            </wp:positionV>
            <wp:extent cx="406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-135890</wp:posOffset>
            </wp:positionV>
            <wp:extent cx="406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-135890</wp:posOffset>
            </wp:positionV>
            <wp:extent cx="11620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Sales increased by $8.4 million, or 28.4%, to $37.9 million for the three months ended March 31, 2025, from $29.5 million for the three months ended March 31, 2024. The increase in total sales was primarily due to the incremental sales of 7,361 LALs and 7 LDDs from increased adoption of our RxSight system by practices and doctors.</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Cost of sales increased by $0.7 million, or 8.4%, to $9.5 million for the three months ended March 31, 2025, from $8.8 million for the three months ended March 31, 2024, primarily due to the increase in the number of LALs and LDDs sold during the period. Gross margin increased to 74.8% in the three months ended March 31, 2025, from 70.1% for the three months ended March 31, 2024, primarily due to improved operating leverage, favorable product mix from a greater percentage of revenue from LAL sales, and increased margins on our LDD due to lower material costs.</w:t>
      </w:r>
    </w:p>
    <w:p>
      <w:pPr>
        <w:spacing w:after="0" w:line="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SG&amp;A expenses</w:t>
      </w:r>
    </w:p>
    <w:p>
      <w:pPr>
        <w:spacing w:after="0" w:line="101"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SG&amp;A expenses increased by $5.3 million, or 22.8%, to $28.6 million for the three months ended March 31, 2025, from $23.3 million for the three months ended March 31, 2024. This increase was primarily attributable to an increase in selling and marketing costs of $4.7 million mainly due to $1.7 million from increased salaries from increased headcount of 51, $1.7 million due to additional post market study costs and $0.9 million of increased stock-based compensation expense, in each case when compared to the three months ended March 31, 2024. General</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83" w:right="1440" w:bottom="1440" w:gutter="0" w:footer="0" w:header="0"/>
        </w:sectPr>
      </w:pPr>
    </w:p>
    <w:bookmarkStart w:id="28" w:name="page29"/>
    <w:bookmarkEnd w:id="28"/>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and administrative expenses increased $0.6 million primarily due to increased stock-based compensation expenses of $0.6 million, when compared to the three months ended March 31, 2024.</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increased by $2.3 million, or 29.1%, to $10.4 million for the three months ended March 31, 2025, from $8.0 million for the three months ended March 31, 2024. This increase was primarily attributable to $1.4 million due to increased facility costs, $0.7 million from increased stock-based compensation and $0.9 million in increased personnel costs which were partially offset by $0.6 million in lower post-market study costs when compared to the three months ended March 31, 2024.</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Other income (expense), net, increased $0.9 million to income of $2.5 million for the three months ended March 31, 2025, compared to income of $1.5 million for the three months ended March 31, 2024. The increase was primarily due to increased interest income of $0.9 million from increased cash and short-term investment balances.</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We have incurred significant operating losses and negative cash flows from operations since our inception, and we anticipate that we will incur significant losses in the future.</w:t>
      </w:r>
    </w:p>
    <w:p>
      <w:pPr>
        <w:spacing w:after="0" w:line="38" w:lineRule="exact"/>
        <w:rPr>
          <w:sz w:val="20"/>
          <w:szCs w:val="20"/>
          <w:color w:val="auto"/>
        </w:rPr>
      </w:pPr>
    </w:p>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2025, we had cash, cash equivalents and short-term investments of $229.3 million. Our losses from operations were $10.7 million for the three months ended March 31, 2025, and March 31, 2024, respectively. We had an accumulated deficit of $630.3 million as of March 31, 2025.</w:t>
      </w:r>
    </w:p>
    <w:p>
      <w:pPr>
        <w:spacing w:after="0" w:line="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future liquidity and capital funding requirements will depend on numerous factors, including:</w:t>
      </w:r>
    </w:p>
    <w:p>
      <w:pPr>
        <w:spacing w:after="0" w:line="97" w:lineRule="exact"/>
        <w:rPr>
          <w:sz w:val="20"/>
          <w:szCs w:val="20"/>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growth, including potential international expansion;</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funds or borrow to finance our operations;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6" w:lineRule="exact"/>
        <w:rPr>
          <w:rFonts w:ascii="Times New Roman" w:cs="Times New Roman" w:eastAsia="Times New Roman" w:hAnsi="Times New Roman"/>
          <w:sz w:val="14"/>
          <w:szCs w:val="14"/>
          <w:color w:val="auto"/>
        </w:rPr>
      </w:pPr>
    </w:p>
    <w:p>
      <w:pPr>
        <w:ind w:left="1920" w:right="1379" w:hanging="251"/>
        <w:spacing w:after="0" w:line="268" w:lineRule="auto"/>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4" w:lineRule="exact"/>
        <w:rPr>
          <w:rFonts w:ascii="Times New Roman" w:cs="Times New Roman" w:eastAsia="Times New Roman" w:hAnsi="Times New Roman"/>
          <w:sz w:val="14"/>
          <w:szCs w:val="14"/>
          <w:color w:val="auto"/>
        </w:rPr>
      </w:pPr>
    </w:p>
    <w:p>
      <w:pPr>
        <w:ind w:left="1920" w:right="1459" w:hanging="251"/>
        <w:spacing w:after="0" w:line="292" w:lineRule="auto"/>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920" w:right="1659" w:hanging="251"/>
        <w:spacing w:after="0" w:line="292" w:lineRule="auto"/>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6"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9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9" w:name="page30"/>
    <w:bookmarkEnd w:id="29"/>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private equity offerings or debt financings, credit or loan facilities or by entering into partnerships or a combination of one or more of these funding sources in order to meet our liquidity requirements. If we determine that we need to raise additional funds,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w:t>
      </w:r>
    </w:p>
    <w:p>
      <w:pPr>
        <w:spacing w:after="0" w:line="63"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See Part II, Item 1A (“Risk Factors”) of this report for additional risks associated with our substantial capital requirements.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Summary statement of cash flows</w:t>
      </w:r>
    </w:p>
    <w:p>
      <w:pPr>
        <w:spacing w:after="0" w:line="10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primary sources and uses of cash, cash equivalents, and restricted cash for each of the periods presented below (in thousands):</w:t>
      </w:r>
    </w:p>
    <w:p>
      <w:pPr>
        <w:spacing w:after="0" w:line="4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(8,832)</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20,855</w:t>
            </w:r>
          </w:p>
        </w:tc>
        <w:tc>
          <w:tcPr>
            <w:tcW w:w="18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24,274</w:t>
            </w:r>
          </w:p>
        </w:tc>
        <w:tc>
          <w:tcPr>
            <w:tcW w:w="0" w:type="dxa"/>
            <w:vAlign w:val="bottom"/>
          </w:tcPr>
          <w:p>
            <w:pPr>
              <w:spacing w:after="0"/>
              <w:rPr>
                <w:sz w:val="1"/>
                <w:szCs w:val="1"/>
                <w:color w:val="auto"/>
              </w:rPr>
            </w:pPr>
          </w:p>
        </w:tc>
      </w:tr>
      <w:tr>
        <w:trPr>
          <w:trHeight w:val="17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(735)</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0" w:type="dxa"/>
            <w:vAlign w:val="bottom"/>
          </w:tcPr>
          <w:p>
            <w:pPr>
              <w:spacing w:after="0"/>
              <w:rPr>
                <w:sz w:val="1"/>
                <w:szCs w:val="1"/>
                <w:color w:val="auto"/>
              </w:rPr>
            </w:pPr>
          </w:p>
        </w:tc>
      </w:tr>
      <w:tr>
        <w:trPr>
          <w:trHeight w:val="157"/>
        </w:trPr>
        <w:tc>
          <w:tcPr>
            <w:tcW w:w="458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Effect of foreign exchange rate on cash, cash equivalents</w:t>
            </w:r>
          </w:p>
        </w:tc>
        <w:tc>
          <w:tcPr>
            <w:tcW w:w="10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and restricted cash</w:t>
            </w:r>
          </w:p>
        </w:tc>
        <w:tc>
          <w:tcPr>
            <w:tcW w:w="100" w:type="dxa"/>
            <w:vAlign w:val="bottom"/>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180" w:type="dxa"/>
            <w:vAlign w:val="bottom"/>
          </w:tcPr>
          <w:p>
            <w:pPr>
              <w:spacing w:after="0"/>
              <w:rPr>
                <w:sz w:val="14"/>
                <w:szCs w:val="14"/>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-135890</wp:posOffset>
            </wp:positionV>
            <wp:extent cx="4064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used in operating activities</w:t>
      </w:r>
    </w:p>
    <w:p>
      <w:pPr>
        <w:spacing w:after="0" w:line="99"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2025, was $8.8 million, consisting primarily of a net loss of $8.2 million and a change in operating assets and liabilities of $6.2 million and amortization of discount on short-term investments of $2.4 million, partially offset by non-cash stock-based compensation of $7.1 million and depreciation and amortization of $0.8 million.</w:t>
      </w:r>
    </w:p>
    <w:p>
      <w:pPr>
        <w:spacing w:after="0" w:line="54"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2024, was $9.3 million, consisting primarily of a net loss of $9.1 million and a change in operating assets and liabilities of $4.7 million, partially offset by non-cash stock-based compensation of $4.7 million and depreciation and amortization of $1.1 million.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provided by investing activities</w:t>
      </w:r>
    </w:p>
    <w:p>
      <w:pPr>
        <w:spacing w:after="0" w:line="99"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2025, was $20.9 million, consisting of net maturities of short-term investments of $21.4 million, partially offset by purchases of property and equipment of $0.6 million.</w:t>
      </w:r>
    </w:p>
    <w:p>
      <w:pPr>
        <w:spacing w:after="0" w:line="50"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2024, was $24.3 million, consisting of net maturities of short-term investments of $26.2 million, partially offset by purchases of property and equipment of $2.0 million.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Cash (used in) provided by financing activities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Net used in financing activities for the three months ended March 31, 2025, was $0.7 million consisting primarily of payments for employee taxes related to stock compensation of $1.4 million, partially offset by proceeds from issuance of common stock of $0.7 million.</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0" w:name="page31"/>
    <w:bookmarkEnd w:id="30"/>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Net cash provided by financing activities for the three months ended March 31, 2024, was $8.0 million consisting primarily of proceeds from issuances of common stock of $10.2 million partially offset by payments for employee taxes related to stock compensation of $2.1 million.</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use of estimates</w:t>
      </w:r>
    </w:p>
    <w:p>
      <w:pPr>
        <w:spacing w:after="0" w:line="9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25, 2025. We believe that the accounting policies we use are critical to the process of making significant judgments and estimates in the preparation of our financial statements and understanding and evaluating our reported financial results.</w:t>
      </w:r>
    </w:p>
    <w:p>
      <w:pPr>
        <w:spacing w:after="0" w:line="23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50"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For a summary of our critical accounting policies and estimates, refer to “Management's Discussion and Analysis of Financial Condition and Results of Operations” included in our Annual Report on Form 10-K filed with the SEC on February 25, 2025. There have been no material changes to our critical accounting policies and estimates during the three months ended March 31, 2025.</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9"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our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See the section titled “Summary of Significant Accounting Policies—Recent Accounting Pronouncements” in Note 2 to our financial statements included elsewhere in this report for additional information.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Supply chain constraints and inflation</w:t>
      </w:r>
    </w:p>
    <w:p>
      <w:pPr>
        <w:spacing w:after="0" w:line="99"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1" w:name="page32"/>
    <w:bookmarkEnd w:id="31"/>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60"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Uncertain macroeconomic conditions including recent inflationary pressures and the rise in interest rates have created significant uncertainty in the U.S. economy and capital markets, which may continue through the remainder of 2025 and beyond and could negatively impact our financial results and liquidity.</w:t>
      </w: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is the potential loss arising from the adverse changes in market rates and prices.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Interest Fluctuation Rate Risk</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had cash and cash equivalents and short-term investments of $229.3 million as of March 31, 2025, which consisted of $201.3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change in interest rates would not have materially impacted the fair value of our marketable securities as of March 31, 2025 and December 31, 2024. If overall interest rates had increased or decreased by 1.00% (100 basis points), our interest income would not have been materially affected during the quarter ended March 31, 2025 or March 31, 2024.</w:t>
      </w:r>
    </w:p>
    <w:p>
      <w:pPr>
        <w:spacing w:after="0" w:line="2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99" w:lineRule="exact"/>
        <w:rPr>
          <w:sz w:val="20"/>
          <w:szCs w:val="20"/>
          <w:color w:val="auto"/>
        </w:rPr>
      </w:pPr>
    </w:p>
    <w:p>
      <w:pPr>
        <w:ind w:left="1160" w:right="1779" w:firstLine="258"/>
        <w:spacing w:after="0" w:line="292" w:lineRule="auto"/>
        <w:rPr>
          <w:sz w:val="20"/>
          <w:szCs w:val="20"/>
          <w:color w:val="auto"/>
        </w:rPr>
      </w:pPr>
      <w:r>
        <w:rPr>
          <w:rFonts w:ascii="Times New Roman" w:cs="Times New Roman" w:eastAsia="Times New Roman" w:hAnsi="Times New Roman"/>
          <w:sz w:val="14"/>
          <w:szCs w:val="14"/>
          <w:color w:val="auto"/>
        </w:rPr>
        <w:t>As of March 31, 2025, we have de minimis amounts of revenue and expenses that are denominated in currencies other than U.S. dollars.</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As of March 31, 2025,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w:t>
      </w:r>
    </w:p>
    <w:p>
      <w:pPr>
        <w:spacing w:after="0" w:line="2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2" w:name="page33"/>
    <w:bookmarkEnd w:id="32"/>
    <w:p>
      <w:pPr>
        <w:ind w:left="1160" w:right="1519"/>
        <w:spacing w:after="0" w:line="292" w:lineRule="auto"/>
        <w:rPr>
          <w:sz w:val="20"/>
          <w:szCs w:val="20"/>
          <w:color w:val="auto"/>
        </w:rPr>
      </w:pPr>
      <w:r>
        <w:rPr>
          <w:rFonts w:ascii="Times New Roman" w:cs="Times New Roman" w:eastAsia="Times New Roman" w:hAnsi="Times New Roman"/>
          <w:sz w:val="14"/>
          <w:szCs w:val="14"/>
          <w:color w:val="auto"/>
        </w:rPr>
        <w:t>assurance of achieving their objectives and management necessarily applies its judgment in evaluating the cost benefit relationship of possible controls and procedures.</w:t>
      </w:r>
    </w:p>
    <w:p>
      <w:pPr>
        <w:spacing w:after="0" w:line="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jc w:val="both"/>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identified in connection with the aforementioned evaluation of disclosure controls and procedures during the quarter ended March 31, 2025 that have materially affected, or are reasonably likely to materially affect, our internal control over financial reporting.</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9" w:lineRule="exact"/>
        <w:rPr>
          <w:sz w:val="20"/>
          <w:szCs w:val="20"/>
          <w:color w:val="auto"/>
        </w:rPr>
      </w:pPr>
    </w:p>
    <w:p>
      <w:pPr>
        <w:ind w:left="1160" w:right="1719" w:firstLine="258"/>
        <w:spacing w:after="0" w:line="274" w:lineRule="auto"/>
        <w:rPr>
          <w:sz w:val="20"/>
          <w:szCs w:val="20"/>
          <w:color w:val="auto"/>
        </w:rPr>
      </w:pPr>
      <w:r>
        <w:rPr>
          <w:rFonts w:ascii="Times New Roman" w:cs="Times New Roman" w:eastAsia="Times New Roman" w:hAnsi="Times New Roman"/>
          <w:sz w:val="14"/>
          <w:szCs w:val="14"/>
          <w:color w:val="auto"/>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99" w:lineRule="exact"/>
        <w:rPr>
          <w:sz w:val="20"/>
          <w:szCs w:val="20"/>
          <w:color w:val="auto"/>
        </w:rPr>
      </w:pPr>
    </w:p>
    <w:p>
      <w:pPr>
        <w:ind w:left="1860" w:right="1239" w:hanging="357"/>
        <w:spacing w:after="0" w:line="274" w:lineRule="auto"/>
        <w:tabs>
          <w:tab w:leader="none" w:pos="1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0"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operating losses, and we expect to continue to incur losses in the future. If we ever achieve profitability, we may not be able to sustain it.</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support our continued operations and the growth of our business, we may seek to raise additional capital, which may not be available to us on acceptable terms, or at all.</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3" w:name="page34"/>
    <w:bookmarkEnd w:id="33"/>
    <w:p>
      <w:pPr>
        <w:jc w:val="both"/>
        <w:ind w:left="1860" w:right="129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50"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we are unable to compete effectively, we may not be able to achieve or maintain significant market penetration or improve our results of operations.</w:t>
      </w:r>
    </w:p>
    <w:p>
      <w:pPr>
        <w:spacing w:after="0" w:line="37" w:lineRule="exact"/>
        <w:rPr>
          <w:rFonts w:ascii="Times New Roman" w:cs="Times New Roman" w:eastAsia="Times New Roman" w:hAnsi="Times New Roman"/>
          <w:sz w:val="14"/>
          <w:szCs w:val="14"/>
          <w:color w:val="auto"/>
        </w:rPr>
      </w:pPr>
    </w:p>
    <w:p>
      <w:pPr>
        <w:ind w:left="1860" w:right="151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expand sales of our products internationally in the future, but we may experience difficulties in obtaining regulatory clearance or approval or in successfully marketing our products internationally even if approved.</w:t>
      </w:r>
    </w:p>
    <w:p>
      <w:pPr>
        <w:spacing w:after="0" w:line="50"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variety of risks associated with marketing our products internationally could materially adversely affect our business.</w:t>
      </w:r>
    </w:p>
    <w:p>
      <w:pPr>
        <w:spacing w:after="0" w:line="37" w:lineRule="exact"/>
        <w:rPr>
          <w:rFonts w:ascii="Times New Roman" w:cs="Times New Roman" w:eastAsia="Times New Roman" w:hAnsi="Times New Roman"/>
          <w:sz w:val="14"/>
          <w:szCs w:val="14"/>
          <w:color w:val="auto"/>
        </w:rPr>
      </w:pPr>
    </w:p>
    <w:p>
      <w:pPr>
        <w:ind w:left="1860" w:right="1299" w:hanging="357"/>
        <w:spacing w:after="0" w:line="274"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50"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a significant disruption in our information technology systems or breaches of data security.</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9" w:lineRule="exact"/>
        <w:rPr>
          <w:sz w:val="20"/>
          <w:szCs w:val="20"/>
          <w:color w:val="auto"/>
        </w:rPr>
      </w:pPr>
    </w:p>
    <w:p>
      <w:pPr>
        <w:ind w:left="1860" w:right="1179" w:hanging="357"/>
        <w:spacing w:after="0" w:line="274"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50"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the confidentiality of our trade secrets and other proprietary information, our business and competitive position may be harmed.</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rights throughout the world, which could impair our business.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9" w:lineRule="exact"/>
        <w:rPr>
          <w:sz w:val="20"/>
          <w:szCs w:val="20"/>
          <w:color w:val="auto"/>
        </w:rPr>
      </w:pPr>
    </w:p>
    <w:p>
      <w:pPr>
        <w:ind w:left="1860" w:right="1379" w:hanging="357"/>
        <w:spacing w:after="0" w:line="274" w:lineRule="auto"/>
        <w:tabs>
          <w:tab w:leader="none" w:pos="1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9" w:lineRule="exact"/>
        <w:rPr>
          <w:sz w:val="20"/>
          <w:szCs w:val="20"/>
          <w:color w:val="auto"/>
        </w:rPr>
      </w:pPr>
    </w:p>
    <w:p>
      <w:pPr>
        <w:ind w:left="1860" w:right="1219" w:hanging="357"/>
        <w:spacing w:after="0" w:line="274" w:lineRule="auto"/>
        <w:tabs>
          <w:tab w:leader="none" w:pos="18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upon third parties, including single and sole source suppliers, to manufacture certain components and subcomponents of the RxSight system, making us vulnerable to supply disruptions and price fluctuations.</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9" w:lineRule="exact"/>
        <w:rPr>
          <w:sz w:val="20"/>
          <w:szCs w:val="20"/>
          <w:color w:val="auto"/>
        </w:rPr>
      </w:pPr>
    </w:p>
    <w:p>
      <w:pPr>
        <w:ind w:left="1860" w:hanging="357"/>
        <w:spacing w:after="0"/>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stock may be volatile, and you could lose all or part of your investment.</w:t>
      </w:r>
    </w:p>
    <w:p>
      <w:pPr>
        <w:spacing w:after="0" w:line="96"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9" w:lineRule="exact"/>
        <w:rPr>
          <w:sz w:val="20"/>
          <w:szCs w:val="20"/>
          <w:color w:val="auto"/>
        </w:rPr>
      </w:pPr>
    </w:p>
    <w:p>
      <w:pPr>
        <w:ind w:left="1860" w:right="1479" w:hanging="357"/>
        <w:spacing w:after="0" w:line="292"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recruit, retain, manage and motivate qualified executives as we build out the management team, and we are highly dependent on our management team.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litigation proceedings could adversely affect our business.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4" w:name="page35"/>
    <w:bookmarkEnd w:id="34"/>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95"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48" w:lineRule="exact"/>
        <w:rPr>
          <w:sz w:val="20"/>
          <w:szCs w:val="20"/>
          <w:color w:val="auto"/>
        </w:rPr>
      </w:pPr>
    </w:p>
    <w:p>
      <w:pPr>
        <w:jc w:val="both"/>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w:t>
      </w:r>
    </w:p>
    <w:p>
      <w:pPr>
        <w:spacing w:after="0" w:line="2"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5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63"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63"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59" w:lineRule="exact"/>
        <w:rPr>
          <w:sz w:val="20"/>
          <w:szCs w:val="20"/>
          <w:color w:val="auto"/>
        </w:rPr>
      </w:pPr>
    </w:p>
    <w:p>
      <w:pPr>
        <w:ind w:left="1160" w:right="1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expect to continue to incur losses in the future. If we ever achieve profitability, we may not be able to sustain it.</w:t>
      </w:r>
    </w:p>
    <w:p>
      <w:pPr>
        <w:spacing w:after="0" w:line="34"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We have incurred losses from operations since our inception and expect to continue to incur losses from operations in the future. We reported losses from operations of $36.9 million and $50.1 million for the years ended December 31, 2024 and 2023, respectively, and $10.7 million for the three months ended March 31, 2025 and 2024, respectively. As a result of these losses, as of March 31, 2025, we had an accumulated deficit of $630.3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35" w:name="page36"/>
    <w:bookmarkEnd w:id="35"/>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46"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3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59" w:lineRule="exact"/>
        <w:rPr>
          <w:sz w:val="20"/>
          <w:szCs w:val="20"/>
          <w:color w:val="auto"/>
        </w:rPr>
      </w:pPr>
    </w:p>
    <w:p>
      <w:pPr>
        <w:jc w:val="both"/>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50" w:lineRule="exact"/>
        <w:rPr>
          <w:sz w:val="20"/>
          <w:szCs w:val="20"/>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growth;</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leveraging future strategic partnerships;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6"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or raise additional funds through future debt or equity offerings to finance our operations;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amount of reimbursement for procedures using our products;</w:t>
      </w:r>
    </w:p>
    <w:p>
      <w:pPr>
        <w:spacing w:after="0" w:line="96" w:lineRule="exact"/>
        <w:rPr>
          <w:rFonts w:ascii="Times New Roman" w:cs="Times New Roman" w:eastAsia="Times New Roman" w:hAnsi="Times New Roman"/>
          <w:sz w:val="14"/>
          <w:szCs w:val="14"/>
          <w:color w:val="auto"/>
        </w:rPr>
      </w:pPr>
    </w:p>
    <w:p>
      <w:pPr>
        <w:ind w:left="1860" w:right="1219" w:hanging="357"/>
        <w:spacing w:after="0" w:line="268"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4"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269"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6" w:name="page37"/>
    <w:bookmarkEnd w:id="36"/>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spacing w:after="0" w:line="6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As of March 31, 2025 and December 31, 2024, we had $229.3 million and $237.2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p>
    <w:p>
      <w:pPr>
        <w:spacing w:after="0" w:line="57" w:lineRule="exact"/>
        <w:rPr>
          <w:sz w:val="20"/>
          <w:szCs w:val="20"/>
          <w:color w:val="auto"/>
        </w:rPr>
      </w:pPr>
    </w:p>
    <w:p>
      <w:pPr>
        <w:jc w:val="both"/>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and market conditions, including downgrades of the U.S. credit rating, and inflation may adversely affect our business, results of operations and financial condition, including our revenue growth and profitability.</w:t>
      </w:r>
    </w:p>
    <w:p>
      <w:pPr>
        <w:spacing w:after="0" w:line="4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Deterioration in the economic conditions globally resulting in instability in global financial markets, including:</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inflation and rising interest rates and instability in the capital markets.</w:t>
      </w:r>
    </w:p>
    <w:p>
      <w:pPr>
        <w:spacing w:after="0" w:line="8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spacing w:after="0" w:line="56"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Additionally, the current inflationary environment may materially affect our business and operating results by increasing the costs of our supplies and may drive the U.S. Federal Reserve system to increase interest rates, which in turn may increase our overhead costs. Rising interest rates could make it more difficult to obtain traditional financing on acceptable terms, if at all. Additionally, the general consensus among economists suggests that we should expect a higher recession risk to continue over the next year, which,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positions or results of operations to date, additional high inflation could increase our operating costs, including our labor costs and research and development costs. These costs may also be negatively impacted due to supply chain constraints, global geopolitical tensions, worsening macroeconomic conditions and employee availability and wage increases, which may result in additional stress on our working capital. We import from China certain materials and other</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7" w:name="page38"/>
    <w:bookmarkEnd w:id="37"/>
    <w:p>
      <w:pPr>
        <w:ind w:left="1160" w:right="1719"/>
        <w:spacing w:after="0" w:line="292" w:lineRule="auto"/>
        <w:rPr>
          <w:sz w:val="20"/>
          <w:szCs w:val="20"/>
          <w:color w:val="auto"/>
        </w:rPr>
      </w:pPr>
      <w:r>
        <w:rPr>
          <w:rFonts w:ascii="Times New Roman" w:cs="Times New Roman" w:eastAsia="Times New Roman" w:hAnsi="Times New Roman"/>
          <w:sz w:val="14"/>
          <w:szCs w:val="14"/>
          <w:color w:val="auto"/>
        </w:rPr>
        <w:t>components for use in our products, and such goods are subject to tariffs. Increases in tariffs could result in increased costs.</w:t>
      </w:r>
    </w:p>
    <w:p>
      <w:pPr>
        <w:spacing w:after="0" w:line="34" w:lineRule="exact"/>
        <w:rPr>
          <w:sz w:val="20"/>
          <w:szCs w:val="20"/>
          <w:color w:val="auto"/>
        </w:rPr>
      </w:pPr>
    </w:p>
    <w:p>
      <w:pPr>
        <w:ind w:left="1160" w:right="15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United States trade policy, including recently announced tariffs, could have a material adverse impact on our business, financial condition, and results of operations.</w:t>
      </w:r>
    </w:p>
    <w:p>
      <w:pPr>
        <w:spacing w:after="0" w:line="34"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Changes in United States trade policy, including recently announced tariffs, could have a material adverse impact on our business, financial condition, and results of operations. The imposition of retaliatory or new tariffs or increases in existing tariffs on goods imported from countries where we source our products could result in increased material costs for our products. If we are unable to mitigate these risks through supply chain adjustments, such as changing vendors, pricing strategies, or other measures could adversely effect our gross margins, business, financial condition and results of operations.</w:t>
      </w:r>
    </w:p>
    <w:p>
      <w:pPr>
        <w:spacing w:after="0" w:line="312"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spacing w:after="0" w:line="59" w:lineRule="exact"/>
        <w:rPr>
          <w:sz w:val="20"/>
          <w:szCs w:val="20"/>
          <w:color w:val="auto"/>
        </w:rPr>
      </w:pPr>
    </w:p>
    <w:p>
      <w:pPr>
        <w:jc w:val="both"/>
        <w:ind w:left="1160" w:right="1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48"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50" w:lineRule="exact"/>
        <w:rPr>
          <w:sz w:val="20"/>
          <w:szCs w:val="20"/>
          <w:color w:val="auto"/>
        </w:rPr>
      </w:pPr>
    </w:p>
    <w:p>
      <w:pPr>
        <w:ind w:left="1860" w:right="1579" w:hanging="357"/>
        <w:spacing w:after="0" w:line="292"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and perceived effectiveness and reliability of our RxSight system, especially relative to alternative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adverse patient events involving our RxSight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studies and trials relating to our RxSight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sustain meaningful clinical benefits for our patients;</w:t>
      </w:r>
    </w:p>
    <w:p>
      <w:pPr>
        <w:spacing w:after="0" w:line="96" w:lineRule="exact"/>
        <w:rPr>
          <w:rFonts w:ascii="Times New Roman" w:cs="Times New Roman" w:eastAsia="Times New Roman" w:hAnsi="Times New Roman"/>
          <w:sz w:val="14"/>
          <w:szCs w:val="14"/>
          <w:color w:val="auto"/>
        </w:rPr>
      </w:pPr>
    </w:p>
    <w:p>
      <w:pPr>
        <w:ind w:left="1860" w:right="1299" w:hanging="357"/>
        <w:spacing w:after="0" w:line="292"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to market our planned or future products for use in the United States or internationally;</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relative cost and perceived advantages and disadvantages of alternative technologies or treatment methods for conditions treated by our products;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patient willingness to pay for the additional costs associated with our premium intraocular lens out of pocket;</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doctors adopt our RxSight system;</w:t>
      </w:r>
    </w:p>
    <w:p>
      <w:pPr>
        <w:spacing w:after="0" w:line="96" w:lineRule="exact"/>
        <w:rPr>
          <w:rFonts w:ascii="Times New Roman" w:cs="Times New Roman" w:eastAsia="Times New Roman" w:hAnsi="Times New Roman"/>
          <w:sz w:val="14"/>
          <w:szCs w:val="14"/>
          <w:color w:val="auto"/>
        </w:rPr>
      </w:pPr>
    </w:p>
    <w:p>
      <w:pPr>
        <w:ind w:left="1860" w:right="1259" w:hanging="357"/>
        <w:spacing w:after="0" w:line="265"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8" w:name="page39"/>
    <w:bookmarkEnd w:id="38"/>
    <w:p>
      <w:pPr>
        <w:ind w:left="1860" w:right="123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in and to our RxSight system;</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patients value the customized vision delivered by the RxSight system and are satisfied with their results;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and maintaining compliance with regulatory requirements applicable to our products;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successful in educating doctors about IOLs in general, and the benefits of our RxSight system;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among doctors;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marketing and commercial organization;</w:t>
      </w:r>
    </w:p>
    <w:p>
      <w:pPr>
        <w:spacing w:after="0" w:line="96"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marketing and sales efforts in the United States, including our efforts to build out our sales team;</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the commercialization of our products into international markets;</w:t>
      </w:r>
    </w:p>
    <w:p>
      <w:pPr>
        <w:spacing w:after="0" w:line="96" w:lineRule="exact"/>
        <w:rPr>
          <w:rFonts w:ascii="Times New Roman" w:cs="Times New Roman" w:eastAsia="Times New Roman" w:hAnsi="Times New Roman"/>
          <w:sz w:val="14"/>
          <w:szCs w:val="14"/>
          <w:color w:val="auto"/>
        </w:rPr>
      </w:pPr>
    </w:p>
    <w:p>
      <w:pPr>
        <w:jc w:val="both"/>
        <w:ind w:left="1860" w:right="1319" w:hanging="357"/>
        <w:spacing w:after="0" w:line="274"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ongoing or future clinical trials; and</w:t>
      </w:r>
    </w:p>
    <w:p>
      <w:pPr>
        <w:spacing w:after="0" w:line="96" w:lineRule="exact"/>
        <w:rPr>
          <w:rFonts w:ascii="Times New Roman" w:cs="Times New Roman" w:eastAsia="Times New Roman" w:hAnsi="Times New Roman"/>
          <w:sz w:val="14"/>
          <w:szCs w:val="14"/>
          <w:color w:val="auto"/>
        </w:rPr>
      </w:pPr>
    </w:p>
    <w:p>
      <w:pPr>
        <w:ind w:left="1860" w:right="1759" w:hanging="357"/>
        <w:spacing w:after="0" w:line="292"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required by the FDA or comparable non-U.S. regulatory authorities to conduct additional clinical trials for current or future indications.</w:t>
      </w:r>
    </w:p>
    <w:p>
      <w:pPr>
        <w:spacing w:after="0" w:line="3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59"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3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63"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39" w:name="page40"/>
    <w:bookmarkEnd w:id="39"/>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product liability claims. The use or misuse of our products may in the future result in complications and potentially lead to product liability claims.</w:t>
      </w:r>
    </w:p>
    <w:p>
      <w:pPr>
        <w:spacing w:after="0" w:line="38"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The commercial success of our RxSight system will depend upon attaining significant market acceptance of these products among patients and doctors.</w:t>
      </w:r>
    </w:p>
    <w:p>
      <w:pPr>
        <w:spacing w:after="0" w:line="3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current customers that have adopted our RxSight system. Our future growth and profitability largely depend on our ability to increase other doctors’ awareness of our RxSight system and our products and on the willingness of doctors and patients to adopt them. These parties may not adopt our products like our current customers have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69" w:lineRule="exact"/>
        <w:rPr>
          <w:sz w:val="20"/>
          <w:szCs w:val="20"/>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long-standing relationships with competing companies and distributors that sell other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response and negative selling efforts from providers of alternative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with our products and concerns that we are relatively new to market;</w:t>
      </w:r>
    </w:p>
    <w:p>
      <w:pPr>
        <w:spacing w:after="0" w:line="96"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or perceived lack of sufficient clinical evidence, including long-term data, supporting safety or clinical benefits;</w:t>
      </w:r>
    </w:p>
    <w:p>
      <w:pPr>
        <w:spacing w:after="0" w:line="37" w:lineRule="exact"/>
        <w:rPr>
          <w:rFonts w:ascii="Times New Roman" w:cs="Times New Roman" w:eastAsia="Times New Roman" w:hAnsi="Times New Roman"/>
          <w:sz w:val="14"/>
          <w:szCs w:val="14"/>
          <w:color w:val="auto"/>
        </w:rPr>
      </w:pPr>
    </w:p>
    <w:p>
      <w:pPr>
        <w:ind w:left="1860" w:right="133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commitment and skill development that may be required to gain familiarity and proficiency with our products;</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confusion regarding the wide range of commercially available premium IOL offerings and their ability to deliver promised results at near, middle and far distances without reliance on glasses;</w:t>
      </w:r>
    </w:p>
    <w:p>
      <w:pPr>
        <w:spacing w:after="0" w:line="37" w:lineRule="exact"/>
        <w:rPr>
          <w:rFonts w:ascii="Times New Roman" w:cs="Times New Roman" w:eastAsia="Times New Roman" w:hAnsi="Times New Roman"/>
          <w:sz w:val="14"/>
          <w:szCs w:val="14"/>
          <w:color w:val="auto"/>
        </w:rPr>
      </w:pPr>
    </w:p>
    <w:p>
      <w:pPr>
        <w:ind w:left="1860" w:right="139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reticence to select a premium IOL due to nonperformance and adverse side effects associated with competing products in the market;</w:t>
      </w:r>
    </w:p>
    <w:p>
      <w:pPr>
        <w:spacing w:after="0" w:line="37" w:lineRule="exact"/>
        <w:rPr>
          <w:rFonts w:ascii="Times New Roman" w:cs="Times New Roman" w:eastAsia="Times New Roman" w:hAnsi="Times New Roman"/>
          <w:sz w:val="14"/>
          <w:szCs w:val="14"/>
          <w:color w:val="auto"/>
        </w:rPr>
      </w:pPr>
    </w:p>
    <w:p>
      <w:pPr>
        <w:ind w:left="1860" w:right="1299" w:hanging="357"/>
        <w:spacing w:after="0" w:line="274"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50" w:lineRule="exact"/>
        <w:rPr>
          <w:rFonts w:ascii="Times New Roman" w:cs="Times New Roman" w:eastAsia="Times New Roman" w:hAnsi="Times New Roman"/>
          <w:sz w:val="14"/>
          <w:szCs w:val="14"/>
          <w:color w:val="auto"/>
        </w:rPr>
      </w:pPr>
    </w:p>
    <w:p>
      <w:pPr>
        <w:ind w:left="1860" w:right="1439" w:hanging="357"/>
        <w:spacing w:after="0" w:line="292"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generate patient referral due to dissatisfaction with results obtained through treatment with our products, the out-of-pocket cost of treatments using our products or otherwise.</w:t>
      </w:r>
    </w:p>
    <w:p>
      <w:pPr>
        <w:spacing w:after="0" w:line="38"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50"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54"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0" w:name="page41"/>
    <w:bookmarkEnd w:id="40"/>
    <w:p>
      <w:pPr>
        <w:ind w:left="1160" w:right="1379"/>
        <w:spacing w:after="0" w:line="274" w:lineRule="auto"/>
        <w:rPr>
          <w:sz w:val="20"/>
          <w:szCs w:val="20"/>
          <w:color w:val="auto"/>
        </w:rPr>
      </w:pPr>
      <w:r>
        <w:rPr>
          <w:rFonts w:ascii="Times New Roman" w:cs="Times New Roman" w:eastAsia="Times New Roman" w:hAnsi="Times New Roman"/>
          <w:sz w:val="14"/>
          <w:szCs w:val="14"/>
          <w:color w:val="auto"/>
        </w:rPr>
        <w:t>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50"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RxSight system involves surgical risks and is contraindicated in certain patients, which may limit adoption.</w:t>
      </w:r>
    </w:p>
    <w:p>
      <w:pPr>
        <w:spacing w:after="0" w:line="9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52" w:lineRule="exact"/>
        <w:rPr>
          <w:sz w:val="20"/>
          <w:szCs w:val="20"/>
          <w:color w:val="auto"/>
        </w:rPr>
      </w:pPr>
    </w:p>
    <w:p>
      <w:pPr>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3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63" w:lineRule="exact"/>
        <w:rPr>
          <w:sz w:val="20"/>
          <w:szCs w:val="20"/>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patient outcomes, oftentimes measured by visual acuity, and adverse event rates;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experience, including patient recovery time and level of discomfort;</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treating doctors and referral sources;</w:t>
      </w:r>
    </w:p>
    <w:p>
      <w:pPr>
        <w:spacing w:after="0" w:line="96" w:lineRule="exact"/>
        <w:rPr>
          <w:rFonts w:ascii="Times New Roman" w:cs="Times New Roman" w:eastAsia="Times New Roman" w:hAnsi="Times New Roman"/>
          <w:sz w:val="14"/>
          <w:szCs w:val="14"/>
          <w:color w:val="auto"/>
        </w:rPr>
      </w:pPr>
    </w:p>
    <w:p>
      <w:pPr>
        <w:ind w:left="1860" w:right="1539" w:hanging="357"/>
        <w:spacing w:after="0" w:line="292"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Doctor learning curves and willingness to adopt new technologies, particularly during competitive launch periods;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Ease-of-use and reliability;</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benefits and cost savings;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 of clinical evidence;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distribution and marketing to surgeons and potential patients;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price and qualification for coverage and reimbursement.</w:t>
      </w:r>
    </w:p>
    <w:p>
      <w:pPr>
        <w:spacing w:after="0" w:line="97"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We compete primarily on the basis that our products are designed to enable more doctors to treat more patients more efficiently and effectively. Our continued success depends on our ability to:</w:t>
      </w:r>
    </w:p>
    <w:p>
      <w:pPr>
        <w:spacing w:after="0" w:line="38" w:lineRule="exact"/>
        <w:rPr>
          <w:sz w:val="20"/>
          <w:szCs w:val="20"/>
          <w:color w:val="auto"/>
        </w:rPr>
      </w:pPr>
    </w:p>
    <w:p>
      <w:pPr>
        <w:ind w:left="1860" w:right="1279" w:hanging="357"/>
        <w:spacing w:after="0" w:line="292"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innovative, proprietary products that address significant clinical needs in a manner that is safe and effective for patients and easy-to-use for doctors;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regulatory clearances or approvals;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safety and effectiveness in our sponsored and third-party clinical trials;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sales force across key markets to increase doctors’ awareness;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1" w:name="page42"/>
    <w:bookmarkEnd w:id="41"/>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coverage and adequate reimbursement for procedures using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research, development, sales and clinical personnel;</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cost-effectively manufacture, market and sell our products;</w:t>
      </w:r>
    </w:p>
    <w:p>
      <w:pPr>
        <w:spacing w:after="0" w:line="96"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doctors with a sufficient return on investment as compared to alternative premium IOL procedures that justifies the upfront cost of our LDD; and</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maintain, enforce and defend our intellectual property rights and operate our business without infringing, misappropriating or otherwise violating the intellectual property rights of others.</w:t>
      </w:r>
    </w:p>
    <w:p>
      <w:pPr>
        <w:spacing w:after="0" w:line="3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59"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54"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and/or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238"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Furthermore, the current leases on our four facilities expire on January 31, 2031, with two options to extend for five years each.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Technological change may adversely affect sales of our products and may cause our products to become obsolete.</w:t>
      </w:r>
    </w:p>
    <w:p>
      <w:pPr>
        <w:spacing w:after="0" w:line="10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61" w:lineRule="exact"/>
        <w:rPr>
          <w:sz w:val="20"/>
          <w:szCs w:val="20"/>
          <w:color w:val="auto"/>
        </w:rPr>
      </w:pPr>
    </w:p>
    <w:p>
      <w:pPr>
        <w:ind w:left="1160" w:right="14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48"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57"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are unsuccessful or significantly delayed, or if we do not complete our clinical trials, our business may be harmed.</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63"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50" w:lineRule="exact"/>
        <w:rPr>
          <w:sz w:val="20"/>
          <w:szCs w:val="20"/>
          <w:color w:val="auto"/>
        </w:rPr>
      </w:pPr>
    </w:p>
    <w:p>
      <w:pPr>
        <w:ind w:left="1860" w:right="1219" w:hanging="357"/>
        <w:spacing w:after="0" w:line="292" w:lineRule="auto"/>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and timely completion of nonclinical studies or clinical development of our products, as well as the associated costs, including any unforeseen costs we may incur as a result of clinical trial delays;</w:t>
      </w:r>
    </w:p>
    <w:p>
      <w:pPr>
        <w:spacing w:after="0" w:line="37" w:lineRule="exact"/>
        <w:rPr>
          <w:rFonts w:ascii="Times New Roman" w:cs="Times New Roman" w:eastAsia="Times New Roman" w:hAnsi="Times New Roman"/>
          <w:sz w:val="14"/>
          <w:szCs w:val="14"/>
          <w:color w:val="auto"/>
        </w:rPr>
      </w:pPr>
    </w:p>
    <w:p>
      <w:pPr>
        <w:ind w:left="1860" w:right="1419" w:hanging="357"/>
        <w:spacing w:after="0" w:line="292" w:lineRule="auto"/>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in our clinical trials may be slower than we anticipate, or we may experience high screen failure rates in our clinical trials, resulting in significant delays;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produce negative or inconclusive results, and we may decide, or regulators may require us, to conduct additional clinical and/or preclinical testing which may be expensive and time-consuming;</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3" w:name="page44"/>
    <w:bookmarkEnd w:id="43"/>
    <w:p>
      <w:pPr>
        <w:ind w:left="1860" w:right="139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trial results may not meet the level of statistical significance required by the FDA or other regulatory authorities;</w:t>
      </w:r>
    </w:p>
    <w:p>
      <w:pPr>
        <w:spacing w:after="0" w:line="37"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that one or more of our products is not sufficiently safe for investigational use in humans;</w:t>
      </w:r>
    </w:p>
    <w:p>
      <w:pPr>
        <w:spacing w:after="0" w:line="37"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interpret data from preclinical testing and clinical trials in different ways than we do;</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or failure in obtaining approval of our clinical trial protocols from the FDA or other regulatory authorities;</w:t>
      </w:r>
    </w:p>
    <w:p>
      <w:pPr>
        <w:spacing w:after="0" w:line="37" w:lineRule="exact"/>
        <w:rPr>
          <w:rFonts w:ascii="Times New Roman" w:cs="Times New Roman" w:eastAsia="Times New Roman" w:hAnsi="Times New Roman"/>
          <w:sz w:val="14"/>
          <w:szCs w:val="14"/>
          <w:color w:val="auto"/>
        </w:rPr>
      </w:pPr>
    </w:p>
    <w:p>
      <w:pPr>
        <w:ind w:left="1860" w:right="147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in obtaining institutional review board approvals or governmental approvals to conduct clinical trials at prospective sites;</w:t>
      </w:r>
    </w:p>
    <w:p>
      <w:pPr>
        <w:spacing w:after="0" w:line="37"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our or our suppliers’ manufacturing processes or facilities unsatisfactory;</w:t>
      </w:r>
    </w:p>
    <w:p>
      <w:pPr>
        <w:spacing w:after="0" w:line="37" w:lineRule="exact"/>
        <w:rPr>
          <w:rFonts w:ascii="Times New Roman" w:cs="Times New Roman" w:eastAsia="Times New Roman" w:hAnsi="Times New Roman"/>
          <w:sz w:val="14"/>
          <w:szCs w:val="14"/>
          <w:color w:val="auto"/>
        </w:rPr>
      </w:pPr>
    </w:p>
    <w:p>
      <w:pPr>
        <w:jc w:val="both"/>
        <w:ind w:left="1860" w:right="1639" w:hanging="357"/>
        <w:spacing w:after="0" w:line="274"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in managing multiple clinical sites;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finding patients to enroll in our trials;</w:t>
      </w:r>
    </w:p>
    <w:p>
      <w:pPr>
        <w:spacing w:after="0" w:line="96"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agreeing on acceptable terms with third-party research organizations and trial sites that may help us conduct the clinical trials; and</w:t>
      </w:r>
    </w:p>
    <w:p>
      <w:pPr>
        <w:spacing w:after="0" w:line="37" w:lineRule="exact"/>
        <w:rPr>
          <w:rFonts w:ascii="Times New Roman" w:cs="Times New Roman" w:eastAsia="Times New Roman" w:hAnsi="Times New Roman"/>
          <w:sz w:val="14"/>
          <w:szCs w:val="14"/>
          <w:color w:val="auto"/>
        </w:rPr>
      </w:pPr>
    </w:p>
    <w:p>
      <w:pPr>
        <w:ind w:left="1860" w:right="1499" w:hanging="357"/>
        <w:spacing w:after="0" w:line="292"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regulators, may suspend or terminate our clinical trials because the participating patients are being exposed to unacceptable health risks.</w:t>
      </w:r>
    </w:p>
    <w:p>
      <w:pPr>
        <w:spacing w:after="0" w:line="38" w:lineRule="exact"/>
        <w:rPr>
          <w:sz w:val="20"/>
          <w:szCs w:val="20"/>
          <w:color w:val="auto"/>
        </w:rPr>
      </w:pPr>
    </w:p>
    <w:p>
      <w:pPr>
        <w:jc w:val="both"/>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46"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48"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56" w:lineRule="exact"/>
        <w:rPr>
          <w:sz w:val="20"/>
          <w:szCs w:val="20"/>
          <w:color w:val="auto"/>
        </w:rPr>
      </w:pPr>
    </w:p>
    <w:p>
      <w:pPr>
        <w:ind w:left="1160" w:right="12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our brand and cause material disruption to our operations.</w:t>
      </w:r>
    </w:p>
    <w:p>
      <w:pPr>
        <w:spacing w:after="0" w:line="57"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4" w:name="page45"/>
    <w:bookmarkEnd w:id="44"/>
    <w:p>
      <w:pPr>
        <w:ind w:left="1160" w:right="1419"/>
        <w:spacing w:after="0" w:line="292" w:lineRule="auto"/>
        <w:rPr>
          <w:sz w:val="20"/>
          <w:szCs w:val="20"/>
          <w:color w:val="auto"/>
        </w:rPr>
      </w:pPr>
      <w:r>
        <w:rPr>
          <w:rFonts w:ascii="Times New Roman" w:cs="Times New Roman" w:eastAsia="Times New Roman" w:hAnsi="Times New Roman"/>
          <w:sz w:val="14"/>
          <w:szCs w:val="14"/>
          <w:color w:val="auto"/>
        </w:rPr>
        <w:t>partners, are increasingly vulnerable to attacks and disruptions on their networks and systems by a wide range of actors on an ongoing and regular basis.</w:t>
      </w:r>
    </w:p>
    <w:p>
      <w:pPr>
        <w:spacing w:after="0" w:line="3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For example, as previously disclosed, on May 2, 2024, an unauthorized actor targeted the personal cell phone number of an RxSight employee. On May 3, 2024, the unauthorized actor obtained unauthorized access to the employee’s cloud-based work account and to e-mails and files that were accessible from that account. We discovered the incident on the same day, May 3, 2024, promptly disabled the employee’s account, initiated response and investigation procedures, contacted our insurance provider, and retained external cybersecurity experts to assist in our response and investigation. While the unauthorized actor accessed and acquired copies of e-mail messages and other materials that were accessible from the employee’s cloud-based work account, our information systems were never interrupted and remained operational during this unauthorized access, and we have not observed any aspect of this incident that has had a material impact on our operations, financial systems, or financial condition. However, there can be no assurance as to whether the incident will have a future material impact on our operations, financial systems, or financial condition and we remain subject to various risks due to the incident.</w:t>
      </w:r>
    </w:p>
    <w:p>
      <w:pPr>
        <w:spacing w:after="0" w:line="65"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or incident could result in disruptions to our business processes, network degradation, and system down time, along with the potential that a third-party will gain unauthorized access to, acquire, or otherwise use, modify, or process intellectual property, proprietary business information, and data related to our employees, customers, suppliers, and business partners, including personal data, in an unauthorized manner. any disruption, degradation, or other security breach, incident, or other event that results in loss or unavailability of or damage to our data or systems, system downtime or other disruptions, or in inappropriate disclosure or other processing of confidential or personal data, could adversely impact us and our customers, potentially resulting in, among other things, financial losses, loss of customers or business, our inability to transact business, adverse impact on our reputation, actual or alleged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w:t>
      </w:r>
    </w:p>
    <w:p>
      <w:pPr>
        <w:spacing w:after="0" w:line="23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systems (e.g., hosting), contractors and consultants and other third-party service providers, these systems are potentially vulnerable to breakdown or other damage or interruption. Our systems and the systems of third parties who support our operations are vulnerable to service interruptions, system malfunction, natural disasters, terrorism,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the unauthorized access to, misuse, disclosure, loss, destruction, alteration or dissemination of, or damage to, our data, including trade secrets or other confidential information, intellectual property, proprietary business information, and personal information. For example, companies have experienced an increase in phishing and social engineering attacks from third parties in recent years. Our employees generally work in a hybrid model in our offices and from home, and we may need to adjust our working model from time to time. As a result, we have increased cyber security and data security risks, due to increased use of home wi-fi networks and virtual private networks, as well as increased disbursement of physical machines.</w:t>
      </w:r>
    </w:p>
    <w:p>
      <w:pPr>
        <w:spacing w:after="0" w:line="63" w:lineRule="exact"/>
        <w:rPr>
          <w:sz w:val="20"/>
          <w:szCs w:val="20"/>
          <w:color w:val="auto"/>
        </w:rPr>
      </w:pPr>
    </w:p>
    <w:p>
      <w:pPr>
        <w:jc w:val="both"/>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Any disruption, security incident, or security breach resulting in any loss, destruction, unavailability, alteration or dissemination of, or damage to, our data, could subject us to significant fines or penalties for any noncompliance with certain state, federal and/or international laws relating to privacy, data protection, and information security. Litigation and governmental investigations could force us to spend money in defense or settlement, divert</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5" w:name="page46"/>
    <w:bookmarkEnd w:id="45"/>
    <w:p>
      <w:pPr>
        <w:ind w:left="1160" w:right="1199"/>
        <w:spacing w:after="0" w:line="263" w:lineRule="auto"/>
        <w:rPr>
          <w:sz w:val="20"/>
          <w:szCs w:val="20"/>
          <w:color w:val="auto"/>
        </w:rPr>
      </w:pPr>
      <w:r>
        <w:rPr>
          <w:rFonts w:ascii="Times New Roman" w:cs="Times New Roman" w:eastAsia="Times New Roman" w:hAnsi="Times New Roman"/>
          <w:sz w:val="14"/>
          <w:szCs w:val="14"/>
          <w:color w:val="auto"/>
        </w:rPr>
        <w:t>management’s time and attention, increase our costs of doing business, and/or adversely affect our reputation.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risks of, or to detect, such attacks, breaches or incidents that occur will be successful and our failure to do so could have a material adverse effect on our business, financial condition and results of operations.</w:t>
      </w:r>
    </w:p>
    <w:p>
      <w:pPr>
        <w:spacing w:after="0" w:line="54" w:lineRule="exact"/>
        <w:rPr>
          <w:sz w:val="20"/>
          <w:szCs w:val="20"/>
          <w:color w:val="auto"/>
        </w:rPr>
      </w:pPr>
    </w:p>
    <w:p>
      <w:pPr>
        <w:ind w:left="1160" w:right="16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3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59" w:lineRule="exact"/>
        <w:rPr>
          <w:sz w:val="20"/>
          <w:szCs w:val="20"/>
          <w:color w:val="auto"/>
        </w:rPr>
      </w:pPr>
    </w:p>
    <w:p>
      <w:pPr>
        <w:jc w:val="both"/>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53"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60"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61"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6" w:name="page47"/>
    <w:bookmarkEnd w:id="46"/>
    <w:p>
      <w:pPr>
        <w:ind w:left="1160" w:right="1179"/>
        <w:spacing w:after="0" w:line="271" w:lineRule="auto"/>
        <w:rPr>
          <w:sz w:val="20"/>
          <w:szCs w:val="20"/>
          <w:color w:val="auto"/>
        </w:rPr>
      </w:pPr>
      <w:r>
        <w:rPr>
          <w:rFonts w:ascii="Times New Roman" w:cs="Times New Roman" w:eastAsia="Times New Roman" w:hAnsi="Times New Roman"/>
          <w:sz w:val="14"/>
          <w:szCs w:val="14"/>
          <w:color w:val="auto"/>
        </w:rPr>
        <w:t>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22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5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If we fail to identify, acquire and develop other products, we may be unable to grow our business.</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54"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58" w:lineRule="exact"/>
        <w:rPr>
          <w:sz w:val="20"/>
          <w:szCs w:val="20"/>
          <w:color w:val="auto"/>
        </w:rPr>
      </w:pPr>
    </w:p>
    <w:p>
      <w:pPr>
        <w:jc w:val="both"/>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56" w:lineRule="exact"/>
        <w:rPr>
          <w:sz w:val="20"/>
          <w:szCs w:val="20"/>
          <w:color w:val="auto"/>
        </w:rPr>
      </w:pPr>
    </w:p>
    <w:p>
      <w:pPr>
        <w:ind w:left="1160" w:right="1179" w:firstLine="258"/>
        <w:spacing w:after="0" w:line="285" w:lineRule="auto"/>
        <w:rPr>
          <w:sz w:val="20"/>
          <w:szCs w:val="20"/>
          <w:color w:val="auto"/>
        </w:rPr>
      </w:pPr>
      <w:r>
        <w:rPr>
          <w:rFonts w:ascii="Times New Roman" w:cs="Times New Roman" w:eastAsia="Times New Roman" w:hAnsi="Times New Roman"/>
          <w:sz w:val="14"/>
          <w:szCs w:val="14"/>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215" w:lineRule="exact"/>
        <w:rPr>
          <w:sz w:val="20"/>
          <w:szCs w:val="20"/>
          <w:color w:val="auto"/>
        </w:rPr>
      </w:pPr>
    </w:p>
    <w:p>
      <w:pPr>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63"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7" w:name="page48"/>
    <w:bookmarkEnd w:id="47"/>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48"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24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59"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56"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233" w:lineRule="exact"/>
        <w:rPr>
          <w:sz w:val="20"/>
          <w:szCs w:val="20"/>
          <w:color w:val="auto"/>
        </w:rPr>
      </w:pPr>
    </w:p>
    <w:p>
      <w:pPr>
        <w:ind w:left="11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48"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8" w:name="page49"/>
    <w:bookmarkEnd w:id="48"/>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may be diminished, or the patient may suffer critical injury. We may also be subject to claims that are caused by the activities of our suppliers, such as those who provide us with components and sub-assemblies.</w:t>
      </w:r>
    </w:p>
    <w:p>
      <w:pPr>
        <w:spacing w:after="0" w:line="38" w:lineRule="exact"/>
        <w:rPr>
          <w:sz w:val="20"/>
          <w:szCs w:val="20"/>
          <w:color w:val="auto"/>
        </w:rPr>
      </w:pPr>
    </w:p>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50" w:lineRule="exact"/>
        <w:rPr>
          <w:sz w:val="20"/>
          <w:szCs w:val="20"/>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market and sell our products.</w:t>
      </w:r>
    </w:p>
    <w:p>
      <w:pPr>
        <w:spacing w:after="0" w:line="9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3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52" w:lineRule="exact"/>
        <w:rPr>
          <w:sz w:val="20"/>
          <w:szCs w:val="20"/>
          <w:color w:val="auto"/>
        </w:rPr>
      </w:pPr>
    </w:p>
    <w:p>
      <w:pPr>
        <w:ind w:left="116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53" w:lineRule="exact"/>
        <w:rPr>
          <w:sz w:val="20"/>
          <w:szCs w:val="20"/>
          <w:color w:val="auto"/>
        </w:rPr>
      </w:pPr>
    </w:p>
    <w:p>
      <w:pPr>
        <w:jc w:val="both"/>
        <w:ind w:left="1160" w:right="1719" w:firstLine="258"/>
        <w:spacing w:after="0" w:line="274" w:lineRule="auto"/>
        <w:rPr>
          <w:sz w:val="20"/>
          <w:szCs w:val="20"/>
          <w:color w:val="auto"/>
        </w:rPr>
      </w:pPr>
      <w:r>
        <w:rPr>
          <w:rFonts w:ascii="Times New Roman" w:cs="Times New Roman" w:eastAsia="Times New Roman" w:hAnsi="Times New Roman"/>
          <w:sz w:val="14"/>
          <w:szCs w:val="14"/>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50" w:lineRule="exact"/>
        <w:rPr>
          <w:sz w:val="20"/>
          <w:szCs w:val="20"/>
          <w:color w:val="auto"/>
        </w:rPr>
      </w:pPr>
    </w:p>
    <w:p>
      <w:pPr>
        <w:ind w:left="1860" w:right="121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and reimbursement regimes in foreign countries, including changes to regulatory requirements and implementation of new regulations in foreign countries;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96" w:lineRule="exact"/>
        <w:rPr>
          <w:rFonts w:ascii="Times New Roman" w:cs="Times New Roman" w:eastAsia="Times New Roman" w:hAnsi="Times New Roman"/>
          <w:sz w:val="14"/>
          <w:szCs w:val="14"/>
          <w:color w:val="auto"/>
        </w:rPr>
      </w:pPr>
    </w:p>
    <w:p>
      <w:pPr>
        <w:ind w:left="1860" w:right="1799" w:hanging="357"/>
        <w:spacing w:after="0" w:line="292"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price and exchange controls and other regulatory requirements;</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49" w:name="page50"/>
    <w:bookmarkEnd w:id="49"/>
    <w:p>
      <w:pPr>
        <w:ind w:left="1860" w:right="1319" w:hanging="357"/>
        <w:spacing w:after="0" w:line="292"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37" w:lineRule="exact"/>
        <w:rPr>
          <w:rFonts w:ascii="Times New Roman" w:cs="Times New Roman" w:eastAsia="Times New Roman" w:hAnsi="Times New Roman"/>
          <w:sz w:val="14"/>
          <w:szCs w:val="14"/>
          <w:color w:val="auto"/>
        </w:rPr>
      </w:pPr>
    </w:p>
    <w:p>
      <w:pPr>
        <w:ind w:left="1860" w:right="1519" w:hanging="357"/>
        <w:spacing w:after="0" w:line="292"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taxes, including withholding of payroll taxes;</w:t>
      </w:r>
    </w:p>
    <w:p>
      <w:pPr>
        <w:spacing w:after="0" w:line="96" w:lineRule="exact"/>
        <w:rPr>
          <w:rFonts w:ascii="Times New Roman" w:cs="Times New Roman" w:eastAsia="Times New Roman" w:hAnsi="Times New Roman"/>
          <w:sz w:val="14"/>
          <w:szCs w:val="14"/>
          <w:color w:val="auto"/>
        </w:rPr>
      </w:pPr>
    </w:p>
    <w:p>
      <w:pPr>
        <w:ind w:left="1860" w:right="1259" w:hanging="357"/>
        <w:spacing w:after="0" w:line="292"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foreign operations;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FCPA or comparable foreign regulations;</w:t>
      </w:r>
    </w:p>
    <w:p>
      <w:pPr>
        <w:spacing w:after="0" w:line="96" w:lineRule="exact"/>
        <w:rPr>
          <w:rFonts w:ascii="Times New Roman" w:cs="Times New Roman" w:eastAsia="Times New Roman" w:hAnsi="Times New Roman"/>
          <w:sz w:val="14"/>
          <w:szCs w:val="14"/>
          <w:color w:val="auto"/>
        </w:rPr>
      </w:pPr>
    </w:p>
    <w:p>
      <w:pPr>
        <w:ind w:left="1860" w:right="1459" w:hanging="357"/>
        <w:spacing w:after="0" w:line="274"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w:t>
      </w:r>
    </w:p>
    <w:p>
      <w:pPr>
        <w:spacing w:after="0" w:line="97"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5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35"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In addition, there can be no guarantee that we will receive approval to sell our products in the international markets we target, nor can there be any guarantee that any sales would result even if such approval is received. Even</w:t>
      </w: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0" w:name="page51"/>
    <w:bookmarkEnd w:id="50"/>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2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achieve or maintain satisfactory pricing and margins for our products.</w:t>
      </w:r>
    </w:p>
    <w:p>
      <w:pPr>
        <w:spacing w:after="0" w:line="10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59"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sizes of the markets for our current and future products have not been established with precision and may be smaller than we estimate.</w:t>
      </w:r>
    </w:p>
    <w:p>
      <w:pPr>
        <w:spacing w:after="0" w:line="3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61" w:lineRule="exact"/>
        <w:rPr>
          <w:sz w:val="20"/>
          <w:szCs w:val="20"/>
          <w:color w:val="auto"/>
        </w:rPr>
      </w:pPr>
    </w:p>
    <w:p>
      <w:pPr>
        <w:ind w:left="1160" w:right="12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spacing w:after="0" w:line="5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200" w:lineRule="exact"/>
        <w:rPr>
          <w:sz w:val="20"/>
          <w:szCs w:val="20"/>
          <w:color w:val="auto"/>
        </w:rPr>
      </w:pP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1" w:name="page52"/>
    <w:bookmarkEnd w:id="51"/>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228" w:lineRule="exact"/>
        <w:rPr>
          <w:sz w:val="20"/>
          <w:szCs w:val="20"/>
          <w:color w:val="auto"/>
        </w:rPr>
      </w:pPr>
    </w:p>
    <w:p>
      <w:pPr>
        <w:ind w:left="1160" w:right="1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results may fluctuate significantly and may not fully reflect the underlying performance of our business.</w:t>
      </w:r>
    </w:p>
    <w:p>
      <w:pPr>
        <w:spacing w:after="0" w:line="34"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56"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expanded, and may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48" w:lineRule="exact"/>
        <w:rPr>
          <w:sz w:val="20"/>
          <w:szCs w:val="20"/>
          <w:color w:val="auto"/>
        </w:rPr>
      </w:pPr>
    </w:p>
    <w:p>
      <w:pPr>
        <w:ind w:left="1160" w:right="1359" w:firstLine="258"/>
        <w:spacing w:after="0" w:line="260" w:lineRule="auto"/>
        <w:rPr>
          <w:sz w:val="20"/>
          <w:szCs w:val="20"/>
          <w:color w:val="auto"/>
        </w:rPr>
      </w:pPr>
      <w:r>
        <w:rPr>
          <w:rFonts w:ascii="Times New Roman" w:cs="Times New Roman" w:eastAsia="Times New Roman" w:hAnsi="Times New Roman"/>
          <w:sz w:val="14"/>
          <w:szCs w:val="14"/>
          <w:color w:val="auto"/>
        </w:rPr>
        <w:t>We have experienced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Certain of our operating results and financial metrics may be difficult to predict as a result of seasonality.</w:t>
      </w:r>
    </w:p>
    <w:p>
      <w:pPr>
        <w:spacing w:after="0" w:line="10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54"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to offset future taxable income may be subject to certain limitations.</w:t>
      </w:r>
    </w:p>
    <w:p>
      <w:pPr>
        <w:spacing w:after="0" w:line="34"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As of December 31, 2024, we had federal net operating loss carryforwards (“NOLs”) of approximately $345.2 million, some of which will begin to expire in various years ranging from 2025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is generally limited to 80% of taxable income. It is uncertain if and to what extent various states will conform to the Tax Act, as modified by the CARES Act.</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2" w:name="page53"/>
    <w:bookmarkEnd w:id="52"/>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5"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48"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56"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235"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60"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56"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3" w:name="page54"/>
    <w:bookmarkEnd w:id="53"/>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58"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63"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40"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56"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63"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231"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4" w:name="page55"/>
    <w:bookmarkEnd w:id="54"/>
    <w:p>
      <w:pPr>
        <w:ind w:left="1160" w:right="1179"/>
        <w:spacing w:after="0" w:line="268" w:lineRule="auto"/>
        <w:rPr>
          <w:sz w:val="20"/>
          <w:szCs w:val="20"/>
          <w:color w:val="auto"/>
        </w:rPr>
      </w:pPr>
      <w:r>
        <w:rPr>
          <w:rFonts w:ascii="Times New Roman" w:cs="Times New Roman" w:eastAsia="Times New Roman" w:hAnsi="Times New Roman"/>
          <w:sz w:val="14"/>
          <w:szCs w:val="14"/>
          <w:color w:val="auto"/>
        </w:rPr>
        <w:t>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5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232"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The United States government has released a draft framework that may be used by an agency when deciding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spacing w:after="0" w:line="66"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54"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technology for an adequate amount of time.</w:t>
      </w:r>
    </w:p>
    <w:p>
      <w:pPr>
        <w:spacing w:after="0" w:line="3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56" w:lineRule="exact"/>
        <w:rPr>
          <w:sz w:val="20"/>
          <w:szCs w:val="20"/>
          <w:color w:val="auto"/>
        </w:rPr>
      </w:pPr>
    </w:p>
    <w:p>
      <w:pPr>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5" w:name="page56"/>
    <w:bookmarkEnd w:id="55"/>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61" w:lineRule="exact"/>
        <w:rPr>
          <w:sz w:val="20"/>
          <w:szCs w:val="20"/>
          <w:color w:val="auto"/>
        </w:rPr>
      </w:pPr>
    </w:p>
    <w:p>
      <w:pPr>
        <w:jc w:val="both"/>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34" w:lineRule="exact"/>
        <w:rPr>
          <w:sz w:val="20"/>
          <w:szCs w:val="20"/>
          <w:color w:val="auto"/>
        </w:rPr>
      </w:pPr>
    </w:p>
    <w:p>
      <w:pPr>
        <w:jc w:val="both"/>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5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55"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3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61"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54" w:lineRule="exact"/>
        <w:rPr>
          <w:sz w:val="20"/>
          <w:szCs w:val="20"/>
          <w:color w:val="auto"/>
        </w:rPr>
      </w:pPr>
    </w:p>
    <w:p>
      <w:pPr>
        <w:jc w:val="both"/>
        <w:ind w:left="1160" w:right="12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53"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6" w:name="page57"/>
    <w:bookmarkEnd w:id="56"/>
    <w:p>
      <w:pPr>
        <w:ind w:left="1160" w:right="1199"/>
        <w:spacing w:after="0" w:line="260" w:lineRule="auto"/>
        <w:rPr>
          <w:sz w:val="20"/>
          <w:szCs w:val="20"/>
          <w:color w:val="auto"/>
        </w:rPr>
      </w:pPr>
      <w:r>
        <w:rPr>
          <w:rFonts w:ascii="Times New Roman" w:cs="Times New Roman" w:eastAsia="Times New Roman" w:hAnsi="Times New Roman"/>
          <w:sz w:val="14"/>
          <w:szCs w:val="14"/>
          <w:color w:val="auto"/>
        </w:rPr>
        <w:t>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6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65"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56"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3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w:t>
      </w: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7" w:name="page58"/>
    <w:bookmarkEnd w:id="57"/>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6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65"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56"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235" w:lineRule="exact"/>
        <w:rPr>
          <w:sz w:val="20"/>
          <w:szCs w:val="20"/>
          <w:color w:val="auto"/>
        </w:rPr>
      </w:pPr>
    </w:p>
    <w:p>
      <w:pPr>
        <w:ind w:left="1160" w:right="1339" w:firstLine="258"/>
        <w:spacing w:after="0" w:line="261" w:lineRule="auto"/>
        <w:rPr>
          <w:sz w:val="20"/>
          <w:szCs w:val="20"/>
          <w:color w:val="auto"/>
        </w:rPr>
      </w:pPr>
      <w:r>
        <w:rPr>
          <w:rFonts w:ascii="Times New Roman" w:cs="Times New Roman" w:eastAsia="Times New Roman" w:hAnsi="Times New Roman"/>
          <w:sz w:val="14"/>
          <w:szCs w:val="14"/>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60"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8" w:name="page59"/>
    <w:bookmarkEnd w:id="58"/>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235"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6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29" w:lineRule="exact"/>
        <w:rPr>
          <w:sz w:val="20"/>
          <w:szCs w:val="20"/>
          <w:color w:val="auto"/>
        </w:rPr>
      </w:pPr>
    </w:p>
    <w:p>
      <w:pPr>
        <w:ind w:left="1160" w:right="15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Because of the expense and uncertainty of litigation, we may not be in a position to enforce our intellectual property rights against third parties.</w:t>
      </w:r>
    </w:p>
    <w:p>
      <w:pPr>
        <w:spacing w:after="0" w:line="3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54"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our products are subject, in part, to the terms and conditions of licenses granted to us by others.</w:t>
      </w:r>
    </w:p>
    <w:p>
      <w:pPr>
        <w:spacing w:after="0" w:line="3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59" w:name="page60"/>
    <w:bookmarkEnd w:id="59"/>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60"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50"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62" w:lineRule="exact"/>
        <w:rPr>
          <w:sz w:val="20"/>
          <w:szCs w:val="20"/>
          <w:color w:val="auto"/>
        </w:rPr>
      </w:pPr>
    </w:p>
    <w:p>
      <w:pPr>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5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58"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rPr>
        <w:t>Disputes may arise between us and our future licensors regarding intellectual property subject to a license agreement, including:</w:t>
      </w:r>
    </w:p>
    <w:p>
      <w:pPr>
        <w:spacing w:after="0" w:line="38" w:lineRule="exact"/>
        <w:rPr>
          <w:sz w:val="20"/>
          <w:szCs w:val="20"/>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6" w:lineRule="exact"/>
        <w:rPr>
          <w:rFonts w:ascii="Times New Roman" w:cs="Times New Roman" w:eastAsia="Times New Roman" w:hAnsi="Times New Roman"/>
          <w:sz w:val="14"/>
          <w:szCs w:val="14"/>
          <w:color w:val="auto"/>
        </w:rPr>
      </w:pPr>
    </w:p>
    <w:p>
      <w:pPr>
        <w:ind w:left="1860" w:right="1379" w:hanging="357"/>
        <w:spacing w:after="0" w:line="292" w:lineRule="auto"/>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96" w:lineRule="exact"/>
        <w:rPr>
          <w:rFonts w:ascii="Times New Roman" w:cs="Times New Roman" w:eastAsia="Times New Roman" w:hAnsi="Times New Roman"/>
          <w:sz w:val="14"/>
          <w:szCs w:val="14"/>
          <w:color w:val="auto"/>
        </w:rPr>
      </w:pPr>
    </w:p>
    <w:p>
      <w:pPr>
        <w:ind w:left="1860" w:right="1719" w:hanging="357"/>
        <w:spacing w:after="0" w:line="274" w:lineRule="auto"/>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products, and what activities satisfy those diligence obligations;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 and</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0" w:name="page61"/>
    <w:bookmarkEnd w:id="60"/>
    <w:p>
      <w:pPr>
        <w:ind w:left="1860" w:right="1619" w:hanging="357"/>
        <w:spacing w:after="0" w:line="292"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any of our future licensors and us and our partners.</w:t>
      </w:r>
    </w:p>
    <w:p>
      <w:pPr>
        <w:spacing w:after="0" w:line="38"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0"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54"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63"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50"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59"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54"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necessary rights to any products we may develop through acquisitions and in-licenses.</w:t>
      </w:r>
    </w:p>
    <w:p>
      <w:pPr>
        <w:spacing w:after="0" w:line="3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1" w:name="page62"/>
    <w:bookmarkEnd w:id="61"/>
    <w:p>
      <w:pPr>
        <w:ind w:left="1160" w:right="1339"/>
        <w:spacing w:after="0" w:line="292" w:lineRule="auto"/>
        <w:rPr>
          <w:sz w:val="20"/>
          <w:szCs w:val="20"/>
          <w:color w:val="auto"/>
        </w:rPr>
      </w:pPr>
      <w:r>
        <w:rPr>
          <w:rFonts w:ascii="Times New Roman" w:cs="Times New Roman" w:eastAsia="Times New Roman" w:hAnsi="Times New Roman"/>
          <w:sz w:val="14"/>
          <w:szCs w:val="14"/>
          <w:color w:val="auto"/>
        </w:rPr>
        <w:t>unable to do so, we may be unable to develop or commercialize the affected products, which could materially and adversely affect our business, financial condition and results of operations.</w:t>
      </w:r>
    </w:p>
    <w:p>
      <w:pPr>
        <w:spacing w:after="0" w:line="34"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34"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0" w:lineRule="exact"/>
        <w:rPr>
          <w:sz w:val="20"/>
          <w:szCs w:val="20"/>
          <w:color w:val="auto"/>
        </w:rPr>
      </w:pPr>
    </w:p>
    <w:p>
      <w:pPr>
        <w:ind w:left="1860" w:right="125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68"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54"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current and future products;</w:t>
      </w:r>
    </w:p>
    <w:p>
      <w:pPr>
        <w:spacing w:after="0" w:line="37" w:lineRule="exact"/>
        <w:rPr>
          <w:rFonts w:ascii="Times New Roman" w:cs="Times New Roman" w:eastAsia="Times New Roman" w:hAnsi="Times New Roman"/>
          <w:sz w:val="14"/>
          <w:szCs w:val="14"/>
          <w:color w:val="auto"/>
        </w:rPr>
      </w:pPr>
    </w:p>
    <w:p>
      <w:pPr>
        <w:jc w:val="both"/>
        <w:ind w:left="1860" w:right="135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37"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37" w:lineRule="exact"/>
        <w:rPr>
          <w:rFonts w:ascii="Times New Roman" w:cs="Times New Roman" w:eastAsia="Times New Roman" w:hAnsi="Times New Roman"/>
          <w:sz w:val="14"/>
          <w:szCs w:val="14"/>
          <w:color w:val="auto"/>
        </w:rPr>
      </w:pPr>
    </w:p>
    <w:p>
      <w:pPr>
        <w:ind w:left="1860" w:right="1259" w:hanging="357"/>
        <w:spacing w:after="0" w:line="268"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4" w:lineRule="exact"/>
        <w:rPr>
          <w:rFonts w:ascii="Times New Roman" w:cs="Times New Roman" w:eastAsia="Times New Roman" w:hAnsi="Times New Roman"/>
          <w:sz w:val="14"/>
          <w:szCs w:val="14"/>
          <w:color w:val="auto"/>
        </w:rPr>
      </w:pPr>
    </w:p>
    <w:p>
      <w:pPr>
        <w:ind w:left="1860" w:right="1239" w:hanging="357"/>
        <w:spacing w:after="0" w:line="274"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0" w:lineRule="exact"/>
        <w:rPr>
          <w:rFonts w:ascii="Times New Roman" w:cs="Times New Roman" w:eastAsia="Times New Roman" w:hAnsi="Times New Roman"/>
          <w:sz w:val="14"/>
          <w:szCs w:val="14"/>
          <w:color w:val="auto"/>
        </w:rPr>
      </w:pPr>
    </w:p>
    <w:p>
      <w:pPr>
        <w:ind w:left="1860" w:right="155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products;</w:t>
      </w:r>
    </w:p>
    <w:p>
      <w:pPr>
        <w:spacing w:after="0" w:line="37" w:lineRule="exact"/>
        <w:rPr>
          <w:rFonts w:ascii="Times New Roman" w:cs="Times New Roman" w:eastAsia="Times New Roman" w:hAnsi="Times New Roman"/>
          <w:sz w:val="14"/>
          <w:szCs w:val="14"/>
          <w:color w:val="auto"/>
        </w:rPr>
      </w:pPr>
    </w:p>
    <w:p>
      <w:pPr>
        <w:ind w:left="1860" w:right="1539" w:hanging="357"/>
        <w:spacing w:after="0" w:line="274"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0" w:lineRule="exact"/>
        <w:rPr>
          <w:rFonts w:ascii="Times New Roman" w:cs="Times New Roman" w:eastAsia="Times New Roman" w:hAnsi="Times New Roman"/>
          <w:sz w:val="14"/>
          <w:szCs w:val="14"/>
          <w:color w:val="auto"/>
        </w:rPr>
      </w:pPr>
    </w:p>
    <w:p>
      <w:pPr>
        <w:ind w:left="1860" w:right="1619" w:hanging="357"/>
        <w:spacing w:after="0" w:line="292"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collaborator’s sales and marketing activities or other operations may not be in compliance with applicable laws resulting in civil or criminal proceedings.</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10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2" w:name="page63"/>
    <w:bookmarkEnd w:id="62"/>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and other proprietary information, our business and competitive position may be harmed.</w:t>
      </w:r>
    </w:p>
    <w:p>
      <w:pPr>
        <w:spacing w:after="0" w:line="34"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6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6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63"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230"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34"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63" w:name="page64"/>
    <w:bookmarkEnd w:id="63"/>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6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59" w:lineRule="exact"/>
        <w:rPr>
          <w:sz w:val="20"/>
          <w:szCs w:val="20"/>
          <w:color w:val="auto"/>
        </w:rPr>
      </w:pPr>
    </w:p>
    <w:p>
      <w:pPr>
        <w:ind w:left="1160" w:right="15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impair our business.</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6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4" w:name="page65"/>
    <w:bookmarkEnd w:id="64"/>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58"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precedent is developing for the court, increasing the uncertainty of any litigation.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101" w:lineRule="exact"/>
        <w:rPr>
          <w:sz w:val="20"/>
          <w:szCs w:val="20"/>
          <w:color w:val="auto"/>
        </w:rPr>
      </w:pPr>
    </w:p>
    <w:p>
      <w:pPr>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0" w:lineRule="exact"/>
        <w:rPr>
          <w:sz w:val="20"/>
          <w:szCs w:val="20"/>
          <w:color w:val="auto"/>
        </w:rPr>
      </w:pPr>
    </w:p>
    <w:p>
      <w:pPr>
        <w:ind w:left="1860" w:right="1199" w:hanging="357"/>
        <w:spacing w:after="0" w:line="274"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50" w:lineRule="exact"/>
        <w:rPr>
          <w:rFonts w:ascii="Times New Roman" w:cs="Times New Roman" w:eastAsia="Times New Roman" w:hAnsi="Times New Roman"/>
          <w:sz w:val="14"/>
          <w:szCs w:val="14"/>
          <w:color w:val="auto"/>
        </w:rPr>
      </w:pPr>
    </w:p>
    <w:p>
      <w:pPr>
        <w:ind w:left="1860" w:right="1159" w:hanging="357"/>
        <w:spacing w:after="0" w:line="274"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50"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of our current or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37"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current or future owned or in-licensed patent applications will not lead to issued patents;</w:t>
      </w:r>
    </w:p>
    <w:p>
      <w:pPr>
        <w:spacing w:after="0" w:line="37" w:lineRule="exact"/>
        <w:rPr>
          <w:rFonts w:ascii="Times New Roman" w:cs="Times New Roman" w:eastAsia="Times New Roman" w:hAnsi="Times New Roman"/>
          <w:sz w:val="14"/>
          <w:szCs w:val="14"/>
          <w:color w:val="auto"/>
        </w:rPr>
      </w:pPr>
    </w:p>
    <w:p>
      <w:pPr>
        <w:ind w:left="1860" w:right="1179" w:hanging="357"/>
        <w:spacing w:after="0" w:line="274"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50" w:lineRule="exact"/>
        <w:rPr>
          <w:rFonts w:ascii="Times New Roman" w:cs="Times New Roman" w:eastAsia="Times New Roman" w:hAnsi="Times New Roman"/>
          <w:sz w:val="14"/>
          <w:szCs w:val="14"/>
          <w:color w:val="auto"/>
        </w:rPr>
      </w:pPr>
    </w:p>
    <w:p>
      <w:pPr>
        <w:ind w:left="1860" w:right="1499" w:hanging="357"/>
        <w:spacing w:after="0" w:line="265"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 and</w:t>
      </w:r>
    </w:p>
    <w:p>
      <w:pPr>
        <w:spacing w:after="0" w:line="96" w:lineRule="exact"/>
        <w:rPr>
          <w:rFonts w:ascii="Times New Roman" w:cs="Times New Roman" w:eastAsia="Times New Roman" w:hAnsi="Times New Roman"/>
          <w:sz w:val="14"/>
          <w:szCs w:val="14"/>
          <w:color w:val="auto"/>
        </w:rPr>
      </w:pPr>
    </w:p>
    <w:p>
      <w:pPr>
        <w:ind w:left="1860" w:right="1739" w:hanging="357"/>
        <w:spacing w:after="0" w:line="292" w:lineRule="auto"/>
        <w:tabs>
          <w:tab w:leader="none" w:pos="1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for certain trade secrets or know-how, and a third party may subsequently file a patent covering such intellectual property.</w:t>
      </w:r>
    </w:p>
    <w:p>
      <w:pPr>
        <w:spacing w:after="0" w:line="34"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use of “open source” software could subject our proprietary software to general release, adversely affect our ability to sell our products and subject us to possible litigation.</w:t>
      </w:r>
    </w:p>
    <w:p>
      <w:pPr>
        <w:spacing w:after="0" w:line="3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5" w:name="page66"/>
    <w:bookmarkEnd w:id="65"/>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57"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34"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48" w:lineRule="exact"/>
        <w:rPr>
          <w:sz w:val="20"/>
          <w:szCs w:val="20"/>
          <w:color w:val="auto"/>
        </w:rPr>
      </w:pPr>
    </w:p>
    <w:p>
      <w:pPr>
        <w:jc w:val="both"/>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50" w:lineRule="exact"/>
        <w:rPr>
          <w:sz w:val="20"/>
          <w:szCs w:val="20"/>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design, development and manufacture;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laboratory, preclinical and clinical testing, labeling, packaging, storage and distribution;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premarketing clearance or approval;</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keeping;</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 and effective;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changes;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6" w:name="page67"/>
    <w:bookmarkEnd w:id="66"/>
    <w:p>
      <w:pPr>
        <w:ind w:left="1860" w:hanging="357"/>
        <w:spacing w:after="0"/>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marketing, promotion and advertising, sales and distribution; and</w:t>
      </w:r>
    </w:p>
    <w:p>
      <w:pPr>
        <w:spacing w:after="0" w:line="96"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 marketing surveillance, including reporting of deaths or serious injuries and recalls and correction and removals.</w:t>
      </w:r>
    </w:p>
    <w:p>
      <w:pPr>
        <w:spacing w:after="0" w:line="38"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p>
    <w:p>
      <w:pPr>
        <w:spacing w:after="0" w:line="50" w:lineRule="exact"/>
        <w:rPr>
          <w:sz w:val="20"/>
          <w:szCs w:val="20"/>
          <w:color w:val="auto"/>
        </w:rPr>
      </w:pPr>
    </w:p>
    <w:p>
      <w:pPr>
        <w:ind w:left="1160" w:right="1279" w:firstLine="258"/>
        <w:spacing w:after="0" w:line="258" w:lineRule="auto"/>
        <w:rPr>
          <w:sz w:val="20"/>
          <w:szCs w:val="20"/>
          <w:color w:val="auto"/>
        </w:rPr>
      </w:pPr>
      <w:r>
        <w:rPr>
          <w:rFonts w:ascii="Times New Roman" w:cs="Times New Roman" w:eastAsia="Times New Roman" w:hAnsi="Times New Roman"/>
          <w:sz w:val="14"/>
          <w:szCs w:val="14"/>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FDA can delay, limit or deny clearance or approval of a device for many reasons, including:</w:t>
      </w:r>
    </w:p>
    <w:p>
      <w:pPr>
        <w:spacing w:after="0" w:line="97" w:lineRule="exact"/>
        <w:rPr>
          <w:sz w:val="20"/>
          <w:szCs w:val="20"/>
          <w:color w:val="auto"/>
        </w:rPr>
      </w:pPr>
    </w:p>
    <w:p>
      <w:pPr>
        <w:ind w:left="1860" w:right="1239" w:hanging="357"/>
        <w:spacing w:after="0" w:line="292"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the applicable regulatory entity or notified body that our products are safe or effective for their intended uses;</w:t>
      </w:r>
    </w:p>
    <w:p>
      <w:pPr>
        <w:spacing w:after="0" w:line="37" w:lineRule="exact"/>
        <w:rPr>
          <w:rFonts w:ascii="Times New Roman" w:cs="Times New Roman" w:eastAsia="Times New Roman" w:hAnsi="Times New Roman"/>
          <w:sz w:val="14"/>
          <w:szCs w:val="14"/>
          <w:color w:val="auto"/>
        </w:rPr>
      </w:pPr>
    </w:p>
    <w:p>
      <w:pPr>
        <w:ind w:left="1860" w:right="1239" w:hanging="357"/>
        <w:spacing w:after="0" w:line="274"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50"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adverse device effects experienced by participants in our clinical trials;</w:t>
      </w:r>
    </w:p>
    <w:p>
      <w:pPr>
        <w:spacing w:after="0" w:line="96" w:lineRule="exact"/>
        <w:rPr>
          <w:rFonts w:ascii="Times New Roman" w:cs="Times New Roman" w:eastAsia="Times New Roman" w:hAnsi="Times New Roman"/>
          <w:sz w:val="14"/>
          <w:szCs w:val="14"/>
          <w:color w:val="auto"/>
        </w:rPr>
      </w:pPr>
    </w:p>
    <w:p>
      <w:pPr>
        <w:ind w:left="1860" w:right="1539" w:hanging="357"/>
        <w:spacing w:after="0" w:line="292"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from our pre-clinical studies and clinical trials may be insufficient to support clearance or approval, where required;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that the clinical and other benefits of the device outweigh the risks;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65"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5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authority may identify significant deficiencies in our manufacturing processes, facilities or analytical methods or those of our third-party contract manufacturers;</w:t>
      </w:r>
    </w:p>
    <w:p>
      <w:pPr>
        <w:spacing w:after="0" w:line="37" w:lineRule="exact"/>
        <w:rPr>
          <w:rFonts w:ascii="Times New Roman" w:cs="Times New Roman" w:eastAsia="Times New Roman" w:hAnsi="Times New Roman"/>
          <w:sz w:val="14"/>
          <w:szCs w:val="14"/>
          <w:color w:val="auto"/>
        </w:rPr>
      </w:pPr>
    </w:p>
    <w:p>
      <w:pPr>
        <w:ind w:left="1860" w:right="1319" w:hanging="357"/>
        <w:spacing w:after="0" w:line="274"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50"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foreign regulatory authorities may audit our clinical trial data and conclude that the data is not sufficiently reliable to support approval or clearance.</w:t>
      </w:r>
    </w:p>
    <w:p>
      <w:pPr>
        <w:spacing w:after="0" w:line="38"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7" w:name="page68"/>
    <w:bookmarkEnd w:id="67"/>
    <w:p>
      <w:pPr>
        <w:ind w:left="1160" w:right="1239"/>
        <w:spacing w:after="0" w:line="268" w:lineRule="auto"/>
        <w:rPr>
          <w:sz w:val="20"/>
          <w:szCs w:val="20"/>
          <w:color w:val="auto"/>
        </w:rPr>
      </w:pPr>
      <w:r>
        <w:rPr>
          <w:rFonts w:ascii="Times New Roman" w:cs="Times New Roman" w:eastAsia="Times New Roman" w:hAnsi="Times New Roman"/>
          <w:sz w:val="14"/>
          <w:szCs w:val="14"/>
          <w:color w:val="auto"/>
        </w:rPr>
        <w:t>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5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59"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56"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58"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59"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50" w:lineRule="exact"/>
        <w:rPr>
          <w:sz w:val="20"/>
          <w:szCs w:val="20"/>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warning letters, fines, injunctions, consent decrees and civil penalties;</w:t>
      </w:r>
    </w:p>
    <w:p>
      <w:pPr>
        <w:spacing w:after="0" w:line="96" w:lineRule="exact"/>
        <w:rPr>
          <w:rFonts w:ascii="Times New Roman" w:cs="Times New Roman" w:eastAsia="Times New Roman" w:hAnsi="Times New Roman"/>
          <w:sz w:val="14"/>
          <w:szCs w:val="14"/>
          <w:color w:val="auto"/>
        </w:rPr>
      </w:pPr>
    </w:p>
    <w:p>
      <w:pPr>
        <w:ind w:left="1860" w:right="1319" w:hanging="357"/>
        <w:spacing w:after="0" w:line="292" w:lineRule="auto"/>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replacement, refunds, recalls, termination of distribution, administrative detention or seizure of our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partial suspension or total shutdown of production;</w:t>
      </w:r>
    </w:p>
    <w:p>
      <w:pPr>
        <w:spacing w:after="0" w:line="96" w:lineRule="exact"/>
        <w:rPr>
          <w:rFonts w:ascii="Times New Roman" w:cs="Times New Roman" w:eastAsia="Times New Roman" w:hAnsi="Times New Roman"/>
          <w:sz w:val="14"/>
          <w:szCs w:val="14"/>
          <w:color w:val="auto"/>
        </w:rPr>
      </w:pPr>
    </w:p>
    <w:p>
      <w:pPr>
        <w:ind w:left="1860" w:right="1179" w:hanging="357"/>
        <w:spacing w:after="0" w:line="292" w:lineRule="auto"/>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denial of our requests for 510(k) clearance or PMA of new products, new intended uses or modifications to existing products;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510(k) clearance or PMAs that have already been granted;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68" w:name="page69"/>
    <w:bookmarkEnd w:id="68"/>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products and operations are subject to extensive government regulation and oversight in the United States.</w:t>
      </w:r>
    </w:p>
    <w:p>
      <w:pPr>
        <w:spacing w:after="0" w:line="10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60"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5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63"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23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69" w:name="page70"/>
    <w:bookmarkEnd w:id="69"/>
    <w:p>
      <w:pPr>
        <w:ind w:left="1160" w:right="1359"/>
        <w:spacing w:after="0" w:line="274" w:lineRule="auto"/>
        <w:rPr>
          <w:sz w:val="20"/>
          <w:szCs w:val="20"/>
          <w:color w:val="auto"/>
        </w:rPr>
      </w:pPr>
      <w:r>
        <w:rPr>
          <w:rFonts w:ascii="Times New Roman" w:cs="Times New Roman" w:eastAsia="Times New Roman" w:hAnsi="Times New Roman"/>
          <w:sz w:val="14"/>
          <w:szCs w:val="14"/>
          <w:color w:val="auto"/>
        </w:rPr>
        <w:t>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50"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54"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If we fail to comply with applicable regulatory requirements, a regulatory agency or enforcement authority may, among other things:</w:t>
      </w:r>
    </w:p>
    <w:p>
      <w:pPr>
        <w:spacing w:after="0" w:line="38" w:lineRule="exact"/>
        <w:rPr>
          <w:sz w:val="20"/>
          <w:szCs w:val="20"/>
          <w:color w:val="auto"/>
        </w:rPr>
      </w:pPr>
    </w:p>
    <w:p>
      <w:pPr>
        <w:ind w:left="1860" w:right="125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our facility to an adverse inspectional finding or Form 483, or other compliance or enforcement notice, communication or correspondence;</w:t>
      </w:r>
    </w:p>
    <w:p>
      <w:pPr>
        <w:spacing w:after="0" w:line="37" w:lineRule="exact"/>
        <w:rPr>
          <w:rFonts w:ascii="Times New Roman" w:cs="Times New Roman" w:eastAsia="Times New Roman" w:hAnsi="Times New Roman"/>
          <w:sz w:val="14"/>
          <w:szCs w:val="14"/>
          <w:color w:val="auto"/>
        </w:rPr>
      </w:pPr>
    </w:p>
    <w:p>
      <w:pPr>
        <w:ind w:left="1860" w:right="171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or untitled letters that would result in adverse publicity or may require corrective advertising;</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civil or criminal penalties;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clearances or approvals;</w:t>
      </w:r>
    </w:p>
    <w:p>
      <w:pPr>
        <w:spacing w:after="0" w:line="96" w:lineRule="exact"/>
        <w:rPr>
          <w:rFonts w:ascii="Times New Roman" w:cs="Times New Roman" w:eastAsia="Times New Roman" w:hAnsi="Times New Roman"/>
          <w:sz w:val="14"/>
          <w:szCs w:val="14"/>
          <w:color w:val="auto"/>
        </w:rPr>
      </w:pPr>
    </w:p>
    <w:p>
      <w:pPr>
        <w:ind w:left="1860" w:right="1359" w:hanging="357"/>
        <w:spacing w:after="0" w:line="292"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clear or approve pending applications or supplements to approved applications submitted by us;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restrictions on our operations, including closing our sub-assembly suppliers’ facilities;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products; or</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product recall.</w:t>
      </w:r>
    </w:p>
    <w:p>
      <w:pPr>
        <w:spacing w:after="0" w:line="97"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50" w:lineRule="exact"/>
        <w:rPr>
          <w:sz w:val="20"/>
          <w:szCs w:val="20"/>
          <w:color w:val="auto"/>
        </w:rPr>
      </w:pPr>
    </w:p>
    <w:p>
      <w:pPr>
        <w:ind w:left="1160" w:right="1439" w:firstLine="258"/>
        <w:spacing w:after="0" w:line="265"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56"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Recently, the U.S. Supreme Court overruled the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63"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Further, under the new leadership at the HHS under the Trump administration, agency reorganization, departure of high-profile regulators at the FDA, and reduction in force (RIF) initiative, or layoffs,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Trump administration and the new FDA</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0" w:name="page71"/>
    <w:bookmarkEnd w:id="70"/>
    <w:p>
      <w:pPr>
        <w:ind w:left="1160" w:right="1319"/>
        <w:spacing w:after="0" w:line="263" w:lineRule="auto"/>
        <w:rPr>
          <w:sz w:val="20"/>
          <w:szCs w:val="20"/>
          <w:color w:val="auto"/>
        </w:rPr>
      </w:pPr>
      <w:r>
        <w:rPr>
          <w:rFonts w:ascii="Times New Roman" w:cs="Times New Roman" w:eastAsia="Times New Roman" w:hAnsi="Times New Roman"/>
          <w:sz w:val="14"/>
          <w:szCs w:val="14"/>
          <w:color w:val="auto"/>
        </w:rPr>
        <w:t>commissioner, Dr. Martin Makary, or other executive orders. There is significant uncertainty in the industry and how federal agencies like the FDA will change in the coming years under the Trump administration. To the extent the agency reorganization and other agency changes lead to disruptions in FDA’s operations, including changes resulting from executive orders; freeze on hiring, federal funding for research, and external communications; layoffs; return-to-office policies, and changes in funding for certain programs at the FDA, correspondence and regulatory review processes with the FDA may be materially delayed.</w:t>
      </w:r>
    </w:p>
    <w:p>
      <w:pPr>
        <w:spacing w:after="0" w:line="54" w:lineRule="exact"/>
        <w:rPr>
          <w:sz w:val="20"/>
          <w:szCs w:val="20"/>
          <w:color w:val="auto"/>
        </w:rPr>
      </w:pPr>
    </w:p>
    <w:p>
      <w:pPr>
        <w:ind w:left="11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34"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61" w:lineRule="exact"/>
        <w:rPr>
          <w:sz w:val="20"/>
          <w:szCs w:val="20"/>
          <w:color w:val="auto"/>
        </w:rPr>
      </w:pPr>
    </w:p>
    <w:p>
      <w:pPr>
        <w:ind w:left="1160" w:right="1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53"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65"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60"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1" w:name="page72"/>
    <w:bookmarkEnd w:id="71"/>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59"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34"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5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59"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58"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46" w:lineRule="exact"/>
        <w:rPr>
          <w:sz w:val="20"/>
          <w:szCs w:val="20"/>
          <w:color w:val="auto"/>
        </w:rPr>
      </w:pPr>
    </w:p>
    <w:p>
      <w:pPr>
        <w:jc w:val="both"/>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or our suppliers, fail to comply with the FDA’s QSR or QSMR when it goes into effect in February 2026, or other applicable foreign regulations, our manufacturing or distribution operations could be delayed or shut down and our revenue could suffer.</w:t>
      </w:r>
    </w:p>
    <w:p>
      <w:pPr>
        <w:spacing w:after="0" w:line="48"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2" w:name="page73"/>
    <w:bookmarkEnd w:id="72"/>
    <w:p>
      <w:pPr>
        <w:ind w:left="1160" w:right="1239"/>
        <w:spacing w:after="0" w:line="263" w:lineRule="auto"/>
        <w:rPr>
          <w:sz w:val="20"/>
          <w:szCs w:val="20"/>
          <w:color w:val="auto"/>
        </w:rPr>
      </w:pPr>
      <w:r>
        <w:rPr>
          <w:rFonts w:ascii="Times New Roman" w:cs="Times New Roman" w:eastAsia="Times New Roman" w:hAnsi="Times New Roman"/>
          <w:sz w:val="14"/>
          <w:szCs w:val="14"/>
          <w:color w:val="auto"/>
        </w:rPr>
        <w:t>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58"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5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54" w:lineRule="exact"/>
        <w:rPr>
          <w:sz w:val="20"/>
          <w:szCs w:val="20"/>
          <w:color w:val="auto"/>
        </w:rPr>
      </w:pPr>
    </w:p>
    <w:p>
      <w:pPr>
        <w:ind w:left="1160" w:right="1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34"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58"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59"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new Trump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6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3" w:name="page74"/>
    <w:bookmarkEnd w:id="73"/>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54" w:lineRule="exact"/>
        <w:rPr>
          <w:sz w:val="20"/>
          <w:szCs w:val="20"/>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9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2" w:lineRule="exact"/>
        <w:rPr>
          <w:sz w:val="20"/>
          <w:szCs w:val="20"/>
          <w:color w:val="auto"/>
        </w:rPr>
      </w:pPr>
    </w:p>
    <w:p>
      <w:pPr>
        <w:ind w:left="1160" w:right="14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4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235"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60" w:lineRule="exact"/>
        <w:rPr>
          <w:sz w:val="20"/>
          <w:szCs w:val="20"/>
          <w:color w:val="auto"/>
        </w:rPr>
      </w:pPr>
    </w:p>
    <w:p>
      <w:pPr>
        <w:ind w:left="1860" w:right="1179" w:hanging="357"/>
        <w:spacing w:after="0" w:line="263" w:lineRule="auto"/>
        <w:tabs>
          <w:tab w:leader="none" w:pos="1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4" w:name="page75"/>
    <w:bookmarkEnd w:id="74"/>
    <w:p>
      <w:pPr>
        <w:ind w:left="1860" w:right="1519"/>
        <w:spacing w:after="0" w:line="292" w:lineRule="auto"/>
        <w:rPr>
          <w:sz w:val="20"/>
          <w:szCs w:val="20"/>
          <w:color w:val="auto"/>
        </w:rPr>
      </w:pPr>
      <w:r>
        <w:rPr>
          <w:rFonts w:ascii="Times New Roman" w:cs="Times New Roman" w:eastAsia="Times New Roman" w:hAnsi="Times New Roman"/>
          <w:sz w:val="14"/>
          <w:szCs w:val="14"/>
          <w:color w:val="auto"/>
        </w:rPr>
        <w:t>federal Anti-Kickback Statute constitutes a false or fraudulent claim for purposes of the civil False Claims Act;</w:t>
      </w:r>
    </w:p>
    <w:p>
      <w:pPr>
        <w:spacing w:after="0" w:line="38" w:lineRule="exact"/>
        <w:rPr>
          <w:sz w:val="20"/>
          <w:szCs w:val="20"/>
          <w:color w:val="auto"/>
        </w:rPr>
      </w:pPr>
    </w:p>
    <w:p>
      <w:pPr>
        <w:ind w:left="1860" w:right="1339" w:hanging="357"/>
        <w:spacing w:after="0" w:line="263"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58" w:lineRule="exact"/>
        <w:rPr>
          <w:rFonts w:ascii="Times New Roman" w:cs="Times New Roman" w:eastAsia="Times New Roman" w:hAnsi="Times New Roman"/>
          <w:sz w:val="14"/>
          <w:szCs w:val="14"/>
          <w:color w:val="auto"/>
        </w:rPr>
      </w:pPr>
    </w:p>
    <w:p>
      <w:pPr>
        <w:ind w:left="1860" w:right="1339" w:hanging="357"/>
        <w:spacing w:after="0" w:line="274"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0" w:lineRule="exact"/>
        <w:rPr>
          <w:rFonts w:ascii="Times New Roman" w:cs="Times New Roman" w:eastAsia="Times New Roman" w:hAnsi="Times New Roman"/>
          <w:sz w:val="14"/>
          <w:szCs w:val="14"/>
          <w:color w:val="auto"/>
        </w:rPr>
      </w:pPr>
    </w:p>
    <w:p>
      <w:pPr>
        <w:ind w:left="1860" w:right="1259" w:hanging="357"/>
        <w:spacing w:after="0" w:line="265"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56" w:lineRule="exact"/>
        <w:rPr>
          <w:rFonts w:ascii="Times New Roman" w:cs="Times New Roman" w:eastAsia="Times New Roman" w:hAnsi="Times New Roman"/>
          <w:sz w:val="14"/>
          <w:szCs w:val="14"/>
          <w:color w:val="auto"/>
        </w:rPr>
      </w:pPr>
    </w:p>
    <w:p>
      <w:pPr>
        <w:ind w:left="1860" w:right="1299" w:hanging="357"/>
        <w:spacing w:after="0" w:line="260"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62" w:lineRule="exact"/>
        <w:rPr>
          <w:rFonts w:ascii="Times New Roman" w:cs="Times New Roman" w:eastAsia="Times New Roman" w:hAnsi="Times New Roman"/>
          <w:sz w:val="14"/>
          <w:szCs w:val="14"/>
          <w:color w:val="auto"/>
        </w:rPr>
      </w:pPr>
    </w:p>
    <w:p>
      <w:pPr>
        <w:ind w:left="1860" w:right="1199" w:hanging="357"/>
        <w:spacing w:after="0" w:line="259" w:lineRule="auto"/>
        <w:tabs>
          <w:tab w:leader="none" w:pos="1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65"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6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75" w:name="page76"/>
    <w:bookmarkEnd w:id="75"/>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63"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CMS fee schedules may harm our revenue and operating results.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233" w:lineRule="exact"/>
        <w:rPr>
          <w:sz w:val="20"/>
          <w:szCs w:val="20"/>
          <w:color w:val="auto"/>
        </w:rPr>
      </w:pPr>
    </w:p>
    <w:p>
      <w:pPr>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4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59"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In June 2024, the U.S. Supreme Court overruled the Chevron doctrine, which gives deference to regulatory agencies’ statutory interpretations in litigation against federal government agencies where the law is ambiguous. This landmark Supreme Court decision may invite more stakeholders to bring lawsuits against the FDA and other</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6" w:name="page77"/>
    <w:bookmarkEnd w:id="76"/>
    <w:p>
      <w:pPr>
        <w:jc w:val="both"/>
        <w:ind w:left="1160" w:right="1279"/>
        <w:spacing w:after="0" w:line="262" w:lineRule="auto"/>
        <w:rPr>
          <w:sz w:val="20"/>
          <w:szCs w:val="20"/>
          <w:color w:val="auto"/>
        </w:rPr>
      </w:pPr>
      <w:r>
        <w:rPr>
          <w:rFonts w:ascii="Times New Roman" w:cs="Times New Roman" w:eastAsia="Times New Roman" w:hAnsi="Times New Roman"/>
          <w:sz w:val="14"/>
          <w:szCs w:val="14"/>
          <w:color w:val="auto"/>
        </w:rPr>
        <w:t>federal agencies to challenge longstanding decisions and policies, which could lead to uncertainties in the industry. Further, changes in the leadership of the FDA and other federal agencies under the new Trump administration may lead to new policies and changes in the regulations that can increase our compliance costs. 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55"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48"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63" w:lineRule="exact"/>
        <w:rPr>
          <w:sz w:val="20"/>
          <w:szCs w:val="20"/>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some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emphasis on clinical data;</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transparency, including publication of clinical trial data and safety summaries;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content and structure for technical files to support registration;</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unique device identification system;</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burden on post-market surveillance and clinical follow-up;</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of adverse event reporting time from 30 to 15 days after the event;</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review times; and</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power to notified bodies.</w:t>
      </w:r>
    </w:p>
    <w:p>
      <w:pPr>
        <w:spacing w:after="0" w:line="9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54"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3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7" w:name="page78"/>
    <w:bookmarkEnd w:id="77"/>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of potential approval of our products. Even if regulatory approval is secured for any of our products, the terms of such approval may limit the scope and use of our products, which may also limit their commercial potential.</w:t>
      </w:r>
    </w:p>
    <w:p>
      <w:pPr>
        <w:spacing w:after="0" w:line="34" w:lineRule="exact"/>
        <w:rPr>
          <w:sz w:val="20"/>
          <w:szCs w:val="20"/>
          <w:color w:val="auto"/>
        </w:rPr>
      </w:pPr>
    </w:p>
    <w:p>
      <w:pPr>
        <w:ind w:left="1160" w:right="1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Defects or failures associated with our products could lead to recalls, safety alerts or litigation, as well as significant costs and negative publicity.</w:t>
      </w:r>
    </w:p>
    <w:p>
      <w:pPr>
        <w:spacing w:after="0" w:line="34"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60"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231"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233"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23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w:t>
      </w:r>
    </w:p>
    <w:p>
      <w:pPr>
        <w:spacing w:after="0" w:line="3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8" w:name="page79"/>
    <w:bookmarkEnd w:id="78"/>
    <w:p>
      <w:pPr>
        <w:ind w:left="1160" w:right="1619"/>
        <w:spacing w:after="0" w:line="292" w:lineRule="auto"/>
        <w:rPr>
          <w:sz w:val="20"/>
          <w:szCs w:val="20"/>
          <w:color w:val="auto"/>
        </w:rPr>
      </w:pPr>
      <w:r>
        <w:rPr>
          <w:rFonts w:ascii="Times New Roman" w:cs="Times New Roman" w:eastAsia="Times New Roman" w:hAnsi="Times New Roman"/>
          <w:sz w:val="14"/>
          <w:szCs w:val="14"/>
          <w:color w:val="auto"/>
        </w:rPr>
        <w:t>from operating our business and may harm our reputation and have a material adverse effect on our business, financial condition and results of operations.</w:t>
      </w:r>
    </w:p>
    <w:p>
      <w:pPr>
        <w:spacing w:after="0" w:line="34" w:lineRule="exact"/>
        <w:rPr>
          <w:sz w:val="20"/>
          <w:szCs w:val="20"/>
          <w:color w:val="auto"/>
        </w:rPr>
      </w:pPr>
    </w:p>
    <w:p>
      <w:pPr>
        <w:ind w:left="1160" w:right="11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21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6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health and safety laws may result in liabilities, expenses and restrictions on our operations.</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environmental laws and regulations could subject us to significant liability.</w:t>
      </w:r>
    </w:p>
    <w:p>
      <w:pPr>
        <w:spacing w:after="0" w:line="8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6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9" w:name="page80"/>
    <w:bookmarkEnd w:id="79"/>
    <w:p>
      <w:pPr>
        <w:ind w:left="1160" w:right="1219"/>
        <w:spacing w:after="0" w:line="259" w:lineRule="auto"/>
        <w:rPr>
          <w:sz w:val="20"/>
          <w:szCs w:val="20"/>
          <w:color w:val="auto"/>
        </w:rPr>
      </w:pPr>
      <w:r>
        <w:rPr>
          <w:rFonts w:ascii="Times New Roman" w:cs="Times New Roman" w:eastAsia="Times New Roman" w:hAnsi="Times New Roman"/>
          <w:sz w:val="14"/>
          <w:szCs w:val="14"/>
          <w:color w:val="auto"/>
        </w:rPr>
        <w:t>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57" w:lineRule="exact"/>
        <w:rPr>
          <w:sz w:val="20"/>
          <w:szCs w:val="20"/>
          <w:color w:val="auto"/>
        </w:rPr>
      </w:pPr>
    </w:p>
    <w:p>
      <w:pPr>
        <w:ind w:left="1160" w:right="12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our collection and use of data, which could result in investigations, inquiries, litigation, fines, legislative and regulatory action and negative press about our privacy and data and security protection practices.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69"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certain disclosures to California consumers and afford such consumers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Similar legislation has been proposed, and in certain cases enacted, in other states.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w:t>
      </w:r>
    </w:p>
    <w:p>
      <w:pPr>
        <w:spacing w:after="0" w:line="3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0" w:name="page81"/>
    <w:bookmarkEnd w:id="80"/>
    <w:p>
      <w:pPr>
        <w:jc w:val="both"/>
        <w:ind w:left="1160" w:right="1199"/>
        <w:spacing w:after="0" w:line="274" w:lineRule="auto"/>
        <w:rPr>
          <w:sz w:val="20"/>
          <w:szCs w:val="20"/>
          <w:color w:val="auto"/>
        </w:rPr>
      </w:pPr>
      <w:r>
        <w:rPr>
          <w:rFonts w:ascii="Times New Roman" w:cs="Times New Roman" w:eastAsia="Times New Roman" w:hAnsi="Times New Roman"/>
          <w:sz w:val="14"/>
          <w:szCs w:val="14"/>
          <w:color w:val="auto"/>
        </w:rPr>
        <w:t>The effects of the CCPA, CPRA and other laws relating to privacy, data protection and cybersecurity are potentially significant, and may require us to modify our practices and policies and to incur substantial costs and expenses in an effort to comply.</w:t>
      </w:r>
    </w:p>
    <w:p>
      <w:pPr>
        <w:spacing w:after="0" w:line="50"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63"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can be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the GDPR. These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data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spacing w:after="0" w:line="6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and the United Kingdom has adopted its own new standard contractual clauses. In June 2021, the European Commission issued an adequacy decision in respect of the United Kingdom’s data protection framework, enabling data transfers from EU member states to the United Kingdom to continue without requiring contractual or other additional measures. the European Commission’s adequacy decision must be renewed in 2025 and is subject to revocation at any point. Any nonrenewal or revocation of, or modifications to, this adequacy decision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Any of these events, if occurring, could adversely affect the manner in which we provide our services and thus materially affect our operations and financial results.</w:t>
      </w:r>
    </w:p>
    <w:p>
      <w:pPr>
        <w:spacing w:after="0" w:line="6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or is alleged to be, inconsistent with our practices and policies. Any noncompliance, or perceived noncompliance, with laws, regulations, standards and other obligations or changes in interpretations or applications of existing laws, regulations, standards and other obligations, may</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1" w:name="page82"/>
    <w:bookmarkEnd w:id="81"/>
    <w:p>
      <w:pPr>
        <w:ind w:left="1160" w:right="1279"/>
        <w:spacing w:after="0" w:line="260" w:lineRule="auto"/>
        <w:rPr>
          <w:sz w:val="20"/>
          <w:szCs w:val="20"/>
          <w:color w:val="auto"/>
        </w:rPr>
      </w:pPr>
      <w:r>
        <w:rPr>
          <w:rFonts w:ascii="Times New Roman" w:cs="Times New Roman" w:eastAsia="Times New Roman" w:hAnsi="Times New Roman"/>
          <w:sz w:val="14"/>
          <w:szCs w:val="14"/>
          <w:color w:val="auto"/>
        </w:rPr>
        <w:t>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59" w:lineRule="exact"/>
        <w:rPr>
          <w:sz w:val="20"/>
          <w:szCs w:val="20"/>
          <w:color w:val="auto"/>
        </w:rPr>
      </w:pPr>
    </w:p>
    <w:p>
      <w:pPr>
        <w:ind w:left="116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3"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5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p>
    <w:p>
      <w:pPr>
        <w:spacing w:after="0" w:line="234"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48"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2" w:name="page83"/>
    <w:bookmarkEnd w:id="82"/>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63" w:lineRule="exact"/>
        <w:rPr>
          <w:sz w:val="20"/>
          <w:szCs w:val="20"/>
          <w:color w:val="auto"/>
        </w:rPr>
      </w:pPr>
    </w:p>
    <w:p>
      <w:pPr>
        <w:ind w:left="1160" w:right="1419" w:firstLine="258"/>
        <w:spacing w:after="0" w:line="262" w:lineRule="auto"/>
        <w:rPr>
          <w:sz w:val="20"/>
          <w:szCs w:val="20"/>
          <w:color w:val="auto"/>
        </w:rPr>
      </w:pPr>
      <w:r>
        <w:rPr>
          <w:rFonts w:ascii="Times New Roman" w:cs="Times New Roman" w:eastAsia="Times New Roman" w:hAnsi="Times New Roman"/>
          <w:sz w:val="14"/>
          <w:szCs w:val="14"/>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5" w:lineRule="exact"/>
        <w:rPr>
          <w:sz w:val="20"/>
          <w:szCs w:val="20"/>
          <w:color w:val="auto"/>
        </w:rPr>
      </w:pPr>
    </w:p>
    <w:p>
      <w:pPr>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48"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59" w:lineRule="exact"/>
        <w:rPr>
          <w:sz w:val="20"/>
          <w:szCs w:val="20"/>
          <w:color w:val="auto"/>
        </w:rPr>
      </w:pPr>
    </w:p>
    <w:p>
      <w:pPr>
        <w:jc w:val="both"/>
        <w:ind w:left="1160" w:right="14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3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59"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w:t>
      </w: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3" w:name="page84"/>
    <w:bookmarkEnd w:id="83"/>
    <w:p>
      <w:pPr>
        <w:jc w:val="both"/>
        <w:ind w:left="1160" w:right="1199"/>
        <w:spacing w:after="0" w:line="274" w:lineRule="auto"/>
        <w:rPr>
          <w:sz w:val="20"/>
          <w:szCs w:val="20"/>
          <w:color w:val="auto"/>
        </w:rPr>
      </w:pPr>
      <w:r>
        <w:rPr>
          <w:rFonts w:ascii="Times New Roman" w:cs="Times New Roman" w:eastAsia="Times New Roman" w:hAnsi="Times New Roman"/>
          <w:sz w:val="14"/>
          <w:szCs w:val="14"/>
          <w:color w:val="auto"/>
        </w:rPr>
        <w:t>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50" w:lineRule="exact"/>
        <w:rPr>
          <w:sz w:val="20"/>
          <w:szCs w:val="20"/>
          <w:color w:val="auto"/>
        </w:rPr>
      </w:pPr>
    </w:p>
    <w:p>
      <w:pPr>
        <w:ind w:left="1160" w:right="1159" w:firstLine="258"/>
        <w:spacing w:after="0" w:line="264" w:lineRule="auto"/>
        <w:rPr>
          <w:sz w:val="20"/>
          <w:szCs w:val="20"/>
          <w:color w:val="auto"/>
        </w:rPr>
      </w:pPr>
      <w:r>
        <w:rPr>
          <w:rFonts w:ascii="Times New Roman" w:cs="Times New Roman" w:eastAsia="Times New Roman" w:hAnsi="Times New Roman"/>
          <w:sz w:val="14"/>
          <w:szCs w:val="14"/>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227" w:lineRule="exact"/>
        <w:rPr>
          <w:sz w:val="20"/>
          <w:szCs w:val="20"/>
          <w:color w:val="auto"/>
        </w:rPr>
      </w:pPr>
    </w:p>
    <w:p>
      <w:pPr>
        <w:jc w:val="both"/>
        <w:ind w:left="11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34" w:lineRule="exact"/>
        <w:rPr>
          <w:sz w:val="20"/>
          <w:szCs w:val="20"/>
          <w:color w:val="auto"/>
        </w:rPr>
      </w:pPr>
    </w:p>
    <w:p>
      <w:pPr>
        <w:ind w:left="1160" w:right="1219" w:firstLine="258"/>
        <w:spacing w:after="0" w:line="257"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70"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failure of third parties to meet their contractual, regulatory, and other obligations could adversely affect our business.</w:t>
      </w:r>
    </w:p>
    <w:p>
      <w:pPr>
        <w:spacing w:after="0" w:line="34"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stock may be volatile, and you could lose all or part of your investment.</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trading price of our common stock has been and may continue to be highly volatile and could be subject to wide fluctuations in response to various factors, some of which we cannot control. From the date of our initial public offering through May 1, 2025, our common stock has traded at a low of $8.80 and a high of $66.54 on the Nasdaq Global Market. The stock market in general has experienced extreme price and volume fluctuations that have often</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4" w:name="page85"/>
    <w:bookmarkEnd w:id="84"/>
    <w:p>
      <w:pPr>
        <w:ind w:left="1160" w:right="1199"/>
        <w:spacing w:after="0" w:line="268" w:lineRule="auto"/>
        <w:rPr>
          <w:sz w:val="20"/>
          <w:szCs w:val="20"/>
          <w:color w:val="auto"/>
        </w:rPr>
      </w:pPr>
      <w:r>
        <w:rPr>
          <w:rFonts w:ascii="Times New Roman" w:cs="Times New Roman" w:eastAsia="Times New Roman" w:hAnsi="Times New Roman"/>
          <w:sz w:val="14"/>
          <w:szCs w:val="14"/>
          <w:color w:val="auto"/>
        </w:rPr>
        <w:t>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spacing w:after="0" w:line="54" w:lineRule="exact"/>
        <w:rPr>
          <w:sz w:val="20"/>
          <w:szCs w:val="20"/>
          <w:color w:val="auto"/>
        </w:rPr>
      </w:pPr>
    </w:p>
    <w:p>
      <w:pPr>
        <w:ind w:left="1860" w:right="131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of our results of operations and updates regarding our business, including financial and operational guidance;</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published by securities or industry analysts about our business and prospects;</w:t>
      </w:r>
    </w:p>
    <w:p>
      <w:pPr>
        <w:spacing w:after="0" w:line="96"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preclinical studies and clinical trials of our current and future products or those of our competitors;</w:t>
      </w:r>
    </w:p>
    <w:p>
      <w:pPr>
        <w:spacing w:after="0" w:line="37" w:lineRule="exact"/>
        <w:rPr>
          <w:rFonts w:ascii="Times New Roman" w:cs="Times New Roman" w:eastAsia="Times New Roman" w:hAnsi="Times New Roman"/>
          <w:sz w:val="14"/>
          <w:szCs w:val="14"/>
          <w:color w:val="auto"/>
        </w:rPr>
      </w:pPr>
    </w:p>
    <w:p>
      <w:pPr>
        <w:ind w:left="1860" w:right="169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announcements by potential competitors of their product development efforts;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products or our competitors’ products;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relative to our competitors;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6" w:lineRule="exact"/>
        <w:rPr>
          <w:rFonts w:ascii="Times New Roman" w:cs="Times New Roman" w:eastAsia="Times New Roman" w:hAnsi="Times New Roman"/>
          <w:sz w:val="14"/>
          <w:szCs w:val="14"/>
          <w:color w:val="auto"/>
        </w:rPr>
      </w:pPr>
    </w:p>
    <w:p>
      <w:pPr>
        <w:ind w:left="1860" w:right="121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intellectual property or proprietary rights;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6" w:lineRule="exact"/>
        <w:rPr>
          <w:rFonts w:ascii="Times New Roman" w:cs="Times New Roman" w:eastAsia="Times New Roman" w:hAnsi="Times New Roman"/>
          <w:sz w:val="14"/>
          <w:szCs w:val="14"/>
          <w:color w:val="auto"/>
        </w:rPr>
      </w:pPr>
    </w:p>
    <w:p>
      <w:pPr>
        <w:ind w:left="1860" w:right="157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collaborations or capital commitments;</w:t>
      </w:r>
    </w:p>
    <w:p>
      <w:pPr>
        <w:spacing w:after="0" w:line="37" w:lineRule="exact"/>
        <w:rPr>
          <w:rFonts w:ascii="Times New Roman" w:cs="Times New Roman" w:eastAsia="Times New Roman" w:hAnsi="Times New Roman"/>
          <w:sz w:val="14"/>
          <w:szCs w:val="14"/>
          <w:color w:val="auto"/>
        </w:rPr>
      </w:pPr>
    </w:p>
    <w:p>
      <w:pPr>
        <w:ind w:left="1860" w:right="201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medical device sector;</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volume levels of our shares;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stockholders; and</w:t>
      </w:r>
    </w:p>
    <w:p>
      <w:pPr>
        <w:spacing w:after="0" w:line="96" w:lineRule="exact"/>
        <w:rPr>
          <w:rFonts w:ascii="Times New Roman" w:cs="Times New Roman" w:eastAsia="Times New Roman" w:hAnsi="Times New Roman"/>
          <w:sz w:val="14"/>
          <w:szCs w:val="14"/>
          <w:color w:val="auto"/>
        </w:rPr>
      </w:pPr>
    </w:p>
    <w:p>
      <w:pPr>
        <w:ind w:left="1860" w:right="1459" w:hanging="357"/>
        <w:spacing w:after="0" w:line="292"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including global and national events, such as the conflicts in Eastern Europe and the Middle East, and general economic downturns.</w:t>
      </w:r>
    </w:p>
    <w:p>
      <w:pPr>
        <w:spacing w:after="0" w:line="38" w:lineRule="exact"/>
        <w:rPr>
          <w:sz w:val="20"/>
          <w:szCs w:val="20"/>
          <w:color w:val="auto"/>
        </w:rPr>
      </w:pPr>
    </w:p>
    <w:p>
      <w:pPr>
        <w:ind w:left="1160" w:right="1219" w:firstLine="258"/>
        <w:spacing w:after="0" w:line="285"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219"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50"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research about our business, our stock price and trading volume could decline.</w:t>
      </w:r>
    </w:p>
    <w:p>
      <w:pPr>
        <w:spacing w:after="0" w:line="3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5" w:name="page86"/>
    <w:bookmarkEnd w:id="85"/>
    <w:p>
      <w:pPr>
        <w:ind w:left="1160" w:right="1379"/>
        <w:spacing w:after="0" w:line="292" w:lineRule="auto"/>
        <w:rPr>
          <w:sz w:val="20"/>
          <w:szCs w:val="20"/>
          <w:color w:val="auto"/>
        </w:rPr>
      </w:pPr>
      <w:r>
        <w:rPr>
          <w:rFonts w:ascii="Times New Roman" w:cs="Times New Roman" w:eastAsia="Times New Roman" w:hAnsi="Times New Roman"/>
          <w:sz w:val="14"/>
          <w:szCs w:val="14"/>
          <w:color w:val="auto"/>
        </w:rPr>
        <w:t>our company or fails to publish reports on us regularly, demand for our stock could decrease, which in turn could cause our stock price or trading volume to decline.</w:t>
      </w:r>
    </w:p>
    <w:p>
      <w:pPr>
        <w:spacing w:after="0" w:line="34" w:lineRule="exact"/>
        <w:rPr>
          <w:sz w:val="20"/>
          <w:szCs w:val="20"/>
          <w:color w:val="auto"/>
        </w:rPr>
      </w:pPr>
    </w:p>
    <w:p>
      <w:pPr>
        <w:ind w:left="1160" w:right="1179" w:firstLine="258"/>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56" w:lineRule="exact"/>
        <w:rPr>
          <w:sz w:val="20"/>
          <w:szCs w:val="20"/>
          <w:color w:val="auto"/>
        </w:rPr>
      </w:pPr>
    </w:p>
    <w:p>
      <w:pPr>
        <w:ind w:left="116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could cause our stock price to fall.</w:t>
      </w:r>
    </w:p>
    <w:p>
      <w:pPr>
        <w:spacing w:after="0" w:line="34"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0"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2025, we had 40,588,540 shares of common stock issued and outstanding. All of these shares are available for sale in the public market, subject to limitations under Rule 144 with respect to affiliates of our company.</w:t>
      </w:r>
    </w:p>
    <w:p>
      <w:pPr>
        <w:spacing w:after="0" w:line="50"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We have filed registration statements on Form S-8 under the Securities Act registering the offer and sale of up to an aggregate of 10,660,797 shares of common stock pursuant to our Equity Plans (as defined in Note 2, “Summary of Accounting Policies – Stock-Based Compensation” in our notes to consolidated financial statements in this Annual Report on Form 10-K)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spacing w:after="0" w:line="235"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On February 25, 2025, we filed a registration statement on Form S-8 under the Securities Act to register the issuance of 1,617,128 shares of common stock subject to options or other equity awards reserved for future issuance under the 2021 Plan. The number of shares to be registered represents the annual evergreen increase calculated as 4% of the outstanding shares of our common stock on the last day of fiscal year 2024 under our 2021 Plan.</w:t>
      </w:r>
    </w:p>
    <w:p>
      <w:pPr>
        <w:spacing w:after="0" w:line="86"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On May 8, 2024, we filed an automatic shelf registration statement on Form S-3ASR with the SEC that enables us to offer for sale, from time to time and as the capital markets permit, an unspecified amount of common stock, preferred stock, debt securities, warrants and units. The shelf registration statement became automatically effective upon filing and is valid for three years. Each time we offer to sell securities under the registration statement, we will provide a prospectus supplement that will contain specific information about the terms of that offering and the securities being offered. For example, on May 9, 2024, we filed a prospectus supplement for the offer and sale of up to 1,785,714 shares of our common stock in an underwritten public offering (the “Public Offering”). On May 13, 2024, we issued 2,053,571 shares of our common stock at a price to the public of $56.00 per share, which included the full exercise by the underwriters of their option to purchase up to 267,857 additional shares. Our net proceeds from the offering were $107.5 million, after deducting $6.9 in underwriting discounts and commissions and $0.6 million in other offering costs.</w:t>
      </w:r>
    </w:p>
    <w:p>
      <w:pPr>
        <w:spacing w:after="0" w:line="65"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6" w:name="page87"/>
    <w:bookmarkEnd w:id="86"/>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50"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34"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The Sarbanes-Oxley Act of 2002 requires, among other things, that we assess the effectiveness of our internal control over financial reporting annually and the effectiveness of our disclosure controls and procedures quarterly. In addition,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spacing w:after="0" w:line="60"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8"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spacing w:after="0" w:line="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101" w:lineRule="exact"/>
        <w:rPr>
          <w:sz w:val="20"/>
          <w:szCs w:val="20"/>
          <w:color w:val="auto"/>
        </w:rPr>
      </w:pPr>
    </w:p>
    <w:p>
      <w:pPr>
        <w:jc w:val="both"/>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50"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48"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50" w:lineRule="exact"/>
        <w:rPr>
          <w:sz w:val="20"/>
          <w:szCs w:val="20"/>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so that not all members of our board are elected at one time;</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of Directors to establish the number of directors and fill vacancies on the board;</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37" w:lineRule="exact"/>
        <w:rPr>
          <w:rFonts w:ascii="Times New Roman" w:cs="Times New Roman" w:eastAsia="Times New Roman" w:hAnsi="Times New Roman"/>
          <w:sz w:val="14"/>
          <w:szCs w:val="14"/>
          <w:color w:val="auto"/>
        </w:rPr>
      </w:pPr>
    </w:p>
    <w:p>
      <w:pPr>
        <w:ind w:left="1860" w:right="1679" w:hanging="357"/>
        <w:spacing w:after="0" w:line="292"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 (also known as a poison pill);</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7" w:name="page88"/>
    <w:bookmarkEnd w:id="87"/>
    <w:p>
      <w:pPr>
        <w:ind w:left="1860" w:right="137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amend the bylaws;</w:t>
      </w:r>
    </w:p>
    <w:p>
      <w:pPr>
        <w:spacing w:after="0" w:line="96" w:lineRule="exact"/>
        <w:rPr>
          <w:rFonts w:ascii="Times New Roman" w:cs="Times New Roman" w:eastAsia="Times New Roman" w:hAnsi="Times New Roman"/>
          <w:sz w:val="14"/>
          <w:szCs w:val="14"/>
          <w:color w:val="auto"/>
        </w:rPr>
      </w:pPr>
    </w:p>
    <w:p>
      <w:pPr>
        <w:ind w:left="1860" w:right="1199" w:hanging="357"/>
        <w:spacing w:after="0" w:line="292" w:lineRule="auto"/>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some provisions described above.</w:t>
      </w:r>
    </w:p>
    <w:p>
      <w:pPr>
        <w:spacing w:after="0" w:line="97" w:lineRule="exact"/>
        <w:rPr>
          <w:sz w:val="20"/>
          <w:szCs w:val="20"/>
          <w:color w:val="auto"/>
        </w:rPr>
      </w:pPr>
    </w:p>
    <w:p>
      <w:pPr>
        <w:ind w:left="1160" w:right="1399" w:firstLine="258"/>
        <w:spacing w:after="0" w:line="265" w:lineRule="auto"/>
        <w:rPr>
          <w:sz w:val="20"/>
          <w:szCs w:val="20"/>
          <w:color w:val="auto"/>
        </w:rPr>
      </w:pPr>
      <w:r>
        <w:rPr>
          <w:rFonts w:ascii="Times New Roman" w:cs="Times New Roman" w:eastAsia="Times New Roman" w:hAnsi="Times New Roman"/>
          <w:sz w:val="14"/>
          <w:szCs w:val="14"/>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56" w:lineRule="exact"/>
        <w:rPr>
          <w:sz w:val="20"/>
          <w:szCs w:val="20"/>
          <w:color w:val="auto"/>
        </w:rPr>
      </w:pPr>
    </w:p>
    <w:p>
      <w:pPr>
        <w:ind w:left="1160" w:right="1399" w:firstLine="258"/>
        <w:spacing w:after="0" w:line="268"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50" w:lineRule="exact"/>
        <w:rPr>
          <w:sz w:val="20"/>
          <w:szCs w:val="20"/>
          <w:color w:val="auto"/>
        </w:rPr>
      </w:pPr>
    </w:p>
    <w:p>
      <w:pPr>
        <w:ind w:left="116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3" w:lineRule="exact"/>
        <w:rPr>
          <w:sz w:val="20"/>
          <w:szCs w:val="20"/>
          <w:color w:val="auto"/>
        </w:rPr>
      </w:pPr>
    </w:p>
    <w:p>
      <w:pPr>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50" w:lineRule="exact"/>
        <w:rPr>
          <w:sz w:val="20"/>
          <w:szCs w:val="20"/>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96"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fiduciary duty;</w:t>
      </w:r>
    </w:p>
    <w:p>
      <w:pPr>
        <w:spacing w:after="0" w:line="96" w:lineRule="exact"/>
        <w:rPr>
          <w:rFonts w:ascii="Times New Roman" w:cs="Times New Roman" w:eastAsia="Times New Roman" w:hAnsi="Times New Roman"/>
          <w:sz w:val="14"/>
          <w:szCs w:val="14"/>
          <w:color w:val="auto"/>
        </w:rPr>
      </w:pPr>
    </w:p>
    <w:p>
      <w:pPr>
        <w:ind w:left="1860" w:right="1239" w:hanging="357"/>
        <w:spacing w:after="0" w:line="292" w:lineRule="auto"/>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DGCL, our amended and restated certificate of incorporation or our bylaws; and</w:t>
      </w:r>
    </w:p>
    <w:p>
      <w:pPr>
        <w:spacing w:after="0" w:line="37" w:lineRule="exact"/>
        <w:rPr>
          <w:rFonts w:ascii="Times New Roman" w:cs="Times New Roman" w:eastAsia="Times New Roman" w:hAnsi="Times New Roman"/>
          <w:sz w:val="14"/>
          <w:szCs w:val="14"/>
          <w:color w:val="auto"/>
        </w:rPr>
      </w:pPr>
    </w:p>
    <w:p>
      <w:pPr>
        <w:ind w:left="1860" w:hanging="357"/>
        <w:spacing w:after="0"/>
        <w:tabs>
          <w:tab w:leader="none" w:pos="1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9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59"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8" w:name="page89"/>
    <w:bookmarkEnd w:id="88"/>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This Delaware forum provision does not apply to actions arising under the Securities Exchange Act of 1934 because the federal courts have exclusive jurisdiction over such claims.</w:t>
      </w:r>
    </w:p>
    <w:p>
      <w:pPr>
        <w:spacing w:after="0" w:line="34"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48"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56"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Board of Directors are authorized to issue and designate shares of our preferred stock in additional series without stockholder approval under our charter documents and Delaware law.</w:t>
      </w:r>
    </w:p>
    <w:p>
      <w:pPr>
        <w:spacing w:after="0" w:line="3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55"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3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which may impact our effective tax rate and our cash tax liability. Regulatory or legislative developments may arise from various U.S. tax reform proposals, some of which include proposed changes to the U.S. tax law,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1160" w:right="1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attract and retain highly skilled executive officers and employees.</w:t>
      </w:r>
    </w:p>
    <w:p>
      <w:pPr>
        <w:spacing w:after="0" w:line="34"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9" w:name="page90"/>
    <w:bookmarkEnd w:id="89"/>
    <w:p>
      <w:pPr>
        <w:ind w:left="1160" w:right="1219"/>
        <w:spacing w:after="0" w:line="265" w:lineRule="auto"/>
        <w:rPr>
          <w:sz w:val="20"/>
          <w:szCs w:val="20"/>
          <w:color w:val="auto"/>
        </w:rPr>
      </w:pPr>
      <w:r>
        <w:rPr>
          <w:rFonts w:ascii="Times New Roman" w:cs="Times New Roman" w:eastAsia="Times New Roman" w:hAnsi="Times New Roman"/>
          <w:sz w:val="14"/>
          <w:szCs w:val="14"/>
          <w:color w:val="auto"/>
        </w:rPr>
        <w:t>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56"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would suffer in the event of system failures or security breaches or incidents.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61"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6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w:t>
      </w: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0" w:name="page91"/>
    <w:bookmarkEnd w:id="90"/>
    <w:p>
      <w:pPr>
        <w:ind w:left="1160" w:right="1399"/>
        <w:spacing w:after="0" w:line="274" w:lineRule="auto"/>
        <w:rPr>
          <w:sz w:val="20"/>
          <w:szCs w:val="20"/>
          <w:color w:val="auto"/>
        </w:rPr>
      </w:pPr>
      <w:r>
        <w:rPr>
          <w:rFonts w:ascii="Times New Roman" w:cs="Times New Roman" w:eastAsia="Times New Roman" w:hAnsi="Times New Roman"/>
          <w:sz w:val="14"/>
          <w:szCs w:val="14"/>
          <w:color w:val="auto"/>
        </w:rPr>
        <w:t>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spacing w:after="0" w:line="50"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32"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Economic conditions may adversely affect our business.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p>
    <w:p>
      <w:pPr>
        <w:spacing w:after="0" w:line="235"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spacing w:after="0" w:line="58"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Factors such as geopolitical events (including the conflicts in Eastern Europe and the Middle East), inflationary pressures, public health crises, and U.S. election cycles have caused extreme volatility and disruptions in the capital and credit markets in recent years. Uncertainty or unfavorable global economic conditions could result in a variety of impacts to our business, including weakening demand for our products,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products. Further, the Trump administration has proposed or enacted tariffs and substantial changes to trade policies, which could adversely affect our business. For example, the Trump administration has imposed tariffs on certain foreign products, including most recently from Canada, Mexico and China, that in the past have resulted in and may result in future retaliatory tariffs on U.S. goods and products. We cannot predict whether these policies will continue, or if new policies will be enacted, or the impact, if any, that any policy changes could have on our business. Any of the foregoing could harm our business and we</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1" w:name="page92"/>
    <w:bookmarkEnd w:id="91"/>
    <w:p>
      <w:pPr>
        <w:ind w:left="1160" w:right="1439"/>
        <w:spacing w:after="0" w:line="292" w:lineRule="auto"/>
        <w:rPr>
          <w:sz w:val="20"/>
          <w:szCs w:val="20"/>
          <w:color w:val="auto"/>
        </w:rPr>
      </w:pPr>
      <w:r>
        <w:rPr>
          <w:rFonts w:ascii="Times New Roman" w:cs="Times New Roman" w:eastAsia="Times New Roman" w:hAnsi="Times New Roman"/>
          <w:sz w:val="14"/>
          <w:szCs w:val="14"/>
          <w:color w:val="auto"/>
        </w:rPr>
        <w:t>cannot anticipate all of the ways in which the economic climate and financial market conditions could adversely affect our business.</w:t>
      </w:r>
    </w:p>
    <w:p>
      <w:pPr>
        <w:spacing w:after="0" w:line="3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spacing w:after="0" w:line="56"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Litigation and other legal proceedings may adversely affect our business.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59"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future revenue and financial condition and increase our costs and expenses.</w:t>
      </w:r>
    </w:p>
    <w:p>
      <w:pPr>
        <w:spacing w:after="0" w:line="3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59"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could be materially harmed if we are unable to accurately forecast customer demand for our products and manage our inventory.</w:t>
      </w:r>
    </w:p>
    <w:p>
      <w:pPr>
        <w:spacing w:after="0" w:line="34"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2" w:name="page93"/>
    <w:bookmarkEnd w:id="92"/>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conditions or regulatory matters and weakening of economic conditions or consumer confidence in future economic conditions.</w:t>
      </w:r>
    </w:p>
    <w:p>
      <w:pPr>
        <w:spacing w:after="0" w:line="38"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left="1420" w:right="5339" w:hanging="267"/>
        <w:spacing w:after="0" w:line="426" w:lineRule="auto"/>
        <w:tabs>
          <w:tab w:leader="none" w:pos="1365" w:val="left"/>
        </w:tabs>
        <w:numPr>
          <w:ilvl w:val="0"/>
          <w:numId w:val="4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Recent Sales of Unregistered Securities </w:t>
      </w:r>
      <w:r>
        <w:rPr>
          <w:rFonts w:ascii="Times New Roman" w:cs="Times New Roman" w:eastAsia="Times New Roman" w:hAnsi="Times New Roman"/>
          <w:sz w:val="14"/>
          <w:szCs w:val="14"/>
          <w:color w:val="auto"/>
        </w:rPr>
        <w:t>None</w:t>
      </w:r>
    </w:p>
    <w:p>
      <w:pPr>
        <w:spacing w:after="0" w:line="29" w:lineRule="exact"/>
        <w:rPr>
          <w:rFonts w:ascii="Times New Roman" w:cs="Times New Roman" w:eastAsia="Times New Roman" w:hAnsi="Times New Roman"/>
          <w:sz w:val="14"/>
          <w:szCs w:val="14"/>
          <w:b w:val="1"/>
          <w:bCs w:val="1"/>
          <w:i w:val="1"/>
          <w:iCs w:val="1"/>
          <w:color w:val="auto"/>
        </w:rPr>
      </w:pPr>
    </w:p>
    <w:p>
      <w:pPr>
        <w:ind w:left="1420" w:right="5119" w:hanging="267"/>
        <w:spacing w:after="0" w:line="426" w:lineRule="auto"/>
        <w:tabs>
          <w:tab w:leader="none" w:pos="1365" w:val="left"/>
        </w:tabs>
        <w:numPr>
          <w:ilvl w:val="0"/>
          <w:numId w:val="4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Use of Proceeds from Registered Securities </w:t>
      </w:r>
      <w:r>
        <w:rPr>
          <w:rFonts w:ascii="Times New Roman" w:cs="Times New Roman" w:eastAsia="Times New Roman" w:hAnsi="Times New Roman"/>
          <w:sz w:val="14"/>
          <w:szCs w:val="14"/>
          <w:color w:val="auto"/>
        </w:rPr>
        <w:t>None</w:t>
      </w:r>
    </w:p>
    <w:p>
      <w:pPr>
        <w:spacing w:after="0" w:line="115" w:lineRule="exact"/>
        <w:rPr>
          <w:rFonts w:ascii="Times New Roman" w:cs="Times New Roman" w:eastAsia="Times New Roman" w:hAnsi="Times New Roman"/>
          <w:sz w:val="14"/>
          <w:szCs w:val="14"/>
          <w:b w:val="1"/>
          <w:bCs w:val="1"/>
          <w:i w:val="1"/>
          <w:iCs w:val="1"/>
          <w:color w:val="auto"/>
        </w:rPr>
      </w:pPr>
    </w:p>
    <w:p>
      <w:pPr>
        <w:ind w:left="1420" w:right="5459" w:hanging="267"/>
        <w:spacing w:after="0" w:line="401" w:lineRule="auto"/>
        <w:tabs>
          <w:tab w:leader="none" w:pos="1357" w:val="left"/>
        </w:tabs>
        <w:numPr>
          <w:ilvl w:val="0"/>
          <w:numId w:val="4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Issuer Purchases of Equity Securities </w:t>
      </w:r>
      <w:r>
        <w:rPr>
          <w:rFonts w:ascii="Times New Roman" w:cs="Times New Roman" w:eastAsia="Times New Roman" w:hAnsi="Times New Roman"/>
          <w:sz w:val="14"/>
          <w:szCs w:val="14"/>
          <w:color w:val="auto"/>
        </w:rPr>
        <w:t>None</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99"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On April 8, 2025, Shweta Maniar, a member of our Board of Directors, terminated her Rule 10b5-1 trading arrangement intended to satisfy the affirmative defense conditions of Exchange Act Rule 10b5-1(c) (a “Rule 10b5-1 Trading Plan”) dated August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412750</wp:posOffset>
            </wp:positionV>
            <wp:extent cx="56038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22860</wp:posOffset>
            </wp:positionV>
            <wp:extent cx="4255135" cy="133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55135" cy="1333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3" w:name="page94"/>
    <w:bookmarkEnd w:id="93"/>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exhibits are filed as part of, or incorporated by reference into, this report unless otherwise stated.</w:t>
      </w:r>
    </w:p>
    <w:p>
      <w:pPr>
        <w:spacing w:after="0" w:line="95" w:lineRule="exact"/>
        <w:rPr>
          <w:sz w:val="20"/>
          <w:szCs w:val="20"/>
          <w:color w:val="auto"/>
        </w:rPr>
      </w:pPr>
    </w:p>
    <w:tbl>
      <w:tblPr>
        <w:tblLayout w:type="fixed"/>
        <w:tblInd w:w="11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5"/>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50"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60274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027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57480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7480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70370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03705"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8267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82675" cy="6985"/>
                    </a:xfrm>
                    <a:prstGeom prst="rect">
                      <a:avLst/>
                    </a:prstGeom>
                    <a:noFill/>
                  </pic:spPr>
                </pic:pic>
              </a:graphicData>
            </a:graphic>
          </wp:anchor>
        </w:drawing>
      </w:r>
    </w:p>
    <w:p>
      <w:pPr>
        <w:spacing w:after="0" w:line="95"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57734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773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57480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7480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70370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03705"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8267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82675" cy="6985"/>
                    </a:xfrm>
                    <a:prstGeom prst="rect">
                      <a:avLst/>
                    </a:prstGeom>
                    <a:noFill/>
                  </pic:spPr>
                </pic:pic>
              </a:graphicData>
            </a:graphic>
          </wp:anchor>
        </w:drawing>
      </w:r>
    </w:p>
    <w:p>
      <w:pPr>
        <w:spacing w:after="0" w:line="95"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60274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027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18 U.S.C. Section 1350,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3637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3637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5981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59815" cy="6985"/>
                    </a:xfrm>
                    <a:prstGeom prst="rect">
                      <a:avLst/>
                    </a:prstGeom>
                    <a:noFill/>
                  </pic:spPr>
                </pic:pic>
              </a:graphicData>
            </a:graphic>
          </wp:anchor>
        </w:drawing>
      </w:r>
    </w:p>
    <w:p>
      <w:pPr>
        <w:spacing w:after="0" w:line="95"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157734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77340" cy="69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u w:val="single" w:color="auto"/>
          <w:color w:val="0000FF"/>
        </w:rPr>
        <w:t>Pursuant to 18 U.S.C. Section 1350,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3637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3637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45669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-12065</wp:posOffset>
            </wp:positionV>
            <wp:extent cx="105981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59815"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r>
      <w:tr>
        <w:trPr>
          <w:trHeight w:val="186"/>
        </w:trPr>
        <w:tc>
          <w:tcPr>
            <w:tcW w:w="760" w:type="dxa"/>
            <w:vAlign w:val="bottom"/>
          </w:tcPr>
          <w:p>
            <w:pPr>
              <w:spacing w:after="0"/>
              <w:rPr>
                <w:sz w:val="16"/>
                <w:szCs w:val="16"/>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File because XBRL tags are embedded within the Inline XBRL document.</w:t>
            </w:r>
          </w:p>
        </w:tc>
      </w:tr>
      <w:tr>
        <w:trPr>
          <w:trHeight w:val="21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r>
      <w:tr>
        <w:trPr>
          <w:trHeight w:val="32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 page Interactive Data File (embedded with the Inline XBRL document).</w:t>
            </w:r>
          </w:p>
        </w:tc>
      </w:tr>
    </w:tbl>
    <w:p>
      <w:pPr>
        <w:spacing w:after="0" w:line="200" w:lineRule="exact"/>
        <w:rPr>
          <w:sz w:val="20"/>
          <w:szCs w:val="20"/>
          <w:color w:val="auto"/>
        </w:rPr>
      </w:pP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-99060</wp:posOffset>
            </wp:positionV>
            <wp:extent cx="65468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163" w:lineRule="exact"/>
        <w:rPr>
          <w:sz w:val="20"/>
          <w:szCs w:val="20"/>
          <w:color w:val="auto"/>
        </w:rPr>
      </w:pPr>
    </w:p>
    <w:p>
      <w:pPr>
        <w:jc w:val="both"/>
        <w:ind w:left="1160" w:right="1199" w:hanging="7"/>
        <w:spacing w:after="0" w:line="267" w:lineRule="auto"/>
        <w:tabs>
          <w:tab w:leader="none" w:pos="126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460375</wp:posOffset>
            </wp:positionV>
            <wp:extent cx="56038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1160" w:right="119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9"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9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RxSight, Inc.</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Date: May 7, 2025</w:t>
            </w:r>
          </w:p>
        </w:tc>
        <w:tc>
          <w:tcPr>
            <w:tcW w:w="19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 Ron Kurtz, M.D.</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right="248"/>
              <w:spacing w:after="0" w:line="148" w:lineRule="exact"/>
              <w:rPr>
                <w:sz w:val="20"/>
                <w:szCs w:val="20"/>
                <w:color w:val="auto"/>
              </w:rPr>
            </w:pPr>
            <w:r>
              <w:rPr>
                <w:rFonts w:ascii="Times New Roman" w:cs="Times New Roman" w:eastAsia="Times New Roman" w:hAnsi="Times New Roman"/>
                <w:sz w:val="14"/>
                <w:szCs w:val="14"/>
                <w:color w:val="auto"/>
              </w:rPr>
              <w:t>Ron Kurtz, M.D.</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Chief Executive Officer and President</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344"/>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May 7, 2025</w:t>
            </w:r>
          </w:p>
        </w:tc>
        <w:tc>
          <w:tcPr>
            <w:tcW w:w="19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color w:val="auto"/>
              </w:rPr>
              <w:t>/s/ Shelley Thunen</w:t>
            </w: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-5715</wp:posOffset>
            </wp:positionV>
            <wp:extent cx="178689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4"/>
          <w:szCs w:val="14"/>
          <w:color w:val="auto"/>
        </w:rPr>
        <w:t>Shelley Thunen</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Co-President and Chief Financial Officer</w:t>
      </w:r>
    </w:p>
    <w:p>
      <w:pPr>
        <w:spacing w:after="0" w:line="1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460375</wp:posOffset>
            </wp:positionV>
            <wp:extent cx="56038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95" w:name="page96"/>
    <w:bookmarkEnd w:id="95"/>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Ron Kurtz, M.D., certify that:</w:t>
      </w:r>
    </w:p>
    <w:p>
      <w:pPr>
        <w:spacing w:after="0" w:line="183" w:lineRule="exact"/>
        <w:rPr>
          <w:sz w:val="20"/>
          <w:szCs w:val="20"/>
          <w:color w:val="auto"/>
        </w:rPr>
      </w:pPr>
    </w:p>
    <w:p>
      <w:pPr>
        <w:ind w:left="960" w:hanging="322"/>
        <w:spacing w:after="0"/>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82" w:lineRule="exact"/>
        <w:rPr>
          <w:rFonts w:ascii="Times New Roman" w:cs="Times New Roman" w:eastAsia="Times New Roman" w:hAnsi="Times New Roman"/>
          <w:sz w:val="14"/>
          <w:szCs w:val="14"/>
          <w:color w:val="auto"/>
        </w:rPr>
      </w:pPr>
    </w:p>
    <w:p>
      <w:pPr>
        <w:ind w:left="960" w:right="859" w:hanging="322"/>
        <w:spacing w:after="0" w:line="274"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60" w:right="919" w:hanging="322"/>
        <w:spacing w:after="0" w:line="274"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60" w:right="719" w:hanging="322"/>
        <w:spacing w:after="0" w:line="274"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60" w:right="939" w:hanging="400"/>
        <w:spacing w:after="0" w:line="268"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360" w:right="879" w:hanging="400"/>
        <w:spacing w:after="0" w:line="274"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60" w:right="779" w:hanging="400"/>
        <w:spacing w:after="0" w:line="274"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60" w:right="859" w:hanging="400"/>
        <w:spacing w:after="0" w:line="268"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960" w:right="979" w:hanging="322"/>
        <w:spacing w:after="0" w:line="274"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60" w:right="719" w:hanging="400"/>
        <w:spacing w:after="0" w:line="274"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60" w:right="1019" w:hanging="400"/>
        <w:spacing w:after="0" w:line="292" w:lineRule="auto"/>
        <w:tabs>
          <w:tab w:leader="none" w:pos="13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May 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16510</wp:posOffset>
            </wp:positionV>
            <wp:extent cx="226377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6" w:name="page97"/>
    <w:bookmarkEnd w:id="96"/>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Shelley Thunen, certify that:</w:t>
      </w:r>
    </w:p>
    <w:p>
      <w:pPr>
        <w:spacing w:after="0" w:line="183" w:lineRule="exact"/>
        <w:rPr>
          <w:sz w:val="20"/>
          <w:szCs w:val="20"/>
          <w:color w:val="auto"/>
        </w:rPr>
      </w:pPr>
    </w:p>
    <w:p>
      <w:pPr>
        <w:ind w:left="960" w:hanging="322"/>
        <w:spacing w:after="0"/>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82" w:lineRule="exact"/>
        <w:rPr>
          <w:rFonts w:ascii="Times New Roman" w:cs="Times New Roman" w:eastAsia="Times New Roman" w:hAnsi="Times New Roman"/>
          <w:sz w:val="14"/>
          <w:szCs w:val="14"/>
          <w:color w:val="auto"/>
        </w:rPr>
      </w:pPr>
    </w:p>
    <w:p>
      <w:pPr>
        <w:ind w:left="960" w:right="859" w:hanging="322"/>
        <w:spacing w:after="0" w:line="274"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60" w:right="919" w:hanging="322"/>
        <w:spacing w:after="0" w:line="274"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60" w:right="719" w:hanging="322"/>
        <w:spacing w:after="0" w:line="274"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60" w:right="939" w:hanging="400"/>
        <w:spacing w:after="0" w:line="268" w:lineRule="auto"/>
        <w:tabs>
          <w:tab w:leader="none" w:pos="1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360" w:right="879" w:hanging="400"/>
        <w:spacing w:after="0" w:line="274" w:lineRule="auto"/>
        <w:tabs>
          <w:tab w:leader="none" w:pos="1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60" w:right="779" w:hanging="400"/>
        <w:spacing w:after="0" w:line="274" w:lineRule="auto"/>
        <w:tabs>
          <w:tab w:leader="none" w:pos="1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60" w:right="859" w:hanging="400"/>
        <w:spacing w:after="0" w:line="268" w:lineRule="auto"/>
        <w:tabs>
          <w:tab w:leader="none" w:pos="1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960" w:right="979" w:hanging="322"/>
        <w:spacing w:after="0" w:line="274"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60" w:right="719" w:hanging="400"/>
        <w:spacing w:after="0" w:line="274" w:lineRule="auto"/>
        <w:tabs>
          <w:tab w:leader="none" w:pos="1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60" w:right="1019" w:hanging="400"/>
        <w:spacing w:after="0" w:line="292" w:lineRule="auto"/>
        <w:tabs>
          <w:tab w:leader="none" w:pos="1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640"/>
        <w:spacing w:after="0"/>
        <w:tabs>
          <w:tab w:leader="none" w:pos="4540" w:val="left"/>
          <w:tab w:leader="none" w:pos="6020" w:val="left"/>
        </w:tabs>
        <w:rPr>
          <w:sz w:val="20"/>
          <w:szCs w:val="20"/>
          <w:color w:val="auto"/>
        </w:rPr>
      </w:pPr>
      <w:r>
        <w:rPr>
          <w:rFonts w:ascii="Times New Roman" w:cs="Times New Roman" w:eastAsia="Times New Roman" w:hAnsi="Times New Roman"/>
          <w:sz w:val="14"/>
          <w:szCs w:val="14"/>
          <w:color w:val="auto"/>
        </w:rPr>
        <w:t>Date: May 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16510</wp:posOffset>
            </wp:positionV>
            <wp:extent cx="226377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Shelley Thunen</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Co-President and Chief Financial Officer</w:t>
      </w:r>
    </w:p>
    <w:p>
      <w:pPr>
        <w:spacing w:after="0" w:line="1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7" w:name="page98"/>
    <w:bookmarkEnd w:id="97"/>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March 31, 2025, as filed with the Securities and Exchange Commission on the date hereof (the “Report”), I, Ron Kurtz, M.D., Chief Executive Officer of the Company, certify, pursuant to 18 U.S.C. §1350, as adopted pursuant to §906 of the Sarbanes-Oxley Act of 2002, that, to my knowledge:</w:t>
      </w:r>
    </w:p>
    <w:p>
      <w:pPr>
        <w:spacing w:after="0" w:line="312" w:lineRule="exact"/>
        <w:rPr>
          <w:sz w:val="20"/>
          <w:szCs w:val="20"/>
          <w:color w:val="auto"/>
        </w:rPr>
      </w:pPr>
    </w:p>
    <w:p>
      <w:pPr>
        <w:ind w:left="1360" w:hanging="400"/>
        <w:spacing w:after="0"/>
        <w:tabs>
          <w:tab w:leader="none" w:pos="1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40" w:right="999" w:hanging="391"/>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May 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594995</wp:posOffset>
            </wp:positionV>
            <wp:extent cx="56038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8" w:name="page99"/>
    <w:bookmarkEnd w:id="98"/>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March 31, 2025, as filed with the Securities and Exchange Commission on the date hereof (the “Report”), I, Shelley Thunen, Chief Financial Officer of the Company, certify, pursuant to 18 U.S.C. §1350, as adopted pursuant to §906 of the Sarbanes-Oxley Act of 2002, that, to my knowledge:</w:t>
      </w:r>
    </w:p>
    <w:p>
      <w:pPr>
        <w:spacing w:after="0" w:line="140" w:lineRule="exact"/>
        <w:rPr>
          <w:sz w:val="20"/>
          <w:szCs w:val="20"/>
          <w:color w:val="auto"/>
        </w:rPr>
      </w:pPr>
    </w:p>
    <w:p>
      <w:pPr>
        <w:ind w:left="1360" w:hanging="400"/>
        <w:spacing w:after="0"/>
        <w:tabs>
          <w:tab w:leader="none" w:pos="1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60" w:right="979" w:hanging="400"/>
        <w:spacing w:after="0" w:line="292" w:lineRule="auto"/>
        <w:tabs>
          <w:tab w:leader="none" w:pos="1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p>
      <w:pPr>
        <w:ind w:left="640"/>
        <w:spacing w:after="0"/>
        <w:tabs>
          <w:tab w:leader="none" w:pos="4540" w:val="left"/>
          <w:tab w:leader="none" w:pos="6020" w:val="left"/>
        </w:tabs>
        <w:rPr>
          <w:sz w:val="20"/>
          <w:szCs w:val="20"/>
          <w:color w:val="auto"/>
        </w:rPr>
      </w:pPr>
      <w:r>
        <w:rPr>
          <w:rFonts w:ascii="Times New Roman" w:cs="Times New Roman" w:eastAsia="Times New Roman" w:hAnsi="Times New Roman"/>
          <w:sz w:val="14"/>
          <w:szCs w:val="14"/>
          <w:color w:val="auto"/>
        </w:rPr>
        <w:t>Date: May 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Shelley Thunen</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Co-President and Chief Financial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922020</wp:posOffset>
            </wp:positionV>
            <wp:extent cx="56038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decimal"/>
      <w:start w:val="1"/>
    </w:lvl>
  </w:abstractNum>
  <w:abstractNum w:abstractNumId="47">
    <w:nsid w:val="32FFF902"/>
    <w:multiLevelType w:val="hybridMultilevel"/>
    <w:lvl w:ilvl="0">
      <w:lvlJc w:val="left"/>
      <w:lvlText w:val="%1."/>
      <w:numFmt w:val="decimal"/>
      <w:start w:val="2"/>
    </w:lvl>
    <w:lvl w:ilvl="1">
      <w:lvlJc w:val="left"/>
      <w:lvlText w:val="%2"/>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2025-05-07T15:29:49Z</dcterms:created>
  <dcterms:modified xsi:type="dcterms:W3CDTF">2025-05-07T15:29:49Z</dcterms:modified>
</cp:coreProperties>
</file>