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Weinberg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04"/>
        <w:gridCol w:w="773"/>
        <w:gridCol w:w="600"/>
        <w:gridCol w:w="349"/>
        <w:gridCol w:w="847"/>
        <w:gridCol w:w="455"/>
        <w:gridCol w:w="670"/>
        <w:gridCol w:w="1196"/>
        <w:gridCol w:w="999"/>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5,370</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202,389</w:t>
            </w:r>
            <w:r>
              <w:rPr>
                <w:rFonts w:ascii="Times;serif" w:hAnsi="Times;serif"/>
                <w:color w:val="008000"/>
                <w:position w:val="7"/>
                <w:sz w:val="16"/>
                <w:sz w:val="20"/>
                <w:shd w:fill="FFFFFF" w:val="clear"/>
              </w:rPr>
              <w:t>(2)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2,041</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6.96</w:t>
            </w:r>
          </w:p>
        </w:tc>
        <w:tc>
          <w:tcPr>
            <w:tcW w:w="11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200,348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299,978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1,668 shares of Common Stock acquired October 31, 2025 under the Issuer's 2021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shares sold to cover the tax withholding obligations in connection with the vesting of RSUs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EJW Living Trust, for which the Reporting Person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 continuing to be a Service Provider (as defined in the Issuer's 2021 Equity Incentive Plan (the "Plan")) through each applicable date, one-sixth (1/6th) of the RSUs subject to the award shall vest on the first Trading Day (as defined in the Plan) on or after each of August 31, 2026, February 28, 2027, August 31, 2027, February 28, 2028, August 31, 2028 and February 28,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Business Development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5814"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4047</Characters>
  <CharactersWithSpaces>4706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