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781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78180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Goldshleger Ilya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0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RxSight,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RXST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RXSIGHT,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100 COLUMBIA</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40" w:type="dxa"/>
            <w:vAlign w:val="bottom"/>
          </w:tcPr>
          <w:p>
            <w:pPr>
              <w:ind w:left="40"/>
              <w:spacing w:after="0"/>
              <w:rPr>
                <w:sz w:val="20"/>
                <w:szCs w:val="20"/>
                <w:color w:val="auto"/>
              </w:rPr>
            </w:pPr>
            <w:r>
              <w:rPr>
                <w:rFonts w:ascii="Arial" w:cs="Arial" w:eastAsia="Arial" w:hAnsi="Arial"/>
                <w:sz w:val="20"/>
                <w:szCs w:val="20"/>
                <w:color w:val="0000FF"/>
              </w:rPr>
              <w:t>ALISO</w:t>
            </w:r>
          </w:p>
        </w:tc>
        <w:tc>
          <w:tcPr>
            <w:tcW w:w="860" w:type="dxa"/>
            <w:vAlign w:val="bottom"/>
            <w:vMerge w:val="restart"/>
          </w:tcPr>
          <w:p>
            <w:pPr>
              <w:ind w:left="220"/>
              <w:spacing w:after="0"/>
              <w:rPr>
                <w:sz w:val="20"/>
                <w:szCs w:val="20"/>
                <w:color w:val="auto"/>
              </w:rPr>
            </w:pPr>
            <w:r>
              <w:rPr>
                <w:rFonts w:ascii="Arial" w:cs="Arial" w:eastAsia="Arial" w:hAnsi="Arial"/>
                <w:sz w:val="20"/>
                <w:szCs w:val="20"/>
                <w:color w:val="0000FF"/>
              </w:rPr>
              <w:t>CA</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0000FF"/>
              </w:rPr>
              <w:t>92656</w:t>
            </w:r>
          </w:p>
        </w:tc>
        <w:tc>
          <w:tcPr>
            <w:tcW w:w="0" w:type="dxa"/>
            <w:vAlign w:val="bottom"/>
          </w:tcPr>
          <w:p>
            <w:pPr>
              <w:spacing w:after="0"/>
              <w:rPr>
                <w:sz w:val="1"/>
                <w:szCs w:val="1"/>
                <w:color w:val="auto"/>
              </w:rPr>
            </w:pPr>
          </w:p>
        </w:tc>
      </w:tr>
      <w:tr>
        <w:trPr>
          <w:trHeight w:val="128"/>
        </w:trPr>
        <w:tc>
          <w:tcPr>
            <w:tcW w:w="840" w:type="dxa"/>
            <w:vAlign w:val="bottom"/>
            <w:vMerge w:val="restart"/>
          </w:tcPr>
          <w:p>
            <w:pPr>
              <w:ind w:left="40"/>
              <w:spacing w:after="0"/>
              <w:rPr>
                <w:sz w:val="20"/>
                <w:szCs w:val="20"/>
                <w:color w:val="auto"/>
              </w:rPr>
            </w:pPr>
            <w:r>
              <w:rPr>
                <w:rFonts w:ascii="Arial" w:cs="Arial" w:eastAsia="Arial" w:hAnsi="Arial"/>
                <w:sz w:val="20"/>
                <w:szCs w:val="20"/>
                <w:color w:val="0000FF"/>
              </w:rPr>
              <w:t>VIEJO</w:t>
            </w:r>
          </w:p>
        </w:tc>
        <w:tc>
          <w:tcPr>
            <w:tcW w:w="8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180"/>
              <w:spacing w:after="0"/>
              <w:rPr>
                <w:sz w:val="20"/>
                <w:szCs w:val="20"/>
                <w:color w:val="auto"/>
              </w:rPr>
            </w:pPr>
            <w:r>
              <w:rPr>
                <w:rFonts w:ascii="Arial" w:cs="Arial" w:eastAsia="Arial" w:hAnsi="Arial"/>
                <w:sz w:val="15"/>
                <w:szCs w:val="15"/>
                <w:b w:val="1"/>
                <w:bCs w:val="1"/>
                <w:color w:val="auto"/>
              </w:rPr>
              <w:t>of 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8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0"/>
              </w:rPr>
              <w:t>09/08/2019</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0"/>
              </w:rPr>
              <w:t>10/27/2025</w:t>
            </w:r>
          </w:p>
        </w:tc>
        <w:tc>
          <w:tcPr>
            <w:tcW w:w="172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Common Stock</w:t>
            </w:r>
          </w:p>
        </w:tc>
        <w:tc>
          <w:tcPr>
            <w:tcW w:w="940" w:type="dxa"/>
            <w:vAlign w:val="bottom"/>
            <w:tcBorders>
              <w:bottom w:val="single" w:sz="8" w:color="2C2C2C"/>
            </w:tcBorders>
          </w:tcPr>
          <w:p>
            <w:pPr>
              <w:jc w:val="center"/>
              <w:ind w:left="9"/>
              <w:spacing w:after="0"/>
              <w:rPr>
                <w:sz w:val="20"/>
                <w:szCs w:val="20"/>
                <w:color w:val="auto"/>
              </w:rPr>
            </w:pPr>
            <w:r>
              <w:rPr>
                <w:rFonts w:ascii="Arial" w:cs="Arial" w:eastAsia="Arial" w:hAnsi="Arial"/>
                <w:sz w:val="20"/>
                <w:szCs w:val="20"/>
                <w:color w:val="0000FF"/>
                <w:w w:val="83"/>
              </w:rPr>
              <w:t>41,142</w:t>
            </w:r>
            <w:r>
              <w:rPr>
                <w:rFonts w:ascii="Arial" w:cs="Arial" w:eastAsia="Arial" w:hAnsi="Arial"/>
                <w:sz w:val="25"/>
                <w:szCs w:val="25"/>
                <w:color w:val="008000"/>
                <w:w w:val="83"/>
                <w:vertAlign w:val="superscript"/>
              </w:rPr>
              <w:t>(1)</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7"/>
              </w:rPr>
              <w:t>3.93</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8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0"/>
              </w:rPr>
              <w:t>07/28/2020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0"/>
              </w:rPr>
              <w:t>07/28/2026</w:t>
            </w:r>
          </w:p>
        </w:tc>
        <w:tc>
          <w:tcPr>
            <w:tcW w:w="172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Common Stock</w:t>
            </w:r>
          </w:p>
        </w:tc>
        <w:tc>
          <w:tcPr>
            <w:tcW w:w="940" w:type="dxa"/>
            <w:vAlign w:val="bottom"/>
            <w:tcBorders>
              <w:bottom w:val="single" w:sz="8" w:color="2C2C2C"/>
            </w:tcBorders>
          </w:tcPr>
          <w:p>
            <w:pPr>
              <w:jc w:val="center"/>
              <w:ind w:left="29"/>
              <w:spacing w:after="0"/>
              <w:rPr>
                <w:sz w:val="20"/>
                <w:szCs w:val="20"/>
                <w:color w:val="auto"/>
              </w:rPr>
            </w:pPr>
            <w:r>
              <w:rPr>
                <w:rFonts w:ascii="Arial" w:cs="Arial" w:eastAsia="Arial" w:hAnsi="Arial"/>
                <w:sz w:val="20"/>
                <w:szCs w:val="20"/>
                <w:color w:val="0000FF"/>
                <w:w w:val="82"/>
              </w:rPr>
              <w:t>4,840</w:t>
            </w:r>
            <w:r>
              <w:rPr>
                <w:rFonts w:ascii="Arial" w:cs="Arial" w:eastAsia="Arial" w:hAnsi="Arial"/>
                <w:sz w:val="25"/>
                <w:szCs w:val="25"/>
                <w:color w:val="008000"/>
                <w:w w:val="82"/>
                <w:vertAlign w:val="superscript"/>
              </w:rPr>
              <w:t>(1)</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7"/>
              </w:rPr>
              <w:t>4.14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8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0"/>
              </w:rPr>
              <w:t>10/27/2020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0"/>
              </w:rPr>
              <w:t>10/27/2026</w:t>
            </w:r>
          </w:p>
        </w:tc>
        <w:tc>
          <w:tcPr>
            <w:tcW w:w="172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Common Stock</w:t>
            </w:r>
          </w:p>
        </w:tc>
        <w:tc>
          <w:tcPr>
            <w:tcW w:w="940" w:type="dxa"/>
            <w:vAlign w:val="bottom"/>
            <w:tcBorders>
              <w:bottom w:val="single" w:sz="8" w:color="2C2C2C"/>
            </w:tcBorders>
          </w:tcPr>
          <w:p>
            <w:pPr>
              <w:jc w:val="center"/>
              <w:ind w:left="29"/>
              <w:spacing w:after="0"/>
              <w:rPr>
                <w:sz w:val="20"/>
                <w:szCs w:val="20"/>
                <w:color w:val="auto"/>
              </w:rPr>
            </w:pPr>
            <w:r>
              <w:rPr>
                <w:rFonts w:ascii="Arial" w:cs="Arial" w:eastAsia="Arial" w:hAnsi="Arial"/>
                <w:sz w:val="20"/>
                <w:szCs w:val="20"/>
                <w:color w:val="0000FF"/>
                <w:w w:val="82"/>
              </w:rPr>
              <w:t>9,680</w:t>
            </w:r>
            <w:r>
              <w:rPr>
                <w:rFonts w:ascii="Arial" w:cs="Arial" w:eastAsia="Arial" w:hAnsi="Arial"/>
                <w:sz w:val="25"/>
                <w:szCs w:val="25"/>
                <w:color w:val="008000"/>
                <w:w w:val="82"/>
                <w:vertAlign w:val="superscript"/>
              </w:rPr>
              <w:t>(1)</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7"/>
              </w:rPr>
              <w:t>4.34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8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0"/>
              </w:rPr>
              <w:t>02/24/2021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0"/>
              </w:rPr>
              <w:t>03/14/2027</w:t>
            </w:r>
          </w:p>
        </w:tc>
        <w:tc>
          <w:tcPr>
            <w:tcW w:w="172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Common Stock</w:t>
            </w:r>
          </w:p>
        </w:tc>
        <w:tc>
          <w:tcPr>
            <w:tcW w:w="940" w:type="dxa"/>
            <w:vAlign w:val="bottom"/>
            <w:tcBorders>
              <w:bottom w:val="single" w:sz="8" w:color="2C2C2C"/>
            </w:tcBorders>
          </w:tcPr>
          <w:p>
            <w:pPr>
              <w:jc w:val="center"/>
              <w:ind w:left="29"/>
              <w:spacing w:after="0"/>
              <w:rPr>
                <w:sz w:val="20"/>
                <w:szCs w:val="20"/>
                <w:color w:val="auto"/>
              </w:rPr>
            </w:pPr>
            <w:r>
              <w:rPr>
                <w:rFonts w:ascii="Arial" w:cs="Arial" w:eastAsia="Arial" w:hAnsi="Arial"/>
                <w:sz w:val="20"/>
                <w:szCs w:val="20"/>
                <w:color w:val="0000FF"/>
                <w:w w:val="82"/>
              </w:rPr>
              <w:t>9,680</w:t>
            </w:r>
            <w:r>
              <w:rPr>
                <w:rFonts w:ascii="Arial" w:cs="Arial" w:eastAsia="Arial" w:hAnsi="Arial"/>
                <w:sz w:val="25"/>
                <w:szCs w:val="25"/>
                <w:color w:val="008000"/>
                <w:w w:val="82"/>
                <w:vertAlign w:val="superscript"/>
              </w:rPr>
              <w:t>(1)</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7"/>
              </w:rPr>
              <w:t>4.34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8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0"/>
              </w:rPr>
              <w:t>04/26/2021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0"/>
              </w:rPr>
              <w:t>04/26/2027</w:t>
            </w:r>
          </w:p>
        </w:tc>
        <w:tc>
          <w:tcPr>
            <w:tcW w:w="172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Common Stock</w:t>
            </w:r>
          </w:p>
        </w:tc>
        <w:tc>
          <w:tcPr>
            <w:tcW w:w="940" w:type="dxa"/>
            <w:vAlign w:val="bottom"/>
            <w:tcBorders>
              <w:bottom w:val="single" w:sz="8" w:color="2C2C2C"/>
            </w:tcBorders>
          </w:tcPr>
          <w:p>
            <w:pPr>
              <w:jc w:val="center"/>
              <w:ind w:left="9"/>
              <w:spacing w:after="0"/>
              <w:rPr>
                <w:sz w:val="20"/>
                <w:szCs w:val="20"/>
                <w:color w:val="auto"/>
              </w:rPr>
            </w:pPr>
            <w:r>
              <w:rPr>
                <w:rFonts w:ascii="Arial" w:cs="Arial" w:eastAsia="Arial" w:hAnsi="Arial"/>
                <w:sz w:val="20"/>
                <w:szCs w:val="20"/>
                <w:color w:val="0000FF"/>
                <w:w w:val="83"/>
              </w:rPr>
              <w:t>21,780</w:t>
            </w:r>
            <w:r>
              <w:rPr>
                <w:rFonts w:ascii="Arial" w:cs="Arial" w:eastAsia="Arial" w:hAnsi="Arial"/>
                <w:sz w:val="25"/>
                <w:szCs w:val="25"/>
                <w:color w:val="008000"/>
                <w:w w:val="83"/>
                <w:vertAlign w:val="superscript"/>
              </w:rPr>
              <w:t>(1)</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7"/>
              </w:rPr>
              <w:t>4.14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98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jc w:val="center"/>
              <w:spacing w:after="0"/>
              <w:rPr>
                <w:sz w:val="20"/>
                <w:szCs w:val="20"/>
                <w:color w:val="auto"/>
              </w:rPr>
            </w:pPr>
            <w:r>
              <w:rPr>
                <w:rFonts w:ascii="Arial" w:cs="Arial" w:eastAsia="Arial" w:hAnsi="Arial"/>
                <w:sz w:val="13"/>
                <w:szCs w:val="13"/>
                <w:color w:val="008000"/>
                <w:w w:val="87"/>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0"/>
              </w:rPr>
              <w:t>01/25/2028</w:t>
            </w:r>
          </w:p>
        </w:tc>
        <w:tc>
          <w:tcPr>
            <w:tcW w:w="172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40" w:type="dxa"/>
            <w:vAlign w:val="bottom"/>
          </w:tcPr>
          <w:p>
            <w:pPr>
              <w:jc w:val="center"/>
              <w:ind w:left="29"/>
              <w:spacing w:after="0"/>
              <w:rPr>
                <w:sz w:val="20"/>
                <w:szCs w:val="20"/>
                <w:color w:val="auto"/>
              </w:rPr>
            </w:pPr>
            <w:r>
              <w:rPr>
                <w:rFonts w:ascii="Arial" w:cs="Arial" w:eastAsia="Arial" w:hAnsi="Arial"/>
                <w:sz w:val="20"/>
                <w:szCs w:val="20"/>
                <w:color w:val="0000FF"/>
                <w:w w:val="88"/>
              </w:rPr>
              <w:t>14,520</w:t>
            </w:r>
          </w:p>
        </w:tc>
        <w:tc>
          <w:tcPr>
            <w:tcW w:w="1000" w:type="dxa"/>
            <w:vAlign w:val="bottom"/>
          </w:tcPr>
          <w:p>
            <w:pPr>
              <w:jc w:val="center"/>
              <w:spacing w:after="0"/>
              <w:rPr>
                <w:sz w:val="20"/>
                <w:szCs w:val="20"/>
                <w:color w:val="auto"/>
              </w:rPr>
            </w:pPr>
            <w:r>
              <w:rPr>
                <w:rFonts w:ascii="Arial" w:cs="Arial" w:eastAsia="Arial" w:hAnsi="Arial"/>
                <w:sz w:val="20"/>
                <w:szCs w:val="20"/>
                <w:color w:val="0000FF"/>
                <w:w w:val="87"/>
              </w:rPr>
              <w:t>18.91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98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jc w:val="center"/>
              <w:spacing w:after="0"/>
              <w:rPr>
                <w:sz w:val="20"/>
                <w:szCs w:val="20"/>
                <w:color w:val="auto"/>
              </w:rPr>
            </w:pPr>
            <w:r>
              <w:rPr>
                <w:rFonts w:ascii="Arial" w:cs="Arial" w:eastAsia="Arial" w:hAnsi="Arial"/>
                <w:sz w:val="13"/>
                <w:szCs w:val="13"/>
                <w:color w:val="008000"/>
                <w:w w:val="87"/>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0"/>
              </w:rPr>
              <w:t>07/26/2028</w:t>
            </w:r>
          </w:p>
        </w:tc>
        <w:tc>
          <w:tcPr>
            <w:tcW w:w="172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40" w:type="dxa"/>
            <w:vAlign w:val="bottom"/>
          </w:tcPr>
          <w:p>
            <w:pPr>
              <w:jc w:val="center"/>
              <w:ind w:left="29"/>
              <w:spacing w:after="0"/>
              <w:rPr>
                <w:sz w:val="20"/>
                <w:szCs w:val="20"/>
                <w:color w:val="auto"/>
              </w:rPr>
            </w:pPr>
            <w:r>
              <w:rPr>
                <w:rFonts w:ascii="Arial" w:cs="Arial" w:eastAsia="Arial" w:hAnsi="Arial"/>
                <w:sz w:val="20"/>
                <w:szCs w:val="20"/>
                <w:color w:val="0000FF"/>
                <w:w w:val="88"/>
              </w:rPr>
              <w:t>19,360</w:t>
            </w:r>
          </w:p>
        </w:tc>
        <w:tc>
          <w:tcPr>
            <w:tcW w:w="1000" w:type="dxa"/>
            <w:vAlign w:val="bottom"/>
          </w:tcPr>
          <w:p>
            <w:pPr>
              <w:jc w:val="center"/>
              <w:spacing w:after="0"/>
              <w:rPr>
                <w:sz w:val="20"/>
                <w:szCs w:val="20"/>
                <w:color w:val="auto"/>
              </w:rPr>
            </w:pPr>
            <w:r>
              <w:rPr>
                <w:rFonts w:ascii="Arial" w:cs="Arial" w:eastAsia="Arial" w:hAnsi="Arial"/>
                <w:sz w:val="20"/>
                <w:szCs w:val="20"/>
                <w:color w:val="0000FF"/>
                <w:w w:val="87"/>
              </w:rPr>
              <w:t>18.91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98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jc w:val="center"/>
              <w:spacing w:after="0"/>
              <w:rPr>
                <w:sz w:val="20"/>
                <w:szCs w:val="20"/>
                <w:color w:val="auto"/>
              </w:rPr>
            </w:pPr>
            <w:r>
              <w:rPr>
                <w:rFonts w:ascii="Arial" w:cs="Arial" w:eastAsia="Arial" w:hAnsi="Arial"/>
                <w:sz w:val="15"/>
                <w:szCs w:val="15"/>
                <w:color w:val="0000FF"/>
                <w:w w:val="90"/>
              </w:rPr>
              <w:t>04/18/2021</w:t>
            </w:r>
          </w:p>
        </w:tc>
        <w:tc>
          <w:tcPr>
            <w:tcW w:w="900" w:type="dxa"/>
            <w:vAlign w:val="bottom"/>
          </w:tcPr>
          <w:p>
            <w:pPr>
              <w:jc w:val="center"/>
              <w:spacing w:after="0"/>
              <w:rPr>
                <w:sz w:val="20"/>
                <w:szCs w:val="20"/>
                <w:color w:val="auto"/>
              </w:rPr>
            </w:pPr>
            <w:r>
              <w:rPr>
                <w:rFonts w:ascii="Arial" w:cs="Arial" w:eastAsia="Arial" w:hAnsi="Arial"/>
                <w:sz w:val="15"/>
                <w:szCs w:val="15"/>
                <w:color w:val="0000FF"/>
                <w:w w:val="90"/>
              </w:rPr>
              <w:t>04/18/2029</w:t>
            </w:r>
          </w:p>
        </w:tc>
        <w:tc>
          <w:tcPr>
            <w:tcW w:w="172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40" w:type="dxa"/>
            <w:vAlign w:val="bottom"/>
          </w:tcPr>
          <w:p>
            <w:pPr>
              <w:jc w:val="center"/>
              <w:ind w:left="29"/>
              <w:spacing w:after="0"/>
              <w:rPr>
                <w:sz w:val="20"/>
                <w:szCs w:val="20"/>
                <w:color w:val="auto"/>
              </w:rPr>
            </w:pPr>
            <w:r>
              <w:rPr>
                <w:rFonts w:ascii="Arial" w:cs="Arial" w:eastAsia="Arial" w:hAnsi="Arial"/>
                <w:sz w:val="20"/>
                <w:szCs w:val="20"/>
                <w:color w:val="0000FF"/>
                <w:w w:val="88"/>
              </w:rPr>
              <w:t>30,590</w:t>
            </w:r>
          </w:p>
        </w:tc>
        <w:tc>
          <w:tcPr>
            <w:tcW w:w="1000" w:type="dxa"/>
            <w:vAlign w:val="bottom"/>
          </w:tcPr>
          <w:p>
            <w:pPr>
              <w:jc w:val="center"/>
              <w:spacing w:after="0"/>
              <w:rPr>
                <w:sz w:val="20"/>
                <w:szCs w:val="20"/>
                <w:color w:val="auto"/>
              </w:rPr>
            </w:pPr>
            <w:r>
              <w:rPr>
                <w:rFonts w:ascii="Arial" w:cs="Arial" w:eastAsia="Arial" w:hAnsi="Arial"/>
                <w:sz w:val="20"/>
                <w:szCs w:val="20"/>
                <w:color w:val="0000FF"/>
                <w:w w:val="87"/>
              </w:rPr>
              <w:t>23.04</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98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jc w:val="center"/>
              <w:spacing w:after="0"/>
              <w:rPr>
                <w:sz w:val="20"/>
                <w:szCs w:val="20"/>
                <w:color w:val="auto"/>
              </w:rPr>
            </w:pPr>
            <w:r>
              <w:rPr>
                <w:rFonts w:ascii="Arial" w:cs="Arial" w:eastAsia="Arial" w:hAnsi="Arial"/>
                <w:sz w:val="13"/>
                <w:szCs w:val="13"/>
                <w:color w:val="008000"/>
                <w:w w:val="87"/>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0"/>
              </w:rPr>
              <w:t>04/23/2030</w:t>
            </w:r>
          </w:p>
        </w:tc>
        <w:tc>
          <w:tcPr>
            <w:tcW w:w="172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40" w:type="dxa"/>
            <w:vAlign w:val="bottom"/>
          </w:tcPr>
          <w:p>
            <w:pPr>
              <w:jc w:val="center"/>
              <w:ind w:left="29"/>
              <w:spacing w:after="0"/>
              <w:rPr>
                <w:sz w:val="20"/>
                <w:szCs w:val="20"/>
                <w:color w:val="auto"/>
              </w:rPr>
            </w:pPr>
            <w:r>
              <w:rPr>
                <w:rFonts w:ascii="Arial" w:cs="Arial" w:eastAsia="Arial" w:hAnsi="Arial"/>
                <w:sz w:val="20"/>
                <w:szCs w:val="20"/>
                <w:color w:val="0000FF"/>
                <w:w w:val="85"/>
              </w:rPr>
              <w:t>145,207</w:t>
            </w:r>
          </w:p>
        </w:tc>
        <w:tc>
          <w:tcPr>
            <w:tcW w:w="1000" w:type="dxa"/>
            <w:vAlign w:val="bottom"/>
          </w:tcPr>
          <w:p>
            <w:pPr>
              <w:jc w:val="center"/>
              <w:spacing w:after="0"/>
              <w:rPr>
                <w:sz w:val="20"/>
                <w:szCs w:val="20"/>
                <w:color w:val="auto"/>
              </w:rPr>
            </w:pPr>
            <w:r>
              <w:rPr>
                <w:rFonts w:ascii="Arial" w:cs="Arial" w:eastAsia="Arial" w:hAnsi="Arial"/>
                <w:sz w:val="20"/>
                <w:szCs w:val="20"/>
                <w:color w:val="0000FF"/>
                <w:w w:val="87"/>
              </w:rPr>
              <w:t>15.09</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98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jc w:val="center"/>
              <w:spacing w:after="0"/>
              <w:rPr>
                <w:sz w:val="20"/>
                <w:szCs w:val="20"/>
                <w:color w:val="auto"/>
              </w:rPr>
            </w:pPr>
            <w:r>
              <w:rPr>
                <w:rFonts w:ascii="Arial" w:cs="Arial" w:eastAsia="Arial" w:hAnsi="Arial"/>
                <w:sz w:val="13"/>
                <w:szCs w:val="13"/>
                <w:color w:val="008000"/>
                <w:w w:val="87"/>
              </w:rPr>
              <w:t>(5)</w:t>
            </w:r>
          </w:p>
        </w:tc>
        <w:tc>
          <w:tcPr>
            <w:tcW w:w="900" w:type="dxa"/>
            <w:vAlign w:val="bottom"/>
          </w:tcPr>
          <w:p>
            <w:pPr>
              <w:jc w:val="center"/>
              <w:spacing w:after="0"/>
              <w:rPr>
                <w:sz w:val="20"/>
                <w:szCs w:val="20"/>
                <w:color w:val="auto"/>
              </w:rPr>
            </w:pPr>
            <w:r>
              <w:rPr>
                <w:rFonts w:ascii="Arial" w:cs="Arial" w:eastAsia="Arial" w:hAnsi="Arial"/>
                <w:sz w:val="15"/>
                <w:szCs w:val="15"/>
                <w:color w:val="0000FF"/>
                <w:w w:val="90"/>
              </w:rPr>
              <w:t>03/22/2031</w:t>
            </w:r>
          </w:p>
        </w:tc>
        <w:tc>
          <w:tcPr>
            <w:tcW w:w="172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40" w:type="dxa"/>
            <w:vAlign w:val="bottom"/>
          </w:tcPr>
          <w:p>
            <w:pPr>
              <w:jc w:val="center"/>
              <w:ind w:left="29"/>
              <w:spacing w:after="0"/>
              <w:rPr>
                <w:sz w:val="20"/>
                <w:szCs w:val="20"/>
                <w:color w:val="auto"/>
              </w:rPr>
            </w:pPr>
            <w:r>
              <w:rPr>
                <w:rFonts w:ascii="Arial" w:cs="Arial" w:eastAsia="Arial" w:hAnsi="Arial"/>
                <w:sz w:val="20"/>
                <w:szCs w:val="20"/>
                <w:color w:val="0000FF"/>
                <w:w w:val="88"/>
              </w:rPr>
              <w:t>96,805</w:t>
            </w:r>
          </w:p>
        </w:tc>
        <w:tc>
          <w:tcPr>
            <w:tcW w:w="1000" w:type="dxa"/>
            <w:vAlign w:val="bottom"/>
          </w:tcPr>
          <w:p>
            <w:pPr>
              <w:jc w:val="center"/>
              <w:spacing w:after="0"/>
              <w:rPr>
                <w:sz w:val="20"/>
                <w:szCs w:val="20"/>
                <w:color w:val="auto"/>
              </w:rPr>
            </w:pPr>
            <w:r>
              <w:rPr>
                <w:rFonts w:ascii="Arial" w:cs="Arial" w:eastAsia="Arial" w:hAnsi="Arial"/>
                <w:sz w:val="20"/>
                <w:szCs w:val="20"/>
                <w:color w:val="0000FF"/>
                <w:w w:val="87"/>
              </w:rPr>
              <w:t>15.6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Shares issued pursuant to the Issuer's 2015 Equity Incentive Plan, as amended.</w:t>
      </w:r>
    </w:p>
    <w:p>
      <w:pPr>
        <w:spacing w:after="0" w:line="52" w:lineRule="exact"/>
        <w:rPr>
          <w:rFonts w:ascii="Arial" w:cs="Arial" w:eastAsia="Arial" w:hAnsi="Arial"/>
          <w:sz w:val="15"/>
          <w:szCs w:val="15"/>
          <w:color w:val="008000"/>
        </w:rPr>
      </w:pPr>
    </w:p>
    <w:p>
      <w:pPr>
        <w:ind w:left="40" w:right="10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Shares issued pursuant to the Issuer's 2015 Equity Incentive Plan, as amended (the "2015 Plan). Subject to the Reporting Person continuing to be a Service Provider (as defined 2015 Plan) through each applicable date, one forty-eighth (1/48th) of the shares subject to the option shall vest each month following the Vesting Commencement Date on the same day of the month as the Vesting Commencement Date (and if there is no corresponding day, on the last day of the month). "Vesting Commencement Date" shall mean January 25, 2018.</w:t>
      </w:r>
    </w:p>
    <w:p>
      <w:pPr>
        <w:spacing w:after="0" w:line="36" w:lineRule="exact"/>
        <w:rPr>
          <w:rFonts w:ascii="Arial" w:cs="Arial" w:eastAsia="Arial" w:hAnsi="Arial"/>
          <w:sz w:val="15"/>
          <w:szCs w:val="15"/>
          <w:color w:val="008000"/>
        </w:rPr>
      </w:pPr>
    </w:p>
    <w:p>
      <w:pPr>
        <w:ind w:left="40" w:right="60" w:firstLine="5"/>
        <w:spacing w:after="0" w:line="297"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Shares issued pursuant to the Issuer's 2015 Equity Incentive Plan, as amended (the "2015 Plan). Subject to the Reporting Person continuing to be a Service Provider (as defined 2015 Plan) through each applicable date, one forty-eighth (1/48th) of the shares subject to the option shall vest each month following the Vesting Commencement Date on the same day of the month as the Vesting Commencement Date (and if there is no corresponding day, on the last day of the month). "Vesting Commencement Date" shall mean July 26, 2018.</w:t>
      </w:r>
    </w:p>
    <w:p>
      <w:pPr>
        <w:ind w:left="40" w:right="10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Shares issued pursuant to the Issuer's 2015 Equity Incentive Plan, as amended (the "2015 Plan). Subject to the Reporting Person continuing to be a Service Provider (as defined 2015 Plan) through each applicable date, one forty-eighth (1/48th) of the shares subject to the option shall vest each month following the Vesting Commencement Date on the same day of the month as the Vesting Commencement Date (and if there is no corresponding day, on the last day of the month). "Vesting Commencement Date" shall mean April 23, 2020.</w:t>
      </w:r>
    </w:p>
    <w:p>
      <w:pPr>
        <w:spacing w:after="0" w:line="36" w:lineRule="exact"/>
        <w:rPr>
          <w:rFonts w:ascii="Arial" w:cs="Arial" w:eastAsia="Arial" w:hAnsi="Arial"/>
          <w:sz w:val="15"/>
          <w:szCs w:val="15"/>
          <w:color w:val="008000"/>
        </w:rPr>
      </w:pPr>
    </w:p>
    <w:p>
      <w:pPr>
        <w:ind w:left="40" w:right="10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Shares issued pursuant to the Issuer's 2015 Equity Incentive Plan, as amended (the "2015 Plan). Subject to the Reporting Person continuing to be a Service Provider (as defined 2015 Plan) through each applicable date, one forty-eighth (1/48th) of the shares subject to the option shall vest each month following the Vesting Commencement Date on the same day of the month as the Vesting Commencement Date (and if there is no corresponding day, on the last day of the month). "Vesting Commencement Date" shall mean March 22, 2021.</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5"/>
              </w:rPr>
              <w:t>/s/ Shelley Thunen, as</w:t>
            </w:r>
          </w:p>
        </w:tc>
        <w:tc>
          <w:tcPr>
            <w:tcW w:w="4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19" w:right="559" w:bottom="1440" w:gutter="0" w:footer="0" w:header="0"/>
        </w:sectPr>
      </w:pPr>
    </w:p>
    <w:bookmarkStart w:id="2" w:name="page3"/>
    <w:bookmarkEnd w:id="2"/>
    <w:p>
      <w:pPr>
        <w:jc w:val="center"/>
        <w:ind w:right="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jc w:val="both"/>
        <w:ind w:right="619" w:firstLine="936"/>
        <w:spacing w:after="0" w:line="274" w:lineRule="auto"/>
        <w:rPr>
          <w:sz w:val="20"/>
          <w:szCs w:val="20"/>
          <w:color w:val="auto"/>
        </w:rPr>
      </w:pPr>
      <w:r>
        <w:rPr>
          <w:rFonts w:ascii="Courier New" w:cs="Courier New" w:eastAsia="Courier New" w:hAnsi="Courier New"/>
          <w:sz w:val="18"/>
          <w:szCs w:val="18"/>
          <w:color w:val="auto"/>
        </w:rPr>
        <w:t>The undersigned, as a Section 16 reporting person of RxSight, Inc., Inc. (the "Company"), hereby constitutes and appoints Ron Kurtz, M.D., Shelley Thunen and Martin J. Waters the undersigned's true and lawful attorneys-in-fact to:</w:t>
      </w:r>
    </w:p>
    <w:p>
      <w:pPr>
        <w:spacing w:after="0" w:line="202" w:lineRule="exact"/>
        <w:rPr>
          <w:sz w:val="20"/>
          <w:szCs w:val="20"/>
          <w:color w:val="auto"/>
        </w:rPr>
      </w:pPr>
    </w:p>
    <w:p>
      <w:pPr>
        <w:ind w:left="1400" w:right="619" w:hanging="464"/>
        <w:spacing w:after="0" w:line="268" w:lineRule="auto"/>
        <w:tabs>
          <w:tab w:leader="none" w:pos="14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attorneys-in-fact shall in their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6" w:lineRule="exact"/>
        <w:rPr>
          <w:rFonts w:ascii="Courier New" w:cs="Courier New" w:eastAsia="Courier New" w:hAnsi="Courier New"/>
          <w:sz w:val="18"/>
          <w:szCs w:val="18"/>
          <w:color w:val="auto"/>
        </w:rPr>
      </w:pPr>
    </w:p>
    <w:p>
      <w:pPr>
        <w:ind w:left="1400" w:right="619" w:hanging="464"/>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Securities and Exchange Commission, any securities exchange or national association, the Company and such other person or agency as the attorneys-in-fact shall deem appropriate.</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29th day of July, 2021.</w:t>
      </w:r>
    </w:p>
    <w:p>
      <w:pPr>
        <w:spacing w:after="0" w:line="224" w:lineRule="exact"/>
        <w:rPr>
          <w:sz w:val="20"/>
          <w:szCs w:val="20"/>
          <w:color w:val="auto"/>
        </w:rPr>
      </w:pPr>
    </w:p>
    <w:p>
      <w:pPr>
        <w:ind w:left="3520"/>
        <w:spacing w:after="0"/>
        <w:tabs>
          <w:tab w:leader="none" w:pos="490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Ilya Goldshleger</w:t>
      </w:r>
    </w:p>
    <w:p>
      <w:pPr>
        <w:spacing w:after="0" w:line="5" w:lineRule="exact"/>
        <w:rPr>
          <w:sz w:val="20"/>
          <w:szCs w:val="20"/>
          <w:color w:val="auto"/>
        </w:rPr>
      </w:pPr>
    </w:p>
    <w:p>
      <w:pPr>
        <w:ind w:left="4920"/>
        <w:spacing w:after="0"/>
        <w:rPr>
          <w:sz w:val="20"/>
          <w:szCs w:val="20"/>
          <w:color w:val="auto"/>
        </w:rPr>
      </w:pPr>
      <w:r>
        <w:rPr>
          <w:rFonts w:ascii="Courier New" w:cs="Courier New" w:eastAsia="Courier New" w:hAnsi="Courier New"/>
          <w:sz w:val="18"/>
          <w:szCs w:val="18"/>
          <w:color w:val="auto"/>
        </w:rPr>
        <w:t>--------------------------------------</w:t>
      </w:r>
    </w:p>
    <w:p>
      <w:pPr>
        <w:spacing w:after="0" w:line="240" w:lineRule="exact"/>
        <w:rPr>
          <w:sz w:val="20"/>
          <w:szCs w:val="20"/>
          <w:color w:val="auto"/>
        </w:rPr>
      </w:pPr>
    </w:p>
    <w:p>
      <w:pPr>
        <w:ind w:left="3520"/>
        <w:spacing w:after="0"/>
        <w:tabs>
          <w:tab w:leader="none" w:pos="502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Ilya Goldshleger</w:t>
      </w:r>
    </w:p>
    <w:p>
      <w:pPr>
        <w:spacing w:after="0" w:line="5" w:lineRule="exact"/>
        <w:rPr>
          <w:sz w:val="20"/>
          <w:szCs w:val="20"/>
          <w:color w:val="auto"/>
        </w:rPr>
      </w:pPr>
    </w:p>
    <w:p>
      <w:pPr>
        <w:ind w:left="49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4147" TargetMode="External"/><Relationship Id="rId11" Type="http://schemas.openxmlformats.org/officeDocument/2006/relationships/hyperlink" Target="http://www.sec.gov/cgi-bin/browse-edgar?action=getcompany&amp;CIK=00011114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2021-07-29T09:46:44Z</dcterms:created>
  <dcterms:modified xsi:type="dcterms:W3CDTF">2021-07-29T09:46:44Z</dcterms:modified>
</cp:coreProperties>
</file>