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60" w:hanging="4079"/>
        <w:spacing w:after="0" w:line="308" w:lineRule="auto"/>
        <w:tabs>
          <w:tab w:leader="none" w:pos="4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ind w:left="480" w:hanging="459"/>
        <w:spacing w:after="0" w:line="181" w:lineRule="auto"/>
        <w:tabs>
          <w:tab w:leader="none" w:pos="480" w:val="left"/>
        </w:tabs>
        <w:numPr>
          <w:ilvl w:val="0"/>
          <w:numId w:val="2"/>
        </w:numPr>
        <w:rPr>
          <w:rFonts w:ascii="MS PGothic" w:cs="MS PGothic" w:eastAsia="MS PGothic" w:hAnsi="MS PGothic"/>
          <w:sz w:val="32"/>
          <w:szCs w:val="32"/>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406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RxSight, Inc.</w:t>
      </w:r>
    </w:p>
    <w:p>
      <w:pPr>
        <w:sectPr>
          <w:pgSz w:w="11900" w:h="16838" w:orient="portrait"/>
          <w:cols w:equalWidth="0" w:num="1">
            <w:col w:w="11240"/>
          </w:cols>
          <w:pgMar w:left="320" w:top="498"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52070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8"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14" w:lineRule="exact"/>
        <w:rPr>
          <w:sz w:val="24"/>
          <w:szCs w:val="24"/>
          <w:color w:val="auto"/>
        </w:rPr>
      </w:pPr>
    </w:p>
    <w:p>
      <w:pPr>
        <w:ind w:left="2600" w:hanging="317"/>
        <w:spacing w:after="0"/>
        <w:tabs>
          <w:tab w:leader="none" w:pos="26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Columbia</w:t>
      </w:r>
    </w:p>
    <w:p>
      <w:pPr>
        <w:spacing w:after="0" w:line="27"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Aliso Viejo, California</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94-3268801</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92656</w:t>
      </w:r>
    </w:p>
    <w:p>
      <w:pPr>
        <w:spacing w:after="0" w:line="36" w:lineRule="exact"/>
        <w:rPr>
          <w:sz w:val="24"/>
          <w:szCs w:val="24"/>
          <w:color w:val="auto"/>
        </w:rPr>
      </w:pPr>
    </w:p>
    <w:p>
      <w:pPr>
        <w:sectPr>
          <w:pgSz w:w="11900" w:h="16838" w:orient="portrait"/>
          <w:cols w:equalWidth="0" w:num="2">
            <w:col w:w="7420" w:space="520"/>
            <w:col w:w="3300"/>
          </w:cols>
          <w:pgMar w:left="320" w:top="498"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44"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54610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RXST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23" w:lineRule="exact"/>
        <w:rPr>
          <w:sz w:val="24"/>
          <w:szCs w:val="24"/>
          <w:color w:val="auto"/>
        </w:rPr>
      </w:pPr>
    </w:p>
    <w:p>
      <w:pPr>
        <w:ind w:right="3940"/>
        <w:spacing w:after="0" w:line="189"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18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10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72"/>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72"/>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24"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2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 w:lineRule="exact"/>
        <w:rPr>
          <w:sz w:val="24"/>
          <w:szCs w:val="24"/>
          <w:color w:val="auto"/>
        </w:rPr>
      </w:pPr>
    </w:p>
    <w:p>
      <w:pPr>
        <w:ind w:right="140"/>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39" w:lineRule="exact"/>
        <w:rPr>
          <w:sz w:val="24"/>
          <w:szCs w:val="24"/>
          <w:color w:val="auto"/>
        </w:rPr>
      </w:pPr>
    </w:p>
    <w:p>
      <w:pPr>
        <w:ind w:right="40"/>
        <w:spacing w:after="0" w:line="257" w:lineRule="auto"/>
        <w:rPr>
          <w:sz w:val="20"/>
          <w:szCs w:val="20"/>
          <w:color w:val="auto"/>
        </w:rPr>
      </w:pPr>
      <w:r>
        <w:rPr>
          <w:rFonts w:ascii="Arial" w:cs="Arial" w:eastAsia="Arial" w:hAnsi="Arial"/>
          <w:sz w:val="13"/>
          <w:szCs w:val="13"/>
          <w:color w:val="auto"/>
        </w:rPr>
        <w:t>As of June 30, 2022, the aggregate market value of the voting and non-voting common equity held by non-affiliates of the registrant was approximately $310 million based upon the closing price of $14.08 on the Nasdaq Global Market on such date.</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15, 2023 was 33,775,718.</w:t>
      </w:r>
    </w:p>
    <w:p>
      <w:pPr>
        <w:spacing w:after="0" w:line="39"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DOCUMENTS INCORPORATED BY REFERENCE</w:t>
      </w:r>
    </w:p>
    <w:p>
      <w:pPr>
        <w:spacing w:after="0" w:line="26" w:lineRule="exact"/>
        <w:rPr>
          <w:sz w:val="24"/>
          <w:szCs w:val="24"/>
          <w:color w:val="auto"/>
        </w:rPr>
      </w:pPr>
    </w:p>
    <w:p>
      <w:pPr>
        <w:ind w:right="20"/>
        <w:spacing w:after="0" w:line="250"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 Except with respect to information specifically incorporated by reference,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89" w:lineRule="exact"/>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line="189"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1B.</w:t>
            </w:r>
          </w:p>
        </w:tc>
        <w:tc>
          <w:tcPr>
            <w:tcW w:w="918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3.</w:t>
            </w:r>
          </w:p>
        </w:tc>
        <w:tc>
          <w:tcPr>
            <w:tcW w:w="91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4.</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7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89" w:lineRule="exact"/>
              <w:rPr>
                <w:sz w:val="20"/>
                <w:szCs w:val="20"/>
                <w:color w:val="auto"/>
              </w:rPr>
            </w:pPr>
            <w:r>
              <w:rPr>
                <w:rFonts w:ascii="Arial" w:cs="Arial" w:eastAsia="Arial" w:hAnsi="Arial"/>
                <w:sz w:val="18"/>
                <w:szCs w:val="18"/>
                <w:color w:val="auto"/>
              </w:rPr>
              <w:t>Item 5.</w:t>
            </w:r>
          </w:p>
        </w:tc>
        <w:tc>
          <w:tcPr>
            <w:tcW w:w="9180" w:type="dxa"/>
            <w:vAlign w:val="bottom"/>
            <w:gridSpan w:val="21"/>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6.</w:t>
            </w:r>
          </w:p>
        </w:tc>
        <w:tc>
          <w:tcPr>
            <w:tcW w:w="918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7.</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7A.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8.</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9B.</w:t>
            </w:r>
          </w:p>
        </w:tc>
        <w:tc>
          <w:tcPr>
            <w:tcW w:w="91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9C.</w:t>
            </w:r>
          </w:p>
        </w:tc>
        <w:tc>
          <w:tcPr>
            <w:tcW w:w="918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7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89" w:lineRule="exact"/>
              <w:rPr>
                <w:sz w:val="20"/>
                <w:szCs w:val="20"/>
                <w:color w:val="auto"/>
              </w:rPr>
            </w:pPr>
            <w:r>
              <w:rPr>
                <w:rFonts w:ascii="Arial" w:cs="Arial" w:eastAsia="Arial" w:hAnsi="Arial"/>
                <w:sz w:val="18"/>
                <w:szCs w:val="18"/>
                <w:color w:val="auto"/>
              </w:rPr>
              <w:t>Item 10.</w:t>
            </w:r>
          </w:p>
        </w:tc>
        <w:tc>
          <w:tcPr>
            <w:tcW w:w="9180" w:type="dxa"/>
            <w:vAlign w:val="bottom"/>
            <w:gridSpan w:val="21"/>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13.</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14.</w:t>
            </w:r>
          </w:p>
        </w:tc>
        <w:tc>
          <w:tcPr>
            <w:tcW w:w="9180" w:type="dxa"/>
            <w:vAlign w:val="bottom"/>
            <w:gridSpan w:val="21"/>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7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89" w:lineRule="exact"/>
              <w:rPr>
                <w:sz w:val="20"/>
                <w:szCs w:val="20"/>
                <w:color w:val="auto"/>
              </w:rPr>
            </w:pPr>
            <w:r>
              <w:rPr>
                <w:rFonts w:ascii="Arial" w:cs="Arial" w:eastAsia="Arial" w:hAnsi="Arial"/>
                <w:sz w:val="18"/>
                <w:szCs w:val="18"/>
                <w:color w:val="auto"/>
              </w:rPr>
              <w:t>Item 15.</w:t>
            </w:r>
          </w:p>
        </w:tc>
        <w:tc>
          <w:tcPr>
            <w:tcW w:w="9180" w:type="dxa"/>
            <w:vAlign w:val="bottom"/>
            <w:gridSpan w:val="21"/>
          </w:tcPr>
          <w:p>
            <w:pPr>
              <w:spacing w:after="0" w:line="189" w:lineRule="exact"/>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16.</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to those statements included elsewhere in this Annual Report on Form 10-K. 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Annual Report on Form 10-K, “we,” “us” and “our” refer to RxSight, Inc.</w:t>
      </w:r>
    </w:p>
    <w:p>
      <w:pPr>
        <w:spacing w:after="0" w:line="191"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The forward-looking statements are contained principally in the section entitled “Risk Factors” in Part I, Item 1A of this Annual Report on Form 10-K and “Management’s Discussion and Analysis of Financial Condition and Results of Operations” in Part II, Item 7 of this Annual Report on Form 10-K. Forward-looking statements include, but are not limited to, statements concerning the following:</w:t>
      </w:r>
    </w:p>
    <w:p>
      <w:pPr>
        <w:spacing w:after="0" w:line="75" w:lineRule="exact"/>
        <w:rPr>
          <w:sz w:val="20"/>
          <w:szCs w:val="20"/>
          <w:color w:val="auto"/>
        </w:rPr>
      </w:pPr>
    </w:p>
    <w:p>
      <w:pPr>
        <w:ind w:left="1020" w:right="220" w:hanging="504"/>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 provided that we may opportunistically access our at-the-market (“ATM”) facility under advantageous circumstances;</w:t>
      </w:r>
    </w:p>
    <w:p>
      <w:pPr>
        <w:spacing w:after="0" w:line="82"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conduct further clinical trials and any expectations related to such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and expected timeline related to our products, or developing new products, to address additional indications or otherwise;</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expected acceptance and use of our products by doctors;</w:t>
      </w:r>
    </w:p>
    <w:p>
      <w:pPr>
        <w:spacing w:after="0" w:line="116" w:lineRule="exact"/>
        <w:rPr>
          <w:rFonts w:ascii="Arial" w:cs="Arial" w:eastAsia="Arial" w:hAnsi="Arial"/>
          <w:sz w:val="18"/>
          <w:szCs w:val="18"/>
          <w:color w:val="231F20"/>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of our business and our organization;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intentions regarding investment in our business as we pursue growth;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uses of our existing resources;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the continued development of a sales and marketing infrastructure;</w:t>
      </w:r>
    </w:p>
    <w:p>
      <w:pPr>
        <w:spacing w:after="0" w:line="116"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products with appropriate quality;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our business into new geographic markets;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applicable SEC rules and Nasdaq continued listing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existing and future government laws, rules and regulations both in the U.S. and internationally;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16" w:lineRule="exact"/>
        <w:rPr>
          <w:rFonts w:ascii="Arial" w:cs="Arial" w:eastAsia="Arial" w:hAnsi="Arial"/>
          <w:sz w:val="18"/>
          <w:szCs w:val="18"/>
          <w:color w:val="auto"/>
        </w:rPr>
      </w:pPr>
    </w:p>
    <w:p>
      <w:pPr>
        <w:ind w:left="5580" w:hanging="5064"/>
        <w:spacing w:after="0" w:line="402" w:lineRule="auto"/>
        <w:tabs>
          <w:tab w:leader="none" w:pos="10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financing;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 w:name="page4"/>
    <w:bookmarkEnd w:id="3"/>
    <w:p>
      <w:pPr>
        <w:ind w:left="1020" w:right="60" w:hanging="50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(the “JOBS Act”) and a smaller reporting company under the Exchange Act;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and develop new and planned products and/or acquire new products;</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and projections relating to our competitors or our industry, including anticipated growth rates for the conventional and premium intraocular lens (“IOL”) markets;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local, regional, national or political conditions and events;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the COVID-19 pandemic, including currently known and unknown coronavirus variants, on our business or personnel; and</w:t>
      </w:r>
    </w:p>
    <w:p>
      <w:pPr>
        <w:spacing w:after="0" w:line="128" w:lineRule="exact"/>
        <w:rPr>
          <w:rFonts w:ascii="Arial" w:cs="Arial" w:eastAsia="Arial" w:hAnsi="Arial"/>
          <w:sz w:val="17"/>
          <w:szCs w:val="17"/>
          <w:color w:val="auto"/>
        </w:rPr>
      </w:pPr>
    </w:p>
    <w:p>
      <w:pPr>
        <w:ind w:left="1020" w:right="40" w:hanging="50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worldwide political and economic conditions and unknown future events could have a material adverse impact on our business, financial condition and results of operations.</w:t>
      </w:r>
    </w:p>
    <w:p>
      <w:pPr>
        <w:spacing w:after="0" w:line="102"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0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96" w:lineRule="exact"/>
        <w:rPr>
          <w:sz w:val="20"/>
          <w:szCs w:val="20"/>
          <w:color w:val="auto"/>
        </w:rPr>
      </w:pPr>
    </w:p>
    <w:p>
      <w:pPr>
        <w:ind w:right="420" w:firstLine="374"/>
        <w:spacing w:after="0" w:line="286"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t>DISCUSSION AND ANALYSIS OF OUR FINANCIAL CONDITION</w:t>
      </w:r>
    </w:p>
    <w:p>
      <w:pPr>
        <w:spacing w:after="0" w:line="161"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revenues and expenses. On an ongoing basis, we evaluate our estimates including those related to revenue recognition,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w:t>
      </w:r>
    </w:p>
    <w:p>
      <w:pPr>
        <w:spacing w:after="0" w:line="17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INDUSTRY, BUSINESS AND MARKET DATA</w:t>
      </w:r>
    </w:p>
    <w:p>
      <w:pPr>
        <w:spacing w:after="0" w:line="148"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6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1" w:lineRule="exact"/>
        <w:rPr>
          <w:sz w:val="20"/>
          <w:szCs w:val="20"/>
          <w:color w:val="auto"/>
        </w:rPr>
      </w:pPr>
    </w:p>
    <w:p>
      <w:pPr>
        <w:ind w:right="120" w:firstLine="374"/>
        <w:spacing w:after="0" w:line="241" w:lineRule="auto"/>
        <w:rPr>
          <w:sz w:val="20"/>
          <w:szCs w:val="20"/>
          <w:color w:val="auto"/>
        </w:rPr>
      </w:pPr>
      <w:r>
        <w:rPr>
          <w:rFonts w:ascii="Arial" w:cs="Arial" w:eastAsia="Arial" w:hAnsi="Arial"/>
          <w:sz w:val="17"/>
          <w:szCs w:val="17"/>
          <w:color w:val="auto"/>
        </w:rPr>
        <w:t>We are a commercial-stage medical technology company dedicated to improving the vision of patients following cataract surgery. Our proprietary RxSight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(“LAL</w:t>
      </w:r>
      <w:r>
        <w:rPr>
          <w:rFonts w:ascii="Arial" w:cs="Arial" w:eastAsia="Arial" w:hAnsi="Arial"/>
          <w:sz w:val="23"/>
          <w:szCs w:val="23"/>
          <w:color w:val="auto"/>
          <w:vertAlign w:val="superscript"/>
        </w:rPr>
        <w:t>®</w:t>
      </w:r>
      <w:r>
        <w:rPr>
          <w:rFonts w:ascii="Arial" w:cs="Arial" w:eastAsia="Arial" w:hAnsi="Arial"/>
          <w:sz w:val="17"/>
          <w:szCs w:val="17"/>
          <w:color w:val="auto"/>
        </w:rPr>
        <w:t>”), RxSight Light Delivery Device (“LDD™”) and accessories. Our LAL is a premium intraocular lens (“IOL”) made of proprietary photosensitive material that changes shape in response to specific patterns of ultraviolet (“UV”) light generated by our LDD.</w:t>
      </w:r>
    </w:p>
    <w:p>
      <w:pPr>
        <w:spacing w:after="0" w:line="134"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 suboptimal, then the patient may experience suboptimal results that could necessitate a subsequent corneal refractive procedure or certain other compromises in order to reach vision targets.</w:t>
      </w:r>
    </w:p>
    <w:p>
      <w:pPr>
        <w:spacing w:after="0" w:line="110" w:lineRule="exact"/>
        <w:rPr>
          <w:sz w:val="20"/>
          <w:szCs w:val="20"/>
          <w:color w:val="auto"/>
        </w:rPr>
      </w:pPr>
    </w:p>
    <w:p>
      <w:pPr>
        <w:ind w:right="180" w:firstLine="374"/>
        <w:spacing w:after="0" w:line="256" w:lineRule="auto"/>
        <w:rPr>
          <w:sz w:val="20"/>
          <w:szCs w:val="20"/>
          <w:color w:val="auto"/>
        </w:rPr>
      </w:pPr>
      <w:r>
        <w:rPr>
          <w:rFonts w:ascii="Arial" w:cs="Arial" w:eastAsia="Arial" w:hAnsi="Arial"/>
          <w:sz w:val="18"/>
          <w:szCs w:val="18"/>
          <w:color w:val="auto"/>
        </w:rPr>
        <w:t>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123"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A cataract is the loss of transparency in the eye’s natural lens, which causes blurry or hazy vision and can eventually lead to blindness. Approximately 50% of all individuals develop some form of cataracts by age 60, usually in both eyes, and prevalence increases with age. Among the world’s most commonly performed procedures, cataract surgery involves removing the cloudy natural lens and replacing it with a clear IOL. Prior to surgery, patients can opt for either a spherical monofocal IOL, which usually results in improved vision but requires glasses for best vision, or a premium IOL, which also corrects for astigmatism and/or presbyopia, thereby reducing spectacle dependence. In the United States, Medicare and private insurers typically cover the full cost of spherical IOL procedures, while premium IOL procedures require patients to pay an incremental out-of-pocket fee, typically ranging from $1,000 to $4,000 per eye depending on the specific premium IOL used. In the United States, the world’s largest premium IOL market, 2022 premium procedures represented about 25% of all cataract procedures and generated approximately $760 million in revenue, a figure that is projected to grow at a 12% compound annual growth rate (“CAGR”) by 2027, according to the Market Scope 2022 Premium Cataract Surgery Market Report.</w:t>
      </w:r>
    </w:p>
    <w:p>
      <w:pPr>
        <w:spacing w:after="0" w:line="103"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We believe that the premium cataract surgery market remains underpenetrated due to both doctors’ reluctance to recommend competitive premium IOLs to the full universe of eligible patients and patients’ confusion in assessing the associated trade-offs and side effects with competitive premium IOLs. We believe competitive premium IOLs often fail to deliver on patients’ expectations for quality vision across a range of distances without glasses. In our most recent Phase IV commercial data over 90% of patients were able to achieve 20/20 or better at distance without glasses, which is approximately twice the rate of any of the alternative IOLs. In addition, over 90% of patients were also able to read 5-point font at near vision, which is typically the size of footnotes on a page.</w:t>
      </w:r>
    </w:p>
    <w:p>
      <w:pPr>
        <w:spacing w:after="0" w:line="110" w:lineRule="exact"/>
        <w:rPr>
          <w:sz w:val="20"/>
          <w:szCs w:val="20"/>
          <w:color w:val="auto"/>
        </w:rPr>
      </w:pPr>
    </w:p>
    <w:p>
      <w:pPr>
        <w:ind w:right="460" w:firstLine="374"/>
        <w:spacing w:after="0" w:line="263" w:lineRule="auto"/>
        <w:rPr>
          <w:sz w:val="20"/>
          <w:szCs w:val="20"/>
          <w:color w:val="auto"/>
        </w:rPr>
      </w:pPr>
      <w:r>
        <w:rPr>
          <w:rFonts w:ascii="Arial" w:cs="Arial" w:eastAsia="Arial" w:hAnsi="Arial"/>
          <w:sz w:val="18"/>
          <w:szCs w:val="18"/>
          <w:color w:val="auto"/>
        </w:rPr>
        <w:t>We believe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 The key benefits of our solution include:</w:t>
      </w:r>
    </w:p>
    <w:p>
      <w:pPr>
        <w:spacing w:after="0" w:line="111" w:lineRule="exact"/>
        <w:rPr>
          <w:sz w:val="20"/>
          <w:szCs w:val="20"/>
          <w:color w:val="auto"/>
        </w:rPr>
      </w:pPr>
    </w:p>
    <w:p>
      <w:pPr>
        <w:ind w:left="1020" w:right="80" w:hanging="504"/>
        <w:spacing w:after="0" w:line="30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Allowing full customization and optimization of patient vision after surgery. </w:t>
      </w:r>
      <w:r>
        <w:rPr>
          <w:rFonts w:ascii="Arial" w:cs="Arial" w:eastAsia="Arial" w:hAnsi="Arial"/>
          <w:sz w:val="16"/>
          <w:szCs w:val="16"/>
          <w:color w:val="auto"/>
        </w:rPr>
        <w:t>Our LAL uses a proprietary silicone formulation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changing the mechanical and optical properties of the lens following implantation. Our LDD uses proprietary software and algorithms to deliver a short UV light exposure treatment that polymerizes specific portions of the lens and allows doctors to adjust spherical and cylindrical refraction in 0.25 diopter increments, similar to the adjustment increments used to refract patients for glasses or contact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1020" w:right="660"/>
        <w:spacing w:after="0" w:line="277" w:lineRule="auto"/>
        <w:rPr>
          <w:sz w:val="20"/>
          <w:szCs w:val="20"/>
          <w:color w:val="auto"/>
        </w:rPr>
      </w:pPr>
      <w:r>
        <w:rPr>
          <w:rFonts w:ascii="Arial" w:cs="Arial" w:eastAsia="Arial" w:hAnsi="Arial"/>
          <w:sz w:val="18"/>
          <w:szCs w:val="18"/>
          <w:color w:val="auto"/>
        </w:rPr>
        <w:t>lenses, as well as in other refractive procedures like LASIK. All other premium IOLs are fixed-power lenses that cannot be adjusted following surgery;</w:t>
      </w:r>
    </w:p>
    <w:p>
      <w:pPr>
        <w:spacing w:after="0" w:line="85" w:lineRule="exact"/>
        <w:rPr>
          <w:sz w:val="20"/>
          <w:szCs w:val="20"/>
          <w:color w:val="auto"/>
        </w:rPr>
      </w:pPr>
    </w:p>
    <w:p>
      <w:pPr>
        <w:ind w:left="1020" w:right="80" w:hanging="504"/>
        <w:spacing w:after="0" w:line="26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Delivering superior visual outcomes with low risk of side effects. </w:t>
      </w:r>
      <w:r>
        <w:rPr>
          <w:rFonts w:ascii="Arial" w:cs="Arial" w:eastAsia="Arial" w:hAnsi="Arial"/>
          <w:sz w:val="18"/>
          <w:szCs w:val="18"/>
          <w:color w:val="auto"/>
        </w:rPr>
        <w:t>In our Food and Drug Administration (“FDA”) clinical trial, 70% of</w:t>
      </w:r>
      <w:r>
        <w:rPr>
          <w:rFonts w:ascii="Arial" w:cs="Arial" w:eastAsia="Arial" w:hAnsi="Arial"/>
          <w:sz w:val="18"/>
          <w:szCs w:val="18"/>
          <w:b w:val="1"/>
          <w:bCs w:val="1"/>
          <w:color w:val="auto"/>
        </w:rPr>
        <w:t xml:space="preserve"> </w:t>
      </w:r>
      <w:r>
        <w:rPr>
          <w:rFonts w:ascii="Arial" w:cs="Arial" w:eastAsia="Arial" w:hAnsi="Arial"/>
          <w:sz w:val="18"/>
          <w:szCs w:val="18"/>
          <w:color w:val="auto"/>
        </w:rPr>
        <w:t>LAL patients achieved 20/20 or better uncorrected visual acuity without glasses, while in similar trials of other premium IOLs, only about 40% of patients achieved this performance level. Additionally, LAL patients do not experience increased incidence of glare or halos that are common with other premium IOLs;</w:t>
      </w:r>
    </w:p>
    <w:p>
      <w:pPr>
        <w:spacing w:after="0" w:line="114" w:lineRule="exact"/>
        <w:rPr>
          <w:rFonts w:ascii="Arial" w:cs="Arial" w:eastAsia="Arial" w:hAnsi="Arial"/>
          <w:sz w:val="18"/>
          <w:szCs w:val="18"/>
          <w:color w:val="auto"/>
        </w:rPr>
      </w:pPr>
    </w:p>
    <w:p>
      <w:pPr>
        <w:ind w:left="1020" w:right="140" w:hanging="504"/>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Providing accuracy and precision to optimize vision with both eyes. </w:t>
      </w:r>
      <w:r>
        <w:rPr>
          <w:rFonts w:ascii="Arial" w:cs="Arial" w:eastAsia="Arial" w:hAnsi="Arial"/>
          <w:sz w:val="18"/>
          <w:szCs w:val="18"/>
          <w:color w:val="auto"/>
        </w:rPr>
        <w:t>Most LAL patients choose minor differences in the refractive</w:t>
      </w:r>
      <w:r>
        <w:rPr>
          <w:rFonts w:ascii="Arial" w:cs="Arial" w:eastAsia="Arial" w:hAnsi="Arial"/>
          <w:sz w:val="18"/>
          <w:szCs w:val="18"/>
          <w:b w:val="1"/>
          <w:bCs w:val="1"/>
          <w:color w:val="auto"/>
        </w:rPr>
        <w:t xml:space="preserve"> </w:t>
      </w:r>
      <w:r>
        <w:rPr>
          <w:rFonts w:ascii="Arial" w:cs="Arial" w:eastAsia="Arial" w:hAnsi="Arial"/>
          <w:sz w:val="18"/>
          <w:szCs w:val="18"/>
          <w:color w:val="auto"/>
        </w:rPr>
        <w:t>correction of each eye, resulting in glasses-free vision across a full range of distances. In our most recent Phase IV commercial study data over 90% of patients were able to achieve 20/20 or better at distance without glasses, which is approximately twice the rate of any of the alternative IOLs. In addition, over 90% of patients were also able to read 5-point font at near vision, which is typically the size of footnotes on a page;</w:t>
      </w:r>
    </w:p>
    <w:p>
      <w:pPr>
        <w:spacing w:after="0" w:line="114" w:lineRule="exact"/>
        <w:rPr>
          <w:rFonts w:ascii="Arial" w:cs="Arial" w:eastAsia="Arial" w:hAnsi="Arial"/>
          <w:sz w:val="18"/>
          <w:szCs w:val="18"/>
          <w:color w:val="auto"/>
        </w:rPr>
      </w:pPr>
    </w:p>
    <w:p>
      <w:pPr>
        <w:ind w:left="1020" w:right="120" w:hanging="504"/>
        <w:spacing w:after="0" w:line="26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Enabling patients to preview and compare possible vision outcomes. </w:t>
      </w:r>
      <w:r>
        <w:rPr>
          <w:rFonts w:ascii="Arial" w:cs="Arial" w:eastAsia="Arial" w:hAnsi="Arial"/>
          <w:sz w:val="18"/>
          <w:szCs w:val="18"/>
          <w:color w:val="auto"/>
        </w:rPr>
        <w:t>LAL patients are the only premium IOL patients able to test-drive</w:t>
      </w:r>
      <w:r>
        <w:rPr>
          <w:rFonts w:ascii="Arial" w:cs="Arial" w:eastAsia="Arial" w:hAnsi="Arial"/>
          <w:sz w:val="18"/>
          <w:szCs w:val="18"/>
          <w:b w:val="1"/>
          <w:bCs w:val="1"/>
          <w:color w:val="auto"/>
        </w:rPr>
        <w:t xml:space="preserve"> </w:t>
      </w:r>
      <w:r>
        <w:rPr>
          <w:rFonts w:ascii="Arial" w:cs="Arial" w:eastAsia="Arial" w:hAnsi="Arial"/>
          <w:sz w:val="18"/>
          <w:szCs w:val="18"/>
          <w:color w:val="auto"/>
        </w:rPr>
        <w:t>their vision after surgery but before selecting a final refractive outcome. With up to three possible UV light treatments to adjust the LAL, patients direct their optimal visual acuity through an interactive and iterative process; and</w:t>
      </w:r>
    </w:p>
    <w:p>
      <w:pPr>
        <w:spacing w:after="0" w:line="96" w:lineRule="exact"/>
        <w:rPr>
          <w:rFonts w:ascii="Arial" w:cs="Arial" w:eastAsia="Arial" w:hAnsi="Arial"/>
          <w:sz w:val="18"/>
          <w:szCs w:val="18"/>
          <w:color w:val="auto"/>
        </w:rPr>
      </w:pPr>
    </w:p>
    <w:p>
      <w:pPr>
        <w:ind w:left="1020" w:hanging="504"/>
        <w:spacing w:after="0" w:line="26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Empowering doctors to grow their practices with a premium IOL they can trust and confidently recommend. </w:t>
      </w:r>
      <w:r>
        <w:rPr>
          <w:rFonts w:ascii="Arial" w:cs="Arial" w:eastAsia="Arial" w:hAnsi="Arial"/>
          <w:sz w:val="18"/>
          <w:szCs w:val="18"/>
          <w:color w:val="auto"/>
        </w:rPr>
        <w:t>Our RxSight system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shown to deliver excellent visual outcomes across a broad range of patient types and preferences. In our 2022 RxSight customer survey, 89% of respondents said they thought our RxSight system delivered the highest quality vision, 98% said they would recommend the LAL to others and 75% said they would select it for their own eyes.</w:t>
      </w:r>
    </w:p>
    <w:p>
      <w:pPr>
        <w:spacing w:after="0" w:line="118"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Our commercial efforts began in 2019 and have been primarily focused in the United States, where we are building a “razor and razor blade” business model to drive new customer adoption and ongoing LAL volume growth. Our U.S. commercial organization includes a direct sales team of LDD sales personnel and LAL account managers, as well as clinical specialists, field service engineers and marketing personnel. Our sales efforts are concentrated on the roughly 3,000 U.S. cataract surgeons that perform 70%-80% of all premium IOL procedures. As of December 31, 2022, we had established an installed base of 400 LDDs in ophthalmology practices and, since our inception though December 31, 2022, surgeons have implanted over 42,000 LALs.</w:t>
      </w:r>
    </w:p>
    <w:p>
      <w:pPr>
        <w:spacing w:after="0" w:line="92"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color w:val="auto"/>
        </w:rPr>
        <w:t>We plan to grow our business primarily by expanding the size of our LDD installed base and driving increased utilization of our LAL through heightened awareness of the superior clinical outcomes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Cataracts and other common vision conditions</w:t>
      </w:r>
    </w:p>
    <w:p>
      <w:pPr>
        <w:spacing w:after="0" w:line="144"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Common vision conditions can be roughly divided by two defining factors: 1) the typical age of onset and 2) whether the condition is more closely linked to the cornea, the front surface of the eye that controls about two-thirds of its focusing ability, or the natural lens, which sits behind the iris and is responsible for the eye’s remaining focusing power. From childhood through the fourth decade of life, refractive conditions related primarily to the cornea</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 myopia, hyperopia and astigmatism – typically have the greatest impact on visual acuity and are usually addressed with glasses and contact lenses. In adults with these conditions, corneal procedures like LASIK can reduce dependence on glasses and contact lenses.</w:t>
      </w:r>
    </w:p>
    <w:p>
      <w:pPr>
        <w:spacing w:after="0" w:line="117"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By age 50, most people also experience presbyopia, which manifests itself as increased difficulty seeing at near and intermediate distances without glasses or contact lenses. Presbyopia occurs because the natural lens is losing its elasticity and, therefore, its ability to focus light rays on near objects. By age 60, approximately half of all individuals also develop some form of cataracts, in which the normally clear lens loses its transparency and increasingly obstructs or otherwise interferes with the passage of light to the retina. The result is blurry or hazy vision and increased sensitivity to light, particularly at night, that cannot be treated with glasses or contact lenses. Cataracts are irreversible, progressive and usually affect both eyes. Cataracts can significantly interfere with daily activities, affect quality of life and eventually cause</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9" w:right="399" w:bottom="1440" w:gutter="0" w:footer="0" w:header="0"/>
        </w:sectPr>
      </w:pPr>
    </w:p>
    <w:bookmarkStart w:id="7" w:name="page8"/>
    <w:bookmarkEnd w:id="7"/>
    <w:p>
      <w:pPr>
        <w:ind w:right="460"/>
        <w:spacing w:after="0" w:line="277" w:lineRule="auto"/>
        <w:rPr>
          <w:sz w:val="20"/>
          <w:szCs w:val="20"/>
          <w:color w:val="auto"/>
        </w:rPr>
      </w:pPr>
      <w:r>
        <w:rPr>
          <w:rFonts w:ascii="Arial" w:cs="Arial" w:eastAsia="Arial" w:hAnsi="Arial"/>
          <w:sz w:val="18"/>
          <w:szCs w:val="18"/>
          <w:color w:val="auto"/>
        </w:rPr>
        <w:t>blindness. According to the National Eye Institute, despite the availability of effective surgical treatment, cataracts are the leading cause of blindness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5317490" cy="111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7490" cy="111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Cataract surgery</w:t>
      </w:r>
    </w:p>
    <w:p>
      <w:pPr>
        <w:spacing w:after="0" w:line="15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Cataract surgery is among the most common surgical procedures performed in the world and involves replacement of the patient’s natural cloudy lens with a clear artificial IOL. In the United States, the procedure is commonly performed in an outpatient setting, such as an Ambulatory Surgery Center (“ASC”), by an ophthalmologist specializing in cataract surgery and often requires only 5 to 15 minutes to complete. In most cases, surgery begins with removal of the cataractous lens through a process known as phacoemulsification. During phacoemulsification, the ophthalmic surgeon makes a small surgical incision in the cornea and inserts an ultrasonic probe that breaks up, or emulsifies, the lens while a hollow needle removes the pieces of the lens (see image 1 below). After the cataract is removed, the surgeon inserts the replacement IOL through the same surgical incision (see image 2 below). Following implantation, the IOL sits firmly in place just behind the iris (see image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260985</wp:posOffset>
            </wp:positionV>
            <wp:extent cx="4820920" cy="118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0920" cy="118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Conventional vs. premium cataract surgery</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Cataract surgery is often bifurcated into two categories based on IOL type, as follows:</w:t>
      </w:r>
    </w:p>
    <w:p>
      <w:pPr>
        <w:spacing w:after="0" w:line="157" w:lineRule="exact"/>
        <w:rPr>
          <w:sz w:val="20"/>
          <w:szCs w:val="20"/>
          <w:color w:val="auto"/>
        </w:rPr>
      </w:pPr>
    </w:p>
    <w:p>
      <w:pPr>
        <w:ind w:left="1020" w:right="60" w:hanging="504"/>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Conventional: </w:t>
      </w:r>
      <w:r>
        <w:rPr>
          <w:rFonts w:ascii="Arial" w:cs="Arial" w:eastAsia="Arial" w:hAnsi="Arial"/>
          <w:sz w:val="18"/>
          <w:szCs w:val="18"/>
          <w:color w:val="auto"/>
        </w:rPr>
        <w:t>The patient receives a monofocal IOL, which is designed to provide vision at one pre-defined distance without correction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visual problems that often affect cataract surgery patients such as corneal astigmatism and presbyopia. Nearly all patients undergoing conventional cataract surgery will need to rely on glasses following cataract surgery to achieve the best distance, intermediate and near vision.</w:t>
      </w:r>
    </w:p>
    <w:p>
      <w:pPr>
        <w:spacing w:after="0" w:line="104" w:lineRule="exact"/>
        <w:rPr>
          <w:rFonts w:ascii="Arial" w:cs="Arial" w:eastAsia="Arial" w:hAnsi="Arial"/>
          <w:sz w:val="18"/>
          <w:szCs w:val="18"/>
          <w:color w:val="auto"/>
        </w:rPr>
      </w:pPr>
    </w:p>
    <w:p>
      <w:pPr>
        <w:ind w:left="1020" w:right="40" w:hanging="504"/>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Premium: </w:t>
      </w:r>
      <w:r>
        <w:rPr>
          <w:rFonts w:ascii="Arial" w:cs="Arial" w:eastAsia="Arial" w:hAnsi="Arial"/>
          <w:sz w:val="17"/>
          <w:szCs w:val="17"/>
          <w:color w:val="auto"/>
        </w:rPr>
        <w:t>The patient receives a premium IOL, which is designed to address the shortcomings of conventional monofocal lenses by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correcting for the additional visual problems of astigmatism and/or presbyopia. Premium IOLs reduce the need for glasses relative to conventional IOLs but may impose trade-offs related to their ability to provide glasses-free near, intermediate and distance vision, as well as the potential for increased incidence of halos, glare and other side effects related to monofocal IOLs.</w:t>
      </w:r>
    </w:p>
    <w:p>
      <w:pPr>
        <w:spacing w:after="0" w:line="10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Healthcare payors typically cover the full cost of conventional cataract procedures. In the United States, a healthcare payor (primarily Centers for Medicare and Medicaid Services (“CMS”)) typically provides reimbursement for a conventional cataract procedure of approximately $500 for a surgeon fee and approximately $1,000 for a facility fee, which includes the cost of a conventional monofocal IOL. Accounting for reductions in CMS reimbursement and for inflation, reimbursement</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9" w:right="41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rates have decreased by two thirds since 1991. The surgeon fee covers all pre-operative cataract testing, the cataract operation and follow-up care for three months.</w:t>
      </w:r>
    </w:p>
    <w:p>
      <w:pPr>
        <w:spacing w:after="0" w:line="89"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For U.S. premium cataract procedures, the healthcare payor (primarily CMS) reimburses the same surgeon and facility fees, but the patient pays the surgeon an additional fee between $1,000-$2,000 for implantation of a toric IOL and an average between $2,000-$4,000 for implantation of other premium lenses, which includes the cost of the premium IOL. Consequently, premium cataract procedures are between 10 and 15 times more profitable for the doctors and ophthalmology practices than conventional cataract procedures and are less impacted by changes in reimbursement rates. At the same time, because premium cataract patients pay an additional out-of-pocket fee, they tend to have high expectations that the surgeon will satisfy their desire for quality, glasses-free vision.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According to the Market Scope 2022 Premium Cataract Surgery Market Report and 2022 Market Scope IOL Report:</w:t>
      </w:r>
    </w:p>
    <w:p>
      <w:pPr>
        <w:spacing w:after="0" w:line="144" w:lineRule="exact"/>
        <w:rPr>
          <w:sz w:val="20"/>
          <w:szCs w:val="20"/>
          <w:color w:val="auto"/>
        </w:rPr>
      </w:pPr>
    </w:p>
    <w:p>
      <w:pPr>
        <w:ind w:left="1020" w:right="160" w:hanging="504"/>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28 million cataract surgeries were performed globally in 2022, including 4.6 million in the United States. The number of procedures worldwide is projected to grow at a CAGR of 6.3% to over 38 million by 2027. In the United States, procedures are expected to grow at a CAGR of 4.3% to 5.3 million by 2027;</w:t>
      </w:r>
    </w:p>
    <w:p>
      <w:pPr>
        <w:spacing w:after="0" w:line="115"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United States is the world’s largest premium IOL market. In 2022, premium IOL procedures represented approximately 25% and 12% of cataract surgeries in the United States and worldwide, respectively;</w:t>
      </w:r>
    </w:p>
    <w:p>
      <w:pPr>
        <w:spacing w:after="0" w:line="61" w:lineRule="exact"/>
        <w:rPr>
          <w:rFonts w:ascii="Arial" w:cs="Arial" w:eastAsia="Arial" w:hAnsi="Arial"/>
          <w:sz w:val="18"/>
          <w:szCs w:val="18"/>
          <w:color w:val="auto"/>
        </w:rPr>
      </w:pPr>
    </w:p>
    <w:p>
      <w:pPr>
        <w:ind w:left="1020" w:right="100" w:hanging="504"/>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2022, premium IOL revenue was approximately $2.1 billion globally and $760 million in the United States, and is expected to grow at a CAGR of 13% and 12%, respectively, through 2027. Key growth drivers include the increasing number of patients who prefer to be glasses-free, technological innovations, increased access to healthcare and rising disposable income; and</w:t>
      </w:r>
    </w:p>
    <w:p>
      <w:pPr>
        <w:spacing w:after="0" w:line="74"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United States, there are approximately 10,000 ophthalmic surgeons that perform cataract surgery, including approximately 3,000 that perform roughly 70%-80% of premium IOL cataract procedures.</w:t>
      </w:r>
    </w:p>
    <w:p>
      <w:pPr>
        <w:spacing w:after="0" w:line="10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We believe there is an opportunity to gain market share in the premium IOL market segment and also increase the penetration of premium IOLs in the broader market by converting doctors and patients currently electing for conventional cataract surgery.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95"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We are currently focused on driving awareness and penetration of our RxSight system in the premium cataract market, and primarily concentrating our near-term commercial efforts on the United States. We believe the United States is the most compelling market given the large population of individuals over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Non-adjustable premium IOLs and their limitations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Prior to the commercial availability of our RxSight system, doctors and patients chose from two primary types of premium IOLs, as follows:</w:t>
      </w:r>
    </w:p>
    <w:p>
      <w:pPr>
        <w:spacing w:after="0" w:line="124" w:lineRule="exact"/>
        <w:rPr>
          <w:sz w:val="20"/>
          <w:szCs w:val="20"/>
          <w:color w:val="auto"/>
        </w:rPr>
      </w:pPr>
    </w:p>
    <w:p>
      <w:pPr>
        <w:ind w:left="1020" w:right="220" w:hanging="504"/>
        <w:spacing w:after="0" w:line="272"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Multifocal Lenses. </w:t>
      </w:r>
      <w:r>
        <w:rPr>
          <w:rFonts w:ascii="Arial" w:cs="Arial" w:eastAsia="Arial" w:hAnsi="Arial"/>
          <w:sz w:val="17"/>
          <w:szCs w:val="17"/>
          <w:color w:val="auto"/>
        </w:rPr>
        <w:t>Multifocal lenses have two or more corrective zones, which allow the patient to receive focused light from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distances. Although multifocal lenses provide patients with a wider range of vision compared to the standard monofocal IOLs, multifocal lenses split light across the multiple corrective zones on the lens, sometimes impacting visual quality. For example, approximately two to three times as many patients who choose a multifocal lens over a monofocal lens experience side effects such as glare and halos, as well as reduced contrast vision, which are especially problematic in low light situations such as driving at night. For some patients these become more pronounced and can lead to explantation (removal of the IOL and replacement with another type of IOL). Extended-depth-of-focus (“EDOF”) lenses are similar to multifocals, except they have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9" w:name="page10"/>
    <w:bookmarkEnd w:id="9"/>
    <w:p>
      <w:pPr>
        <w:jc w:val="both"/>
        <w:ind w:left="1020" w:right="440"/>
        <w:spacing w:after="0" w:line="263" w:lineRule="auto"/>
        <w:rPr>
          <w:sz w:val="20"/>
          <w:szCs w:val="20"/>
          <w:color w:val="auto"/>
        </w:rPr>
      </w:pPr>
      <w:r>
        <w:rPr>
          <w:rFonts w:ascii="Arial" w:cs="Arial" w:eastAsia="Arial" w:hAnsi="Arial"/>
          <w:sz w:val="18"/>
          <w:szCs w:val="18"/>
          <w:color w:val="auto"/>
        </w:rPr>
        <w:t>only one corrective zone. They create an elongated focal point that allows for a broader range of vision, although patients will still often require glasses for distance and near vision. EDOF lenses will still typically result in glare and halos, as well as reduced contrast vision, although generally less severe than those experienced with multifocal lenses; and</w:t>
      </w:r>
    </w:p>
    <w:p>
      <w:pPr>
        <w:spacing w:after="0" w:line="71" w:lineRule="exact"/>
        <w:rPr>
          <w:sz w:val="20"/>
          <w:szCs w:val="20"/>
          <w:color w:val="auto"/>
        </w:rPr>
      </w:pPr>
    </w:p>
    <w:p>
      <w:pPr>
        <w:ind w:left="1020" w:right="100" w:hanging="504"/>
        <w:spacing w:after="0" w:line="30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Astigmatism-Correcting or Toric Lenses. </w:t>
      </w:r>
      <w:r>
        <w:rPr>
          <w:rFonts w:ascii="Arial" w:cs="Arial" w:eastAsia="Arial" w:hAnsi="Arial"/>
          <w:sz w:val="16"/>
          <w:szCs w:val="16"/>
          <w:color w:val="auto"/>
        </w:rPr>
        <w:t>Toric lenses correct for astigmatism, a condition in which the cornea is not uniformly curved</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to distortion of near and distance vision. According to the 2022 Market Scope IOL Report, approximately 70% of the population has clinically significant astigmatism of 0.5 diopters or more. Corrective toric lenses can provide additional distance, intermediate or near vision correction depending on the power of the lens selected and if their optical design incorporates either multifocal or EDOF features.</w:t>
      </w:r>
    </w:p>
    <w:p>
      <w:pPr>
        <w:spacing w:after="0" w:line="86" w:lineRule="exact"/>
        <w:rPr>
          <w:sz w:val="20"/>
          <w:szCs w:val="20"/>
          <w:color w:val="auto"/>
        </w:rPr>
      </w:pPr>
    </w:p>
    <w:p>
      <w:pPr>
        <w:ind w:right="120" w:firstLine="374"/>
        <w:spacing w:after="0" w:line="291" w:lineRule="auto"/>
        <w:rPr>
          <w:sz w:val="20"/>
          <w:szCs w:val="20"/>
          <w:color w:val="auto"/>
        </w:rPr>
      </w:pPr>
      <w:r>
        <w:rPr>
          <w:rFonts w:ascii="Arial" w:cs="Arial" w:eastAsia="Arial" w:hAnsi="Arial"/>
          <w:sz w:val="16"/>
          <w:szCs w:val="16"/>
          <w:color w:val="auto"/>
        </w:rPr>
        <w:t>When preparing patients for premium cataract surgery, surgeons must have a comprehensive understanding of available premium IOL options and how to best match a patient to the technology that fits their priorities. Patient decisions are based on several factors and tend to be heavily influenced by surgeon recommendations, as well as the patient’s motivation for independence from glasses and willingness to tolerate side effects. During an initial consultation, surgeons often ask patients to fill out a survey regarding their vision experiences and expectations to determine if the patient is a good premium IOL candidate. If so, the surgeon helps select the appropriate premium IOL based on the patient’s lifestyle and the type of vision they most value (i.e., near, intermediate or distance). Significant time is often required to educate patients on the various trade-offs with respect to the visual outcomes associated with each type of premium IOL. Following this consultation, surgery is usually scheduled within several weeks or months.</w:t>
      </w:r>
    </w:p>
    <w:p>
      <w:pPr>
        <w:spacing w:after="0" w:line="83"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Prior to surgery, the patient’s eyes are measured using one or more diagnostic devices to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outcomes. Because the lens power of competitive premium IOLs cannot be changed after implantation, doctors rely on a series of preoperative diagnostic tests and predictive formulae to determine the lens power. Typically, the patient returns a day after surgery to have their eye evaluated and ensure healing is underway. After approximately one month, premium cataract patients that are dissatisfied with their results may be fitted for glasses or elect to undergo a secondary, remedial procedure to meet desired vision targets. A separate LASIK procedure is the most common surgical procedure to correct any residual visual errors following the cataract procedure.</w:t>
      </w:r>
    </w:p>
    <w:p>
      <w:pPr>
        <w:spacing w:after="0" w:line="115"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 key limitation of these competitive premium IOLs is that they cannot be adjusted after the surgery and, as such, require the patient to commit to a desired visual outcome prior to the procedure. However, in discussing vision optimization options with patients ahead of the procedure, it can be difficult to effectively demonstrate different visual outcomes. Once a premium IOL is selected, another key limitation is the ability of the surgeon to precisely predict the correct lens power and then implant the IOL with the level of accuracy required to deliver the patient’s expected outcome. Additionally, the incision made to remove the cloudy lens and insert the IOL along with the resultant healing process often creates additional levels of astigmatism, which cannot be predicted with precision before cataract surgery.</w:t>
      </w:r>
    </w:p>
    <w:p>
      <w:pPr>
        <w:spacing w:after="0" w:line="123"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We believe that the need to commit to a visual outcome before surgery combined with the limited ability to make adjustments following the procedure are key factors contributing to the low levels of premium IOL penetration. When expectations regarding postoperative visual acuity and independence from glasses are not met, patients are often disappointed. As a result, even though 60% of cataract patients rate “being glasses free after cataract surgery” as extremely important, surgeons are often hesitant to recommend existing premium IOLs to their patients.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1" w:lineRule="exact"/>
        <w:rPr>
          <w:sz w:val="20"/>
          <w:szCs w:val="20"/>
          <w:color w:val="auto"/>
        </w:rPr>
      </w:pPr>
    </w:p>
    <w:p>
      <w:pPr>
        <w:ind w:right="260" w:firstLine="374"/>
        <w:spacing w:after="0" w:line="301" w:lineRule="auto"/>
        <w:rPr>
          <w:sz w:val="20"/>
          <w:szCs w:val="20"/>
          <w:color w:val="auto"/>
        </w:rPr>
      </w:pPr>
      <w:r>
        <w:rPr>
          <w:rFonts w:ascii="Arial" w:cs="Arial" w:eastAsia="Arial" w:hAnsi="Arial"/>
          <w:sz w:val="16"/>
          <w:szCs w:val="16"/>
          <w:color w:val="auto"/>
        </w:rPr>
        <w:t>We designed our RxSight system to address the shortcomings of existing premium IOL technologies and provide a solution that doctors can trust to improve visual outcomes and achieve high levels of patient satisfaction. We began commercializing our solution in the United States in 2019 and are focused on establishing the RxSight system as the standard of care for premium IOL procedures. As of December 31, 2022, we had an installed base of 400 LDDs in ophthalmology practices, and since our inception over 42,000 surgeries have been performed with our RxSight system.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RxSight system</w:t>
      </w:r>
    </w:p>
    <w:p>
      <w:pPr>
        <w:spacing w:after="0" w:line="144"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 uses the LDD to reshape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500"/>
        <w:spacing w:after="0" w:line="277" w:lineRule="auto"/>
        <w:rPr>
          <w:sz w:val="20"/>
          <w:szCs w:val="20"/>
          <w:color w:val="auto"/>
        </w:rPr>
      </w:pPr>
      <w:r>
        <w:rPr>
          <w:rFonts w:ascii="Arial" w:cs="Arial" w:eastAsia="Arial" w:hAnsi="Arial"/>
          <w:sz w:val="18"/>
          <w:szCs w:val="18"/>
          <w:color w:val="auto"/>
        </w:rPr>
        <w:t>LAL to achieve the patients’ desired vision outcomes. Our RxSight system is comprised of two key components, along with other intraoperative and postoperative accessories:</w:t>
      </w:r>
    </w:p>
    <w:p>
      <w:pPr>
        <w:spacing w:after="0" w:line="58" w:lineRule="exact"/>
        <w:rPr>
          <w:sz w:val="20"/>
          <w:szCs w:val="20"/>
          <w:color w:val="auto"/>
        </w:rPr>
      </w:pPr>
    </w:p>
    <w:p>
      <w:pPr>
        <w:ind w:left="1020" w:right="40" w:hanging="504"/>
        <w:spacing w:after="0" w:line="26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RxSight Light Adjustable Lens: </w:t>
      </w:r>
      <w:r>
        <w:rPr>
          <w:rFonts w:ascii="Arial" w:cs="Arial" w:eastAsia="Arial" w:hAnsi="Arial"/>
          <w:sz w:val="18"/>
          <w:szCs w:val="18"/>
          <w:color w:val="auto"/>
        </w:rPr>
        <w:t>The LAL is our proprietary IOL that can be adjusted postoperatively to improve uncorrected visual acuity.</w:t>
      </w:r>
      <w:r>
        <w:rPr>
          <w:rFonts w:ascii="Arial" w:cs="Arial" w:eastAsia="Arial" w:hAnsi="Arial"/>
          <w:sz w:val="18"/>
          <w:szCs w:val="18"/>
          <w:b w:val="1"/>
          <w:bCs w:val="1"/>
          <w:color w:val="auto"/>
        </w:rPr>
        <w:t xml:space="preserve"> </w:t>
      </w:r>
      <w:r>
        <w:rPr>
          <w:rFonts w:ascii="Arial" w:cs="Arial" w:eastAsia="Arial" w:hAnsi="Arial"/>
          <w:sz w:val="18"/>
          <w:szCs w:val="18"/>
          <w:color w:val="auto"/>
        </w:rPr>
        <w:t>Our IOL is made of special photosensitive material that changes shape and power when a specific pattern of UV light is delivered from the LDD.</w:t>
      </w:r>
    </w:p>
    <w:p>
      <w:pPr>
        <w:spacing w:after="0" w:line="69" w:lineRule="exact"/>
        <w:rPr>
          <w:rFonts w:ascii="Arial" w:cs="Arial" w:eastAsia="Arial" w:hAnsi="Arial"/>
          <w:sz w:val="18"/>
          <w:szCs w:val="18"/>
          <w:color w:val="auto"/>
        </w:rPr>
      </w:pPr>
    </w:p>
    <w:p>
      <w:pPr>
        <w:ind w:left="1020" w:right="100" w:hanging="504"/>
        <w:spacing w:after="0" w:line="28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RxSight Light Delivery Device: </w:t>
      </w:r>
      <w:r>
        <w:rPr>
          <w:rFonts w:ascii="Arial" w:cs="Arial" w:eastAsia="Arial" w:hAnsi="Arial"/>
          <w:sz w:val="17"/>
          <w:szCs w:val="17"/>
          <w:color w:val="auto"/>
        </w:rPr>
        <w:t>The LDD is our proprietary office-based light treatment device that delivers UV light in a precisely</w:t>
      </w:r>
      <w:r>
        <w:rPr>
          <w:rFonts w:ascii="Arial" w:cs="Arial" w:eastAsia="Arial" w:hAnsi="Arial"/>
          <w:sz w:val="17"/>
          <w:szCs w:val="17"/>
          <w:b w:val="1"/>
          <w:bCs w:val="1"/>
          <w:color w:val="auto"/>
        </w:rPr>
        <w:t xml:space="preserve"> </w:t>
      </w:r>
      <w:r>
        <w:rPr>
          <w:rFonts w:ascii="Arial" w:cs="Arial" w:eastAsia="Arial" w:hAnsi="Arial"/>
          <w:sz w:val="17"/>
          <w:szCs w:val="17"/>
          <w:color w:val="auto"/>
        </w:rPr>
        <w:t>programmed pattern to induce a predictable change in the shape and refractive properties of the LAL, enabling surgeons to precisely modify the LAL based on the visual correction needed to achieve the patient’s desired vision after cataract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113030</wp:posOffset>
            </wp:positionV>
            <wp:extent cx="2620010" cy="1712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20010" cy="171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foundational technology</w:t>
      </w:r>
    </w:p>
    <w:p>
      <w:pPr>
        <w:spacing w:after="0" w:line="157" w:lineRule="exact"/>
        <w:rPr>
          <w:sz w:val="20"/>
          <w:szCs w:val="20"/>
          <w:color w:val="auto"/>
        </w:rPr>
      </w:pPr>
    </w:p>
    <w:p>
      <w:pPr>
        <w:ind w:right="340" w:firstLine="374"/>
        <w:spacing w:after="0" w:line="259" w:lineRule="auto"/>
        <w:rPr>
          <w:sz w:val="20"/>
          <w:szCs w:val="20"/>
          <w:color w:val="auto"/>
        </w:rPr>
      </w:pPr>
      <w:r>
        <w:rPr>
          <w:rFonts w:ascii="Arial" w:cs="Arial" w:eastAsia="Arial" w:hAnsi="Arial"/>
          <w:sz w:val="18"/>
          <w:szCs w:val="18"/>
          <w:color w:val="auto"/>
        </w:rPr>
        <w:t>We have developed our RxSight system over the last 20 years, incorporating expertise and proprietary technologies across multiple disciplines, including optics, material science, chemistry, software and hardware engineering. The proprietary RxSight technology that enables post-operative adjustability is based on the principles of photochemistry. The LAL is made of a photosensitive material that changes shape and power when a specific pattern of UV light is delivered to the LAL.</w:t>
      </w:r>
    </w:p>
    <w:p>
      <w:pPr>
        <w:spacing w:after="0" w:line="118"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Our LAL, which we manufacture using our proprietary silicone formulation, leverages the unique material properties of silicone. A silicone molecule consists of an inorganic silicon-oxygen backbone, which is a chain of alternating silicon and oxygen atoms with an attached side group, which is a pair of organic molecules bonded to each silicon atom in the chain. Through a process called polymerization, silicone monomers (short chain molecules) are reacted together to form silicone polymers (long chain molecules), which may be cross-linked at multiple points resulting in three-dimensional, rather than linear,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w:t>
      </w:r>
    </w:p>
    <w:p>
      <w:pPr>
        <w:spacing w:after="0" w:line="100"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To create the LAL, we use a composition of silicone polymers and monomers, the latter which we call “macromers” mixed with photo-active molecules and other compounds. The initial composition of our lens material 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w:t>
      </w:r>
    </w:p>
    <w:p>
      <w:pPr>
        <w:spacing w:after="0" w:line="109"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9" w:right="37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redistribute across the lens to achieve a uniform distribution. The redistribution of the macromers causes the exposed portion of the lens to swell relative to the unexposed portion of the lens, enabling refractive power change.</w:t>
      </w:r>
    </w:p>
    <w:p>
      <w:pPr>
        <w:spacing w:after="0" w:line="89" w:lineRule="exact"/>
        <w:rPr>
          <w:sz w:val="20"/>
          <w:szCs w:val="20"/>
          <w:color w:val="auto"/>
        </w:rPr>
      </w:pPr>
    </w:p>
    <w:p>
      <w:pPr>
        <w:ind w:right="80" w:firstLine="374"/>
        <w:spacing w:after="0" w:line="296" w:lineRule="auto"/>
        <w:rPr>
          <w:sz w:val="20"/>
          <w:szCs w:val="20"/>
          <w:color w:val="auto"/>
        </w:rPr>
      </w:pPr>
      <w:r>
        <w:rPr>
          <w:rFonts w:ascii="Arial" w:cs="Arial" w:eastAsia="Arial" w:hAnsi="Arial"/>
          <w:sz w:val="16"/>
          <w:szCs w:val="16"/>
          <w:color w:val="auto"/>
        </w:rPr>
        <w:t>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w:t>
      </w:r>
    </w:p>
    <w:p>
      <w:pPr>
        <w:spacing w:after="0" w:line="92"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w:t>
      </w:r>
    </w:p>
    <w:p>
      <w:pPr>
        <w:spacing w:after="0" w:line="11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Each UV light treatment consumes only a portion of the macromers in the lens, allowing the LAL to be adjusted multiple times. This process can be repeated up to three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61"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With the RxSight system, the surgeon performs a standard IOL implant procedure, replacing the patients’ natural lens with the LAL. Two to three weeks following surgery, the patient visits the doctor’s office for a standard postoperative refraction, which is similar to the eye test used to create a prescription for eye glasses. Using a traditional phoropter and vision chart, a clinician determines the refractive error and prescription required and inputs the information into the LDD’s graphical user interface. The patient’s eye is dilated and a contact lens is applied to the eye as the patient is seated in front of the LDD for a light treatment. Based on the prescription input, the LDD generates a programmed, predetermined exposure of UV light. For approximately 100 seconds, the light painlessly and non-invasively reshapes the implanted LAL to correct the measured refractive error. The entire treatment takes less than five minutes. The patient returns approximately three to five days later for additional light treatments to further adjust their vision, if desired, or to lock-in the lens. While patients can receive up to three adjustments, the average number of adjustments in our FDA clinical trial was 1.6.</w:t>
      </w:r>
    </w:p>
    <w:p>
      <w:pPr>
        <w:spacing w:after="0" w:line="96"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RxSight system enables a fully interactive and iterative process to optimize visual acuity with patients able to test drive their vision, comparing possible outcomes before selecting a final prescription for their LAL. In clinical practice since our FDA approval, roughly 60% of patients undergoing multiple adjustments have requested a change from their original spherical target, underscoring the value of adjustability and customization. From the time of surgery until 24 hours after the LAL is locked in, the patient wears UV light protective glasses as unprotected exposure to light can cause uncontrolled changes in the LAL. Since late 2021, we have included ActivShield technology on all LALs, which provides an extra layer of UV protection on the lens surface and reduces dependence on patient compliance with protective glasses.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RxSight system for patients</w:t>
      </w:r>
    </w:p>
    <w:p>
      <w:pPr>
        <w:spacing w:after="0" w:line="113" w:lineRule="exact"/>
        <w:rPr>
          <w:sz w:val="20"/>
          <w:szCs w:val="20"/>
          <w:color w:val="auto"/>
        </w:rPr>
      </w:pPr>
    </w:p>
    <w:p>
      <w:pPr>
        <w:ind w:left="1020" w:right="140" w:hanging="504"/>
        <w:spacing w:after="0" w:line="274"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Superior vision outcomes. </w:t>
      </w:r>
      <w:r>
        <w:rPr>
          <w:rFonts w:ascii="Arial" w:cs="Arial" w:eastAsia="Arial" w:hAnsi="Arial"/>
          <w:sz w:val="17"/>
          <w:szCs w:val="17"/>
          <w:color w:val="auto"/>
        </w:rPr>
        <w:t>In the pivotal study that formed the basis for our FDA approval, the observed rate of eyes with 20/20 or better</w:t>
      </w:r>
      <w:r>
        <w:rPr>
          <w:rFonts w:ascii="Arial" w:cs="Arial" w:eastAsia="Arial" w:hAnsi="Arial"/>
          <w:sz w:val="17"/>
          <w:szCs w:val="17"/>
          <w:b w:val="1"/>
          <w:bCs w:val="1"/>
          <w:color w:val="auto"/>
        </w:rPr>
        <w:t xml:space="preserve"> </w:t>
      </w:r>
      <w:r>
        <w:rPr>
          <w:rFonts w:ascii="Arial" w:cs="Arial" w:eastAsia="Arial" w:hAnsi="Arial"/>
          <w:sz w:val="17"/>
          <w:szCs w:val="17"/>
          <w:color w:val="auto"/>
        </w:rPr>
        <w:t>uncorrected distance visual acuity for our LAL was 70.1%. This compares favorably to the results of pivotal studies with similar study designs and patient populations that supported FDA approval of Alcon’s Acrysof Toric (38.4%) and J&amp;J’s Tecnis Toric (43.6%). Most LAL patients choose minor differences in the refractive correction of each eye, resulting in glasses-free vision across a full range of distances. In our most recent Phase IV commercial study data over 90% of LAL patients who chose to optimize vision with both eyes, achieved 20/20 distance vision and were also able to read 5-point font without glasses;</w:t>
      </w:r>
    </w:p>
    <w:p>
      <w:pPr>
        <w:spacing w:after="0" w:line="63" w:lineRule="exact"/>
        <w:rPr>
          <w:rFonts w:ascii="Arial" w:cs="Arial" w:eastAsia="Arial" w:hAnsi="Arial"/>
          <w:sz w:val="17"/>
          <w:szCs w:val="17"/>
          <w:color w:val="auto"/>
        </w:rPr>
      </w:pPr>
    </w:p>
    <w:p>
      <w:pPr>
        <w:ind w:left="1020" w:hanging="504"/>
        <w:spacing w:after="0" w:line="28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Postoperative customization. </w:t>
      </w:r>
      <w:r>
        <w:rPr>
          <w:rFonts w:ascii="Arial" w:cs="Arial" w:eastAsia="Arial" w:hAnsi="Arial"/>
          <w:sz w:val="18"/>
          <w:szCs w:val="18"/>
          <w:color w:val="auto"/>
        </w:rPr>
        <w:t>Our RxSight system enables patients to preview and compare possible vision outcomes after surgery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their unique preferences and lifestyle requirements before they select a final</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12" w:name="page13"/>
    <w:bookmarkEnd w:id="12"/>
    <w:p>
      <w:pPr>
        <w:ind w:left="1020" w:right="360"/>
        <w:spacing w:after="0" w:line="277" w:lineRule="auto"/>
        <w:rPr>
          <w:sz w:val="20"/>
          <w:szCs w:val="20"/>
          <w:color w:val="auto"/>
        </w:rPr>
      </w:pPr>
      <w:r>
        <w:rPr>
          <w:rFonts w:ascii="Arial" w:cs="Arial" w:eastAsia="Arial" w:hAnsi="Arial"/>
          <w:sz w:val="18"/>
          <w:szCs w:val="18"/>
          <w:color w:val="auto"/>
        </w:rPr>
        <w:t>prescription for their LAL. With up to three possible adjusting light treatments, patients can dial-in their optimal visual acuity through an interactive and iterative process;</w:t>
      </w:r>
    </w:p>
    <w:p>
      <w:pPr>
        <w:spacing w:after="0" w:line="58" w:lineRule="exact"/>
        <w:rPr>
          <w:sz w:val="20"/>
          <w:szCs w:val="20"/>
          <w:color w:val="auto"/>
        </w:rPr>
      </w:pPr>
    </w:p>
    <w:p>
      <w:pPr>
        <w:ind w:left="1020" w:hanging="504"/>
        <w:spacing w:after="0" w:line="297"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No increase in glare and halo. </w:t>
      </w:r>
      <w:r>
        <w:rPr>
          <w:rFonts w:ascii="Arial" w:cs="Arial" w:eastAsia="Arial" w:hAnsi="Arial"/>
          <w:sz w:val="16"/>
          <w:szCs w:val="16"/>
          <w:color w:val="auto"/>
        </w:rPr>
        <w:t>Our LALs do not induce higher rates of glare and halos compared to monofocal IOLs. In contrast, multifocal</w:t>
      </w:r>
      <w:r>
        <w:rPr>
          <w:rFonts w:ascii="Arial" w:cs="Arial" w:eastAsia="Arial" w:hAnsi="Arial"/>
          <w:sz w:val="16"/>
          <w:szCs w:val="16"/>
          <w:b w:val="1"/>
          <w:bCs w:val="1"/>
          <w:color w:val="auto"/>
        </w:rPr>
        <w:t xml:space="preserve"> </w:t>
      </w:r>
      <w:r>
        <w:rPr>
          <w:rFonts w:ascii="Arial" w:cs="Arial" w:eastAsia="Arial" w:hAnsi="Arial"/>
          <w:sz w:val="16"/>
          <w:szCs w:val="16"/>
          <w:color w:val="auto"/>
        </w:rPr>
        <w:t>IOLs, generally relied upon to improve near vision, are associated with a higher incidence of unwanted side effects including reduced contrast sensitivity and increased glare and halos around bright lights. These problems can lead to explants, in which patients undergo another procedure to remove the multifocal IOL and replace it with another type of IOL. In FDA studies for the Alcon Panoptix, J&amp;J Symfony and Alcon Vivity lenses, 48.8%, 59.2% and 17.0% of subjects, respectively, reported being bothered by halos postoperatively; and</w:t>
      </w:r>
    </w:p>
    <w:p>
      <w:pPr>
        <w:spacing w:after="0" w:line="48" w:lineRule="exact"/>
        <w:rPr>
          <w:rFonts w:ascii="Arial" w:cs="Arial" w:eastAsia="Arial" w:hAnsi="Arial"/>
          <w:sz w:val="16"/>
          <w:szCs w:val="16"/>
          <w:color w:val="auto"/>
        </w:rPr>
      </w:pPr>
    </w:p>
    <w:p>
      <w:pPr>
        <w:ind w:left="1020" w:right="220" w:hanging="504"/>
        <w:spacing w:after="0" w:line="28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Corrects residual refractive error</w:t>
      </w:r>
      <w:r>
        <w:rPr>
          <w:rFonts w:ascii="Arial" w:cs="Arial" w:eastAsia="Arial" w:hAnsi="Arial"/>
          <w:sz w:val="17"/>
          <w:szCs w:val="17"/>
          <w:color w:val="auto"/>
        </w:rPr>
        <w:t>. The RxSight system can reduce the potential for secondary surgical procedures by correcting residual</w:t>
      </w:r>
      <w:r>
        <w:rPr>
          <w:rFonts w:ascii="Arial" w:cs="Arial" w:eastAsia="Arial" w:hAnsi="Arial"/>
          <w:sz w:val="17"/>
          <w:szCs w:val="17"/>
          <w:b w:val="1"/>
          <w:bCs w:val="1"/>
          <w:color w:val="auto"/>
        </w:rPr>
        <w:t xml:space="preserve"> </w:t>
      </w:r>
      <w:r>
        <w:rPr>
          <w:rFonts w:ascii="Arial" w:cs="Arial" w:eastAsia="Arial" w:hAnsi="Arial"/>
          <w:sz w:val="17"/>
          <w:szCs w:val="17"/>
          <w:color w:val="auto"/>
        </w:rPr>
        <w:t>refractive error after surgery using our office based LDD to shape the LAL. With other premium IOLs, a separate LASIK procedure is generally the only way to correct for residual visual errors following the primary cataract procedure.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RxSight system for doctors</w:t>
      </w:r>
    </w:p>
    <w:p>
      <w:pPr>
        <w:spacing w:after="0" w:line="113" w:lineRule="exact"/>
        <w:rPr>
          <w:sz w:val="20"/>
          <w:szCs w:val="20"/>
          <w:color w:val="auto"/>
        </w:rPr>
      </w:pPr>
    </w:p>
    <w:p>
      <w:pPr>
        <w:jc w:val="both"/>
        <w:ind w:left="1020" w:right="80" w:hanging="504"/>
        <w:spacing w:after="0" w:line="280"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Clear value proposition for patients, helping doctors to build their premium cataract practices. </w:t>
      </w:r>
      <w:r>
        <w:rPr>
          <w:rFonts w:ascii="Arial" w:cs="Arial" w:eastAsia="Arial" w:hAnsi="Arial"/>
          <w:sz w:val="17"/>
          <w:szCs w:val="17"/>
          <w:color w:val="auto"/>
        </w:rPr>
        <w:t>Rather than explaining the complicated</w:t>
      </w:r>
      <w:r>
        <w:rPr>
          <w:rFonts w:ascii="Arial" w:cs="Arial" w:eastAsia="Arial" w:hAnsi="Arial"/>
          <w:sz w:val="17"/>
          <w:szCs w:val="17"/>
          <w:b w:val="1"/>
          <w:bCs w:val="1"/>
          <w:color w:val="auto"/>
        </w:rPr>
        <w:t xml:space="preserve"> </w:t>
      </w:r>
      <w:r>
        <w:rPr>
          <w:rFonts w:ascii="Arial" w:cs="Arial" w:eastAsia="Arial" w:hAnsi="Arial"/>
          <w:sz w:val="17"/>
          <w:szCs w:val="17"/>
          <w:color w:val="auto"/>
        </w:rPr>
        <w:t>trade-offs with respect to visual outcomes and predicting refraction before surgery, the surgeon may simply tell patients that their vision will be corrected postoperatively via a painless, in-office process similar to being prescribed glasses. The doctor can also share the LAL’s clinical results with the patient to provide reassurance that the procedure will deliver desired results;</w:t>
      </w:r>
    </w:p>
    <w:p>
      <w:pPr>
        <w:spacing w:after="0" w:line="58" w:lineRule="exact"/>
        <w:rPr>
          <w:rFonts w:ascii="Arial" w:cs="Arial" w:eastAsia="Arial" w:hAnsi="Arial"/>
          <w:sz w:val="17"/>
          <w:szCs w:val="17"/>
          <w:color w:val="auto"/>
        </w:rPr>
      </w:pPr>
    </w:p>
    <w:p>
      <w:pPr>
        <w:ind w:left="1020" w:right="80" w:hanging="504"/>
        <w:spacing w:after="0" w:line="26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Increased confidence. </w:t>
      </w:r>
      <w:r>
        <w:rPr>
          <w:rFonts w:ascii="Arial" w:cs="Arial" w:eastAsia="Arial" w:hAnsi="Arial"/>
          <w:sz w:val="18"/>
          <w:szCs w:val="18"/>
          <w:color w:val="auto"/>
        </w:rPr>
        <w:t>The clinical benefit of “dialing-in” to achieve superior visual outcomes postoperatively increases doctors’ confidence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LAL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their outcome;</w:t>
      </w:r>
    </w:p>
    <w:p>
      <w:pPr>
        <w:spacing w:after="0" w:line="73" w:lineRule="exact"/>
        <w:rPr>
          <w:rFonts w:ascii="Arial" w:cs="Arial" w:eastAsia="Arial" w:hAnsi="Arial"/>
          <w:sz w:val="18"/>
          <w:szCs w:val="18"/>
          <w:color w:val="auto"/>
        </w:rPr>
      </w:pPr>
    </w:p>
    <w:p>
      <w:pPr>
        <w:ind w:left="1020" w:right="120" w:hanging="504"/>
        <w:spacing w:after="0" w:line="25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Fewer intraoperative measurements. </w:t>
      </w:r>
      <w:r>
        <w:rPr>
          <w:rFonts w:ascii="Arial" w:cs="Arial" w:eastAsia="Arial" w:hAnsi="Arial"/>
          <w:sz w:val="18"/>
          <w:szCs w:val="18"/>
          <w:color w:val="auto"/>
        </w:rPr>
        <w:t>With other premium IOLs, the lens power is fixed and cannot be changed after surgery, requiring</w:t>
      </w:r>
      <w:r>
        <w:rPr>
          <w:rFonts w:ascii="Arial" w:cs="Arial" w:eastAsia="Arial" w:hAnsi="Arial"/>
          <w:sz w:val="18"/>
          <w:szCs w:val="18"/>
          <w:b w:val="1"/>
          <w:bCs w:val="1"/>
          <w:color w:val="auto"/>
        </w:rPr>
        <w:t xml:space="preserve"> </w:t>
      </w:r>
      <w:r>
        <w:rPr>
          <w:rFonts w:ascii="Arial" w:cs="Arial" w:eastAsia="Arial" w:hAnsi="Arial"/>
          <w:sz w:val="18"/>
          <w:szCs w:val="18"/>
          <w:color w:val="auto"/>
        </w:rPr>
        <w:t>doctors to spend considerable time on preoperative and intraoperative measurements to estimate the most suitable lens power to implant and lens position. With our RxSight system, surgeons are not as dependent on preoperative and intraoperative equipment for measurements. Instead, they can focus on the surgical procedure, knowing refractive error will be corrected postoperatively with the LDD, and with the patient’s active involvement;</w:t>
      </w:r>
    </w:p>
    <w:p>
      <w:pPr>
        <w:spacing w:after="0" w:line="74" w:lineRule="exact"/>
        <w:rPr>
          <w:rFonts w:ascii="Arial" w:cs="Arial" w:eastAsia="Arial" w:hAnsi="Arial"/>
          <w:sz w:val="18"/>
          <w:szCs w:val="18"/>
          <w:color w:val="auto"/>
        </w:rPr>
      </w:pPr>
    </w:p>
    <w:p>
      <w:pPr>
        <w:ind w:left="1020" w:right="40" w:hanging="504"/>
        <w:spacing w:after="0" w:line="25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Broad application across different patients’ needs. </w:t>
      </w:r>
      <w:r>
        <w:rPr>
          <w:rFonts w:ascii="Arial" w:cs="Arial" w:eastAsia="Arial" w:hAnsi="Arial"/>
          <w:sz w:val="18"/>
          <w:szCs w:val="18"/>
          <w:color w:val="auto"/>
        </w:rPr>
        <w:t>We offer a single IOL that can address a broad range of patient types and needs, while</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a solution that doctors can trust to improve visual outcomes, eliminating the need for extensive preoperative discussions with patients about which IOL may best fit their lifestyle and visual preferences. Moreover, the superior outcomes and patient-centered approach of the RxSight system helps drive patient referrals and grow premium cataract volumes, which generally produce higher practice revenue and profit margin than conventional procedures; and</w:t>
      </w:r>
    </w:p>
    <w:p>
      <w:pPr>
        <w:spacing w:after="0" w:line="74" w:lineRule="exact"/>
        <w:rPr>
          <w:rFonts w:ascii="Arial" w:cs="Arial" w:eastAsia="Arial" w:hAnsi="Arial"/>
          <w:sz w:val="18"/>
          <w:szCs w:val="18"/>
          <w:color w:val="auto"/>
        </w:rPr>
      </w:pPr>
    </w:p>
    <w:p>
      <w:pPr>
        <w:ind w:left="1020" w:right="60" w:hanging="504"/>
        <w:spacing w:after="0" w:line="274"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Economic benefits that drive practice growth. </w:t>
      </w:r>
      <w:r>
        <w:rPr>
          <w:rFonts w:ascii="Arial" w:cs="Arial" w:eastAsia="Arial" w:hAnsi="Arial"/>
          <w:sz w:val="17"/>
          <w:szCs w:val="17"/>
          <w:color w:val="auto"/>
        </w:rPr>
        <w:t>A recent economic impact survey by Haffey &amp; Company of almost 50 practices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RxSight system revealed that LAL procedures were sourced from all other categories of other IOLs. For example, respondents indicated that approximately 40% of their LAL patients would have otherwise selected a conventional monofocal IOL, which is far less profitable for a practice than a LAL procedure. In addition, based on an average of 9 LALs implanted per month at these practices, doctors observed a payback period of approximately nine months for the LDD, based on the current list purchase price. Following this payback period, practices continue to reap the financial benefit of converting patients to the RxSight system.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61"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We are leveraging the tangible and compelling benefits of our RxSight solution to achieve broad adoption of our technology and establish it as the standard of care for premium cataract surgery. Our growth strategies include:</w:t>
      </w:r>
    </w:p>
    <w:p>
      <w:pPr>
        <w:spacing w:after="0" w:line="58" w:lineRule="exact"/>
        <w:rPr>
          <w:sz w:val="20"/>
          <w:szCs w:val="20"/>
          <w:color w:val="auto"/>
        </w:rPr>
      </w:pPr>
    </w:p>
    <w:p>
      <w:pPr>
        <w:ind w:left="1020" w:right="100" w:hanging="504"/>
        <w:spacing w:after="0" w:line="28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Establishing new customers and growing our installed base of LDDs. </w:t>
      </w:r>
      <w:r>
        <w:rPr>
          <w:rFonts w:ascii="Arial" w:cs="Arial" w:eastAsia="Arial" w:hAnsi="Arial"/>
          <w:sz w:val="18"/>
          <w:szCs w:val="18"/>
          <w:color w:val="auto"/>
        </w:rPr>
        <w:t>We believe our technology offers a differentiated value proposition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to doctors and patients, providing us an opportunity to grow our share in the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504" w:right="40"/>
        <w:spacing w:after="0" w:line="290" w:lineRule="auto"/>
        <w:rPr>
          <w:sz w:val="20"/>
          <w:szCs w:val="20"/>
          <w:color w:val="auto"/>
        </w:rPr>
      </w:pPr>
      <w:r>
        <w:rPr>
          <w:rFonts w:ascii="Arial" w:cs="Arial" w:eastAsia="Arial" w:hAnsi="Arial"/>
          <w:sz w:val="16"/>
          <w:szCs w:val="16"/>
          <w:color w:val="auto"/>
        </w:rPr>
        <w:t>premium IOL market and increase the penetration of premium IOLs in the broader cataract surgery market. To grow our installed base, we are focused primarily on converting high-volume premium cataract surgeons to the RxSight system by highlighting its clinical, economic and workflow benefits vs. competing premium IOL technologies. Secondarily, we are focused on the broader pool of cataract surgeons who may implant premium IOLs sparingly or not at all due to suboptimal visual outcomes, persistent side effects and uneven patient satisfaction sometimes associated with non-adjustable premium IOL offerings. Because our RxSight system is designed to overcome these shortcomings, we believe many of these doctors have the potential to be successful RxSight customers. We are also investing in professional education, additional clinical studies and registries that expand our evidence base, facilitating peer-to-peer dialogue and forums and communicating the benefits of our technology through marketing initiatives, tradeshows and podium presentations;</w:t>
      </w:r>
    </w:p>
    <w:p>
      <w:pPr>
        <w:spacing w:after="0" w:line="51" w:lineRule="exact"/>
        <w:rPr>
          <w:sz w:val="20"/>
          <w:szCs w:val="20"/>
          <w:color w:val="auto"/>
        </w:rPr>
      </w:pPr>
    </w:p>
    <w:p>
      <w:pPr>
        <w:ind w:left="504" w:right="80" w:hanging="504"/>
        <w:spacing w:after="0" w:line="29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Increasing the utilization of our LALs by empowering doctors to grow their practices. </w:t>
      </w:r>
      <w:r>
        <w:rPr>
          <w:rFonts w:ascii="Arial" w:cs="Arial" w:eastAsia="Arial" w:hAnsi="Arial"/>
          <w:sz w:val="16"/>
          <w:szCs w:val="16"/>
          <w:color w:val="auto"/>
        </w:rPr>
        <w:t>We work closely with every new customer to</w:t>
      </w:r>
      <w:r>
        <w:rPr>
          <w:rFonts w:ascii="Arial" w:cs="Arial" w:eastAsia="Arial" w:hAnsi="Arial"/>
          <w:sz w:val="16"/>
          <w:szCs w:val="16"/>
          <w:b w:val="1"/>
          <w:bCs w:val="1"/>
          <w:color w:val="auto"/>
        </w:rPr>
        <w:t xml:space="preserve"> </w:t>
      </w:r>
      <w:r>
        <w:rPr>
          <w:rFonts w:ascii="Arial" w:cs="Arial" w:eastAsia="Arial" w:hAnsi="Arial"/>
          <w:sz w:val="16"/>
          <w:szCs w:val="16"/>
          <w:color w:val="auto"/>
        </w:rPr>
        <w:t>conduct a thorough training and onboarding process, providing a high level of service to help the practice succeed with the RxSight system. This support helps the practice confidently recommend the LAL to an increasing number of patients and, in turn, grow their practice. In a recent RxSight customer survey, 89% of doctors said they thought our RxSight system delivered the highest quality vision, 98% said they would recommend the LAL to others and 75% said they would select it for their own eyes. In addition to personnel support, we also provide practices with marketing materials, such as patient brochures, literature and digital content for website and social media promotions. We also provide ongoing training related to new technology features and developments, as well as education on the patient benefits of our solution;</w:t>
      </w:r>
    </w:p>
    <w:p>
      <w:pPr>
        <w:spacing w:after="0" w:line="51" w:lineRule="exact"/>
        <w:rPr>
          <w:rFonts w:ascii="Arial" w:cs="Arial" w:eastAsia="Arial" w:hAnsi="Arial"/>
          <w:sz w:val="16"/>
          <w:szCs w:val="16"/>
          <w:color w:val="auto"/>
        </w:rPr>
      </w:pPr>
    </w:p>
    <w:p>
      <w:pPr>
        <w:ind w:left="504" w:right="220" w:hanging="504"/>
        <w:spacing w:after="0" w:line="297"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expanding our commercial organization and marketing activities. </w:t>
      </w:r>
      <w:r>
        <w:rPr>
          <w:rFonts w:ascii="Arial" w:cs="Arial" w:eastAsia="Arial" w:hAnsi="Arial"/>
          <w:sz w:val="16"/>
          <w:szCs w:val="16"/>
          <w:color w:val="auto"/>
        </w:rPr>
        <w:t>Since launching the RxSight system commercially in</w:t>
      </w:r>
      <w:r>
        <w:rPr>
          <w:rFonts w:ascii="Arial" w:cs="Arial" w:eastAsia="Arial" w:hAnsi="Arial"/>
          <w:sz w:val="16"/>
          <w:szCs w:val="16"/>
          <w:b w:val="1"/>
          <w:bCs w:val="1"/>
          <w:color w:val="auto"/>
        </w:rPr>
        <w:t xml:space="preserve"> </w:t>
      </w:r>
      <w:r>
        <w:rPr>
          <w:rFonts w:ascii="Arial" w:cs="Arial" w:eastAsia="Arial" w:hAnsi="Arial"/>
          <w:sz w:val="16"/>
          <w:szCs w:val="16"/>
          <w:color w:val="auto"/>
        </w:rPr>
        <w:t>2019, we have substantially increased the size and scope of our U.S. commercial organization. While we believe our current commercial organization is well built to reach our focused target of high-volume premium cataract surgeons, we will add highly qualified personnel for time to time, with a strategic mix of sales personnel and clinical specialists, to drive higher levels of awareness and penetration in certain regions. We also expect to accelerate marketing initiatives and professional education, including training on best practices and techniques;</w:t>
      </w:r>
    </w:p>
    <w:p>
      <w:pPr>
        <w:spacing w:after="0" w:line="48" w:lineRule="exact"/>
        <w:rPr>
          <w:rFonts w:ascii="Arial" w:cs="Arial" w:eastAsia="Arial" w:hAnsi="Arial"/>
          <w:sz w:val="16"/>
          <w:szCs w:val="16"/>
          <w:color w:val="auto"/>
        </w:rPr>
      </w:pPr>
    </w:p>
    <w:p>
      <w:pPr>
        <w:ind w:left="504" w:right="80" w:hanging="504"/>
        <w:spacing w:after="0" w:line="272"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Investing in RxSight system enhancements and expanding indications. </w:t>
      </w:r>
      <w:r>
        <w:rPr>
          <w:rFonts w:ascii="Arial" w:cs="Arial" w:eastAsia="Arial" w:hAnsi="Arial"/>
          <w:sz w:val="17"/>
          <w:szCs w:val="17"/>
          <w:color w:val="auto"/>
        </w:rPr>
        <w:t>We continue to enhance our RxSight system to improve the</w:t>
      </w:r>
      <w:r>
        <w:rPr>
          <w:rFonts w:ascii="Arial" w:cs="Arial" w:eastAsia="Arial" w:hAnsi="Arial"/>
          <w:sz w:val="17"/>
          <w:szCs w:val="17"/>
          <w:b w:val="1"/>
          <w:bCs w:val="1"/>
          <w:color w:val="auto"/>
        </w:rPr>
        <w:t xml:space="preserve"> </w:t>
      </w:r>
      <w:r>
        <w:rPr>
          <w:rFonts w:ascii="Arial" w:cs="Arial" w:eastAsia="Arial" w:hAnsi="Arial"/>
          <w:sz w:val="17"/>
          <w:szCs w:val="17"/>
          <w:color w:val="auto"/>
        </w:rPr>
        <w:t>patient and doctor experience, meet evolving customer needs and address the widest possible patient population. Since our initial FDA approval in November 2017 through December 31, 2022, we have received 20 supplemental approvals. Recent enhancements include increasing the range of available LAL powers, modifying the LAL to improve image quality, reducing the margin of residual refractive error, allowing an optional third refractive adjustment, developing new UV glasses with improved aesthetics and usability, and adding a photosensitive anterior layer (ActivShield™) to the LAL to help protect the lens from unwanted UV exposure. We believe these technological advancements help to drive increased adoption of our RxSight system;</w:t>
      </w:r>
    </w:p>
    <w:p>
      <w:pPr>
        <w:spacing w:after="0" w:line="67" w:lineRule="exact"/>
        <w:rPr>
          <w:rFonts w:ascii="Arial" w:cs="Arial" w:eastAsia="Arial" w:hAnsi="Arial"/>
          <w:sz w:val="17"/>
          <w:szCs w:val="17"/>
          <w:color w:val="auto"/>
        </w:rPr>
      </w:pPr>
    </w:p>
    <w:p>
      <w:pPr>
        <w:ind w:left="504" w:right="340" w:hanging="504"/>
        <w:spacing w:after="0" w:line="256"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Scaling our business to achieve cost and production efficiencies. </w:t>
      </w:r>
      <w:r>
        <w:rPr>
          <w:rFonts w:ascii="Arial" w:cs="Arial" w:eastAsia="Arial" w:hAnsi="Arial"/>
          <w:sz w:val="18"/>
          <w:szCs w:val="18"/>
          <w:color w:val="auto"/>
        </w:rPr>
        <w:t>We expect to realize operating leverage through increased scale</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efficiencies as our commercial operations grow. We have executed a number of design and manufacturing process improvements to streamline both LAL and LDD production, and have developed a lower cost to manufacture LDD, which was approved by the FDA on January 31, 2023. We are also concurrently executing on our strategy to optimize our diverse supply chain and to develop second sources from less expensive suppliers. We anticipate that the combination of these strategies will drive margin improvement in the future when introduced into production and offered for sale; and</w:t>
      </w:r>
    </w:p>
    <w:p>
      <w:pPr>
        <w:spacing w:after="0" w:line="77" w:lineRule="exact"/>
        <w:rPr>
          <w:rFonts w:ascii="Arial" w:cs="Arial" w:eastAsia="Arial" w:hAnsi="Arial"/>
          <w:sz w:val="18"/>
          <w:szCs w:val="18"/>
          <w:color w:val="auto"/>
        </w:rPr>
      </w:pPr>
    </w:p>
    <w:p>
      <w:pPr>
        <w:ind w:left="504" w:hanging="504"/>
        <w:spacing w:after="0" w:line="272"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Growing our commercial operations in international markets. </w:t>
      </w:r>
      <w:r>
        <w:rPr>
          <w:rFonts w:ascii="Arial" w:cs="Arial" w:eastAsia="Arial" w:hAnsi="Arial"/>
          <w:sz w:val="17"/>
          <w:szCs w:val="17"/>
          <w:color w:val="auto"/>
        </w:rPr>
        <w:t>While our current commercial focus is on the large opportunity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we believe the RxSight system offers compelling benefits for cataract doctors and patients in select international markets. According to the Market Scope 2022 Premium Report, over 70% of the premium IOL procedures in 2022 were outside the United States. Our RxSight system has approval in Mexico and Canada for improving uncorrected visual acuity by adjusting the LAL power to correct residual postoperative refractive error. We may selectively pursue commercial expansion outside the United States that accept these approvals in the future, with a priority on markets where we see significant potential growth opportunities. New approvals may also be sought in large cataract markets with more complex regulatory environments such as Asia.</w:t>
      </w:r>
    </w:p>
    <w:p>
      <w:pPr>
        <w:spacing w:after="0" w:line="287"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FDA clinical studies</w:t>
      </w:r>
    </w:p>
    <w:p>
      <w:pPr>
        <w:spacing w:after="0" w:line="148"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In July 2016, we completed our FDA Phase 3 pivotal randomized clinical study of 600 subjects, designed to evaluate the safety and effectiveness of performing light treatments to correct postoperative spherical and cylindrical refractive error. 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In the study, 70.1% of LAL 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astigmatism-correcting IOLs (38.4% by Alcon’s Acrysof Toric, and 43.6% by J&amp;J’s Tecnis Toric) in similar patient populations in the pivotal studies that led to their approvals by the FDA. Additionally, LAL patients reported a low rate of glare or halo, visual side effects that are frequently reported with premium IOLs.</w:t>
      </w:r>
    </w:p>
    <w:p>
      <w:pPr>
        <w:spacing w:after="0" w:line="83"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We are conducting a 500-eye prospective, randomized, controlled multicenter Post Approval Study, which was a requirement of our Premarket Approval (“PMA”) approval. Subjects are randomized in a 2:1 ratio to receive either the LAL or a monofocal IOL. Study subjects will be followed for six months. The results will compare effectiveness and safety of the LAL and monofocal IOL. We anticipate completing enrollment in 2024.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commenced commercial launch of our RxSight system in the United States in 2019 and are initially focused on the estimated 3,000 surgeons that perform 70%-80% of premium cataract surgery procedures. These surgeons are usually part of larger ophthalmology practices with multiple cataract surgeons. They typically have refractive surgery practices offering LASIK and are skilled at selling premium procedures based on delivery of better visual outcomes. Our U.S. commercial organization includes a direct sales team comprised of LDD sales personnel and LAL account managers, as well as clinical specialists and field service engineers and marketing personnel. While we believe we can effectively cover our concentrated target market with our focused commercial organization, we will add highly qualified personnel from time to time, with a strategic mix of sales personnel and clinical specialists, to drive further awareness and penetration among cataract surgeons.</w:t>
      </w:r>
    </w:p>
    <w:p>
      <w:pPr>
        <w:spacing w:after="0" w:line="7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Our commercial efforts are designed to create a “razor and razor blade” business model by building a sizable LDD installed base to drive ongoing growth in LAL procedure volumes. LDD sales personnel are responsible for establishing relationships with doctors and securing new customers. New customer contracts typically include sale of the LDD between approximately $115,000 - $120,000, sale of LALs for approximately $1,000 each and an LAL consignment agreement. Once the LDD is installed, our clinical specialists work closely with the practice’s doctors, technicians and staff members to ensure that they are fully trained, proficient LAL providers. Our LAL account managers oversee this process and engage with practices on an ongoing basis to assist with patient awareness and education programs, development of efficient patient flow processes and other initiatives. To achieve broad awareness of the RxSight system among cataract surgeons, we also conduct various marketing programs, including promotions at industry and society conferences, podium presentations, social media, and educational webinars focused on the differentiated benefits of our RxSight system.</w:t>
      </w:r>
    </w:p>
    <w:p>
      <w:pPr>
        <w:spacing w:after="0" w:line="55"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Our RxSight system has received regulatory approval in Mexico and Canada. We recently commenced limited sales activities in Canada through a distribution partner.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1"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Our research and development activities are focused on programs that improve clinical outcomes, improve customer experience, expand our indications for use, reduce manufacturing costs and lifecycle management. Since our initial FDA approval in November 2017 through December 31, 2022, we have received approximately 20 supplemental approvals that advance these objectives.</w:t>
      </w:r>
    </w:p>
    <w:p>
      <w:pPr>
        <w:spacing w:after="0" w:line="115"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On January 31, 2023, the FDA approved our PMA supplement to our LDD for various modifications that are intended to reduce the cost to manufacture the device. We anticipate that this lower-cost-to-manufacture LDD will also require a submission for approval in countries outside the United States.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were $26.0 million and $24.5 million for the years ended December 31, 2022 and 2021, respectively.</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Manufacturing and supply</w:t>
      </w:r>
    </w:p>
    <w:p>
      <w:pPr>
        <w:spacing w:after="0" w:line="148"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We currently manufacture, assemble, test, and ship our LAL and LDD, and various accessory products including a custom injector system for use with our LAL at our campus of four facilities and approximately 121,000 total square feet in Aliso Viejo, California.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w:t>
      </w:r>
    </w:p>
    <w:p>
      <w:pPr>
        <w:spacing w:after="0" w:line="88"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We are registered with the FDA as a medical device manufacturer and are licensed by the State of California to manufacture and distribute our medical devices. We are required to manufacture our products in compliance with the FDA’s Quality System Regulation (“QSR”) (21 CFR 820). The FDA enforces the QSR through periodic inspections and may also inspect the facilities of our suppliers. We moved to our current Aliso Viejo, California facilities starting in April 2016, all of which have been registered with the FDA, the State of California, and the European Notified Body (British Standards Institution) for the manufacture and distribution of medical devices.</w:t>
      </w:r>
    </w:p>
    <w:p>
      <w:pPr>
        <w:spacing w:after="0" w:line="123"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We have received International Organization for Standardization (“ISO”) 13485:2016 certification for our quality management system. ISO certification generally includes recertification audits every third year, scheduled annual surveillance audits and periodic unannounced audits. We have also received quality system certification to the Medical Device Single Audit Program (“MDSAP”) to cover the jurisdictions of United States, Canada, Brazil, Japan, and Australia from the British Standards Institution. The MDSAP certification follows the ISO 13485:2016 certification schedule. The most recent recertification and surveillance audit was conducted in July 2022.</w:t>
      </w:r>
    </w:p>
    <w:p>
      <w:pPr>
        <w:spacing w:after="0" w:line="110"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auto"/>
        </w:rPr>
        <w:t>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two Class 7 clean rooms. After curing, the molded lens is inspected and packaged and then sent to a third-party ethylene oxide sterilization vendor. After sterilization, the lens is returned to us for final inspection, packaging, and shipment to customers.</w:t>
      </w:r>
    </w:p>
    <w:p>
      <w:pPr>
        <w:spacing w:after="0" w:line="102"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assembled into the main optical housing and optimized on a proprietary precision alignment station.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w:t>
      </w:r>
    </w:p>
    <w:p>
      <w:pPr>
        <w:spacing w:after="0" w:line="123" w:lineRule="exact"/>
        <w:rPr>
          <w:sz w:val="20"/>
          <w:szCs w:val="20"/>
          <w:color w:val="auto"/>
        </w:rPr>
      </w:pPr>
    </w:p>
    <w:p>
      <w:pPr>
        <w:ind w:right="60" w:firstLine="419"/>
        <w:spacing w:after="0" w:line="254" w:lineRule="auto"/>
        <w:rPr>
          <w:sz w:val="20"/>
          <w:szCs w:val="20"/>
          <w:color w:val="auto"/>
        </w:rPr>
      </w:pPr>
      <w:r>
        <w:rPr>
          <w:rFonts w:ascii="Arial" w:cs="Arial" w:eastAsia="Arial" w:hAnsi="Arial"/>
          <w:sz w:val="18"/>
          <w:szCs w:val="18"/>
          <w:color w:val="auto"/>
        </w:rPr>
        <w:t>In addition, to aid the doctor in implanting the LAL, we provide several accessories including a custom insertion system and a contact lens. The insertion system consists of a disposable cartridge and a reusable injector handpiece. The disposable cartridge is processed, inspected, and packaged by us while having ethylene oxide sterilization performed by a third-party vendor. The reusable injector handpiece is manufactured by a third-party vendor and is inspected and packaged by us. We also manufacture, inspect, and package a reusable contact lens for administering UV light treatments. The end user is responsible for performing cleaning and sterilization of the injector handpiece and the contact lens following directions for use and hands on training provided by us. We also provide custom UV glasses that are manufactured by third party vendors, and then inspected and shipped by us from our facilities to our customers.</w:t>
      </w:r>
    </w:p>
    <w:p>
      <w:pPr>
        <w:spacing w:after="0" w:line="112"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We use a combination of internally manufactured and externally sourced components to produce the LAL, LDD, custom insertion system, and other accessory products. Externally sourced components include off-the-shelf chemical, materials, microchips integrated into printed circuit boards and cables, sub-assemblies, and custom parts that are provided by qualified and approved suppliers. We also employ a third-party sterilization vendor. Some components are provided by single-source or sole source suppliers. While there are other suppliers that could make or provide any one of our single sourced components, we seek to manage single-source supplier risk by regularly assessing the quality and capacity of our suppliers, implementing supply and quality agreements where appropriate and actively managing lead times and inventory levels of sourced components. In addition, we are currently in the process of identifying and approving alternative suppliers to dual or multi-source certain of our LAL raw materials and LDD components. We generally seek to maintain sufficient supply levels to help mitigate any supply interruptions and enable us to find and qualify another source of supply. Order quantities and lead times for externally sourced components are based on our forecasts, which are derived from historical demand and anticipated future demand. Lead times for components may vary depending on the size of the order, time required to fabricate and test the components, specific supplier requirements and current market demand for the materials, sub-assemblies,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parts. In addition, COVID-19 has resulted in manufacturing interruptions at single and sole source suppliers in the United States, European Union, the U.K. and China, which we have been able to mitigate, to date, with selected pre-payment for product, expedite fees, sourcing from alternative suppliers, placing orders for specific chip sets separate from third party suppliers to ensure supply and longer-term orders.</w:t>
      </w:r>
    </w:p>
    <w:p>
      <w:pPr>
        <w:spacing w:after="0" w:line="10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 and patient billing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aspect payment model</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In the United States, the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coding and payment</w:t>
      </w:r>
    </w:p>
    <w:p>
      <w:pPr>
        <w:spacing w:after="0" w:line="117"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In the United States, we primarily sell our LAL products to ambulatory surgical centers (“ASCs”) and occasionally to hospitals. These customers in turn bill various third-party payors, such as commercial payors and state and government payors, as well as patients and doctors directly for the services provided to each patient.</w:t>
      </w:r>
    </w:p>
    <w:p>
      <w:pPr>
        <w:spacing w:after="0" w:line="102"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 (Cataract surgery with IOL, on stage) and 66982 (Cataract surgery, complex). The facility fees associated with these codes include payment for a conventional IOL of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w:t>
      </w:r>
    </w:p>
    <w:p>
      <w:pPr>
        <w:spacing w:after="0" w:line="125"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payor and government program coverage</w:t>
      </w:r>
    </w:p>
    <w:p>
      <w:pPr>
        <w:spacing w:after="0" w:line="117"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9" w:right="379" w:bottom="1440" w:gutter="0" w:footer="0" w:header="0"/>
        </w:sectPr>
      </w:pPr>
    </w:p>
    <w:bookmarkStart w:id="17" w:name="page18"/>
    <w:bookmarkEnd w:id="17"/>
    <w:p>
      <w:pPr>
        <w:ind w:right="80"/>
        <w:spacing w:after="0" w:line="275" w:lineRule="auto"/>
        <w:rPr>
          <w:sz w:val="20"/>
          <w:szCs w:val="20"/>
          <w:color w:val="auto"/>
        </w:rPr>
      </w:pPr>
      <w:r>
        <w:rPr>
          <w:rFonts w:ascii="Arial" w:cs="Arial" w:eastAsia="Arial" w:hAnsi="Arial"/>
          <w:sz w:val="17"/>
          <w:szCs w:val="17"/>
          <w:color w:val="auto"/>
        </w:rPr>
        <w:t>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United States,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Agreements, and Other Material Agreements</w:t>
      </w:r>
    </w:p>
    <w:p>
      <w:pPr>
        <w:spacing w:after="0" w:line="121"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 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w:t>
      </w:r>
    </w:p>
    <w:p>
      <w:pPr>
        <w:spacing w:after="0" w:line="94"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covers various aspects of our LDD, LAL and related devices and methods.</w:t>
      </w:r>
    </w:p>
    <w:p>
      <w:pPr>
        <w:spacing w:after="0" w:line="97" w:lineRule="exact"/>
        <w:rPr>
          <w:sz w:val="20"/>
          <w:szCs w:val="20"/>
          <w:color w:val="auto"/>
        </w:rPr>
      </w:pPr>
    </w:p>
    <w:p>
      <w:pPr>
        <w:ind w:right="100" w:firstLine="374"/>
        <w:spacing w:after="0" w:line="269"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Generally, in the United States, issued patents are granted a term of 20 years from the earliest claimed non-provisional or Patent Cooperation Treaty (“PCT”) filing date. In certain instances, a patent term can be adjusted to recapture a portion of delay by the U.S. Patent and Trademark Office (“USPTO”), in examining the patent application (patent term adjustment, or PTA) or extended to account for term effectively lost as a result of the FDA regulatory review period (patent term extension, or PTE), or both. Additionally, a patent term may be shortened if a patent is terminally disclaimed over an earlier filed patent. However, the life of the patent, and the protection it affords, is limited. In addition, we cannot provide any assurance that any patents will be issued from our pending or 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w:t>
      </w:r>
    </w:p>
    <w:p>
      <w:pPr>
        <w:spacing w:after="0" w:line="115"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As of December 31, 2022, our patent estate is directed to various aspects of our programs and technology, including our LAL and our LDD as well as lens adjustment procedure and other technology. Any U.S. or foreign patents issued or pending would be scheduled to expire on various dates from 2023 and 2041, without taking into account any possible patent term adjustments or extensions and assuming payment of all appropriate maintenance, renewal, annuity, and other governmental fees. Further details on certain segments of our patent portfolio, including our owned and exclusively in-licensed issued patents and patent applications, are included below.</w:t>
      </w:r>
    </w:p>
    <w:p>
      <w:pPr>
        <w:spacing w:after="0" w:line="110" w:lineRule="exact"/>
        <w:rPr>
          <w:sz w:val="20"/>
          <w:szCs w:val="20"/>
          <w:color w:val="auto"/>
        </w:rPr>
      </w:pPr>
    </w:p>
    <w:p>
      <w:pPr>
        <w:ind w:left="1020" w:right="40" w:hanging="504"/>
        <w:spacing w:after="0" w:line="34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current LAL: Some of the patents directed to our current LAL include, for example, U.S. Pat. No. 9,119,710, which is expected to expire in 2026, U.S. Pat. No. 10,470,874, which is expected to expire in 2026, and U.S. Pat. No. 10,874,505, which is expected to expire in 2033.</w:t>
      </w:r>
    </w:p>
    <w:p>
      <w:pPr>
        <w:spacing w:after="0" w:line="56" w:lineRule="exact"/>
        <w:rPr>
          <w:rFonts w:ascii="Arial" w:cs="Arial" w:eastAsia="Arial" w:hAnsi="Arial"/>
          <w:sz w:val="16"/>
          <w:szCs w:val="16"/>
          <w:color w:val="auto"/>
        </w:rPr>
      </w:pPr>
    </w:p>
    <w:p>
      <w:pPr>
        <w:ind w:left="1020" w:right="8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LDD: Some of the patents directed to our LDD include, for example, U.S. Pat. No. 10,864,075, which is expected to expire in 2038, and U.S. Pat. No. 10,932,864, which is expected to expire in 2039.</w:t>
      </w:r>
    </w:p>
    <w:p>
      <w:pPr>
        <w:spacing w:after="0" w:line="102" w:lineRule="exact"/>
        <w:rPr>
          <w:rFonts w:ascii="Arial" w:cs="Arial" w:eastAsia="Arial" w:hAnsi="Arial"/>
          <w:sz w:val="18"/>
          <w:szCs w:val="18"/>
          <w:color w:val="auto"/>
        </w:rPr>
      </w:pPr>
    </w:p>
    <w:p>
      <w:pPr>
        <w:ind w:left="1020" w:right="900" w:hanging="504"/>
        <w:spacing w:after="0" w:line="34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lens adjustment procedure: Some of the patents directed to our lens adjustment procedure include, for example, U.S. Pat. No. 10,010,406, which is expected to expire in 2032, and U.S. Pat. No. 10,166,731, which is expected to expire in 2036.</w:t>
      </w:r>
    </w:p>
    <w:p>
      <w:pPr>
        <w:spacing w:after="0" w:line="43" w:lineRule="exact"/>
        <w:rPr>
          <w:rFonts w:ascii="Arial" w:cs="Arial" w:eastAsia="Arial" w:hAnsi="Arial"/>
          <w:sz w:val="16"/>
          <w:szCs w:val="16"/>
          <w:color w:val="auto"/>
        </w:rPr>
      </w:pPr>
    </w:p>
    <w:p>
      <w:pPr>
        <w:ind w:left="1020" w:right="6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RxSight system accessories: A patent directed to our RxSight system accessories includes, for example, U.S. Pat. No. 10,456,240, which is expected to expire in 2038.</w:t>
      </w:r>
    </w:p>
    <w:p>
      <w:pPr>
        <w:spacing w:after="0" w:line="10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Pursuant to the agreement with QAD, Inc. (“QAD”) dated October 29, 2015 (the “QAD Agreement”), we received a nonexclusive, non-transferable, perpetual license to use certain QAD software at the physical location where we install the software. Under the agreement, we purchase such QAD software through individual orders (“Purchase Orders”), and each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t>Purchase Order has a respective payment fee and maintenance fee. We use the software licensed under the QAD agreement for inventory, shipping,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 other party is adjudicated bankrupt or an official is appointed to manage its financial affairs. Upon termination for cause, we must immediately discontinue all use of the software.</w:t>
      </w:r>
    </w:p>
    <w:p>
      <w:pPr>
        <w:spacing w:after="0" w:line="104"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w:t>
      </w:r>
    </w:p>
    <w:p>
      <w:pPr>
        <w:spacing w:after="0" w:line="11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For more information regarding risks related to our intellectual property, please see “Risk Factors-Risks related to Intellectual Property” in Part I, Item 1A of this Annual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7"/>
          <w:szCs w:val="17"/>
          <w:color w:val="auto"/>
        </w:rPr>
        <w:t>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w:t>
      </w:r>
    </w:p>
    <w:p>
      <w:pPr>
        <w:spacing w:after="0" w:line="83"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144" w:lineRule="exact"/>
        <w:rPr>
          <w:sz w:val="20"/>
          <w:szCs w:val="20"/>
          <w:color w:val="auto"/>
        </w:rPr>
      </w:pPr>
    </w:p>
    <w:p>
      <w:pPr>
        <w:ind w:right="240" w:firstLine="374"/>
        <w:spacing w:after="0" w:line="301" w:lineRule="auto"/>
        <w:rPr>
          <w:sz w:val="20"/>
          <w:szCs w:val="20"/>
          <w:color w:val="auto"/>
        </w:rPr>
      </w:pPr>
      <w:r>
        <w:rPr>
          <w:rFonts w:ascii="Arial" w:cs="Arial" w:eastAsia="Arial" w:hAnsi="Arial"/>
          <w:sz w:val="16"/>
          <w:szCs w:val="16"/>
          <w:color w:val="auto"/>
        </w:rPr>
        <w:t>From a commercial perspective, we believe our primary competitors in the cataract IOL market are alternative premium IOL providers, including Alcon, Johnson &amp; Johnson and Bausch + Lomb. According to Market Scope, the global cataract IOL market is highly concentrated, with these top three players accounting for approximately 78% of the total U.S. premium cataract surgery market and approximately 61% of the global manufacturer market revenue. Our competitors are significantly larger than us with greater financial, marketing, sales and personnel resources, greater brand recognition and</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9" w:right="37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longer operating histories. We believe our ability to compete effectively will be dependent on our ability to build the commercial infrastructure necessary to effectively and cost-efficiently drive awareness of the unique value of our RxSight system.</w:t>
      </w:r>
    </w:p>
    <w:p>
      <w:pPr>
        <w:spacing w:after="0" w:line="89" w:lineRule="exact"/>
        <w:rPr>
          <w:sz w:val="20"/>
          <w:szCs w:val="20"/>
          <w:color w:val="auto"/>
        </w:rPr>
      </w:pPr>
    </w:p>
    <w:p>
      <w:pPr>
        <w:ind w:right="160" w:firstLine="374"/>
        <w:spacing w:after="0" w:line="311" w:lineRule="auto"/>
        <w:rPr>
          <w:sz w:val="20"/>
          <w:szCs w:val="20"/>
          <w:color w:val="auto"/>
        </w:rPr>
      </w:pPr>
      <w:r>
        <w:rPr>
          <w:rFonts w:ascii="Arial" w:cs="Arial" w:eastAsia="Arial" w:hAnsi="Arial"/>
          <w:sz w:val="16"/>
          <w:szCs w:val="16"/>
          <w:color w:val="auto"/>
        </w:rPr>
        <w:t>In addition, patients who receive an LAL will be required to wear UV protective glasses until final lock-in which is approximately 4-5 weeks after surgery. They will also be required to return for an additional two to three clinic visits compared to traditional cataract surgery. The additional clinic visits are non-surgical but do require the patient’s eyes to be dilated. Due to these additional requirements, market acceptance of the LAL may be impacted.</w:t>
      </w:r>
    </w:p>
    <w:p>
      <w:pPr>
        <w:spacing w:after="0" w:line="80"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three most popular premium IOLs approved for cataract treatment are PanOptix by Alcon, Vivity by Alcon and Tecnis by Johnson &amp; Johnson. According to the Market Scope 2022 Premium Report Alcon, Johnson &amp; Johnson, Bausch + Lomb are three of the top IOL manufacturers, with an estimated 2022 revenue share of the world-wide premium IOL market of approximately 51%, 25%, and 2% respectively. The PanOptix and Tecnis families of IOLs are available in a monofocal Toric, multifocal Toric and EDOF Toric versions. The PC and Toric versions of these lenses represented over half of all premium multifocal IOLs sold in 2022. The rest of the market is shared between several smaller companies each with under 5% market share. From a technology perspective, we believe the LAL competes with nearly all of the existing IOLs, including conventional, premium astigmatism correcting and premium presbyopia correcting lenses.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Our products and operations are subject to extensive and ongoing regulation by the FDA under the Federal Food, Drug, and Cosmetic Act, (the “FDCA”) and its implementing regulations, as well as other federal, state and local regulatory authorities in the United States,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United States to assure the safety and effectiveness of medical products for their intended use.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or approval from the FDA of a PMA application. Both the 510(k) clearance and PMA processes can be resource intensive, expensive, and lengthy, and require payment of significant user fees, unless an exemption is available.</w:t>
      </w:r>
    </w:p>
    <w:p>
      <w:pPr>
        <w:spacing w:after="0" w:line="118"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FDA classifies medical devices into one of three classes – Class I, Class II or Class III – depending on the degree of risk associated with each medical device and the extent of control needed to provide reasonable assurances with respect to safety and effectiveness.</w:t>
      </w:r>
    </w:p>
    <w:p>
      <w:pPr>
        <w:spacing w:after="0" w:line="102"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Class I devices are those for which safety and effectiveness can be reasonably assured by adherence to the FDA’s general controls for medical devices, which include compliance with the applicable portions of FDA’s current good manufacturing practices for devices, as reflected in of the Quality System Regulation, or QSR,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79"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w:t>
      </w:r>
    </w:p>
    <w:p>
      <w:pPr>
        <w:spacing w:after="0" w:line="118" w:lineRule="exact"/>
        <w:rPr>
          <w:sz w:val="20"/>
          <w:szCs w:val="20"/>
          <w:color w:val="auto"/>
        </w:rPr>
      </w:pPr>
    </w:p>
    <w:p>
      <w:pPr>
        <w:ind w:right="80" w:firstLine="374"/>
        <w:spacing w:after="0" w:line="296" w:lineRule="auto"/>
        <w:rPr>
          <w:sz w:val="20"/>
          <w:szCs w:val="20"/>
          <w:color w:val="auto"/>
        </w:rPr>
      </w:pPr>
      <w:r>
        <w:rPr>
          <w:rFonts w:ascii="Arial" w:cs="Arial" w:eastAsia="Arial" w:hAnsi="Arial"/>
          <w:sz w:val="16"/>
          <w:szCs w:val="16"/>
          <w:color w:val="auto"/>
        </w:rPr>
        <w:t>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which provides for the reclassification of the device into Class I or II. The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10"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15"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device process</w:t>
      </w:r>
    </w:p>
    <w:p>
      <w:pPr>
        <w:spacing w:after="0" w:line="144"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spacing w:after="0" w:line="98"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spacing w:after="0" w:line="118"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83"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1" w:name="page22"/>
    <w:bookmarkEnd w:id="21"/>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experience adverse events;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the trial;</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Device malfunctions occur with unexpected frequency or potential adverse consequences;</w:t>
      </w:r>
    </w:p>
    <w:p>
      <w:pPr>
        <w:spacing w:after="0" w:line="157"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88"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157" w:lineRule="exact"/>
        <w:rPr>
          <w:rFonts w:ascii="Arial" w:cs="Arial" w:eastAsia="Arial" w:hAnsi="Arial"/>
          <w:sz w:val="18"/>
          <w:szCs w:val="18"/>
          <w:color w:val="auto"/>
        </w:rPr>
      </w:pPr>
    </w:p>
    <w:p>
      <w:pPr>
        <w:ind w:left="1020" w:right="280" w:hanging="504"/>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investigators are disqualified by the FDA;</w:t>
      </w:r>
    </w:p>
    <w:p>
      <w:pPr>
        <w:spacing w:after="0" w:line="143"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115" w:lineRule="exact"/>
        <w:rPr>
          <w:rFonts w:ascii="Arial" w:cs="Arial" w:eastAsia="Arial" w:hAnsi="Arial"/>
          <w:sz w:val="18"/>
          <w:szCs w:val="18"/>
          <w:color w:val="auto"/>
        </w:rPr>
      </w:pPr>
    </w:p>
    <w:p>
      <w:pPr>
        <w:ind w:left="1020" w:right="420" w:hanging="504"/>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102"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88"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effectiveness; or</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concludes that our trial design is unreliable or inadequate to demonstrate safety and effectiveness.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510(k) clearance process</w:t>
      </w:r>
    </w:p>
    <w:p>
      <w:pPr>
        <w:spacing w:after="0" w:line="157" w:lineRule="exact"/>
        <w:rPr>
          <w:sz w:val="20"/>
          <w:szCs w:val="20"/>
          <w:color w:val="auto"/>
        </w:rPr>
      </w:pPr>
    </w:p>
    <w:p>
      <w:pPr>
        <w:ind w:right="740" w:firstLine="374"/>
        <w:spacing w:after="0" w:line="277" w:lineRule="auto"/>
        <w:rPr>
          <w:sz w:val="20"/>
          <w:szCs w:val="20"/>
          <w:color w:val="auto"/>
        </w:rPr>
      </w:pPr>
      <w:r>
        <w:rPr>
          <w:rFonts w:ascii="Arial" w:cs="Arial" w:eastAsia="Arial" w:hAnsi="Arial"/>
          <w:sz w:val="18"/>
          <w:szCs w:val="18"/>
          <w:color w:val="auto"/>
        </w:rPr>
        <w:t>Under the 510(k) process, the manufacturer must submit to the FDA a premarket notification, demonstrating that the device is “substantially equivalent,” as defined in the statute, to a legally marketed predicate device.</w:t>
      </w:r>
    </w:p>
    <w:p>
      <w:pPr>
        <w:spacing w:after="0" w:line="10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A predicate device is a legally marketed device that is not subject to premarket approval, i.e., a device that was legally marketed prior to May 28, 1976 (pre-amendments device) and for which a PMA is not required, a device that has been reclassified from Class III to Class II or Class I, or a device that was previously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w:t>
      </w:r>
    </w:p>
    <w:p>
      <w:pPr>
        <w:spacing w:after="0" w:line="95"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22" w:name="page23"/>
    <w:bookmarkEnd w:id="22"/>
    <w:p>
      <w:pPr>
        <w:ind w:right="120"/>
        <w:spacing w:after="0" w:line="277" w:lineRule="auto"/>
        <w:rPr>
          <w:sz w:val="20"/>
          <w:szCs w:val="20"/>
          <w:color w:val="auto"/>
        </w:rPr>
      </w:pPr>
      <w:r>
        <w:rPr>
          <w:rFonts w:ascii="Arial" w:cs="Arial" w:eastAsia="Arial" w:hAnsi="Arial"/>
          <w:sz w:val="18"/>
          <w:szCs w:val="18"/>
          <w:color w:val="auto"/>
        </w:rPr>
        <w:t>regarding substantial equivalence, which may significantly prolong the review process. If the FDA agrees that the device is substantially equivalent, it will grant clearance to commercially market the device.</w:t>
      </w:r>
    </w:p>
    <w:p>
      <w:pPr>
        <w:spacing w:after="0" w:line="89"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w:t>
      </w:r>
    </w:p>
    <w:p>
      <w:pPr>
        <w:spacing w:after="0" w:line="102"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auto"/>
        </w:rPr>
        <w:t>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PMA approval process</w:t>
      </w:r>
    </w:p>
    <w:p>
      <w:pPr>
        <w:spacing w:after="0" w:line="144" w:lineRule="exact"/>
        <w:rPr>
          <w:sz w:val="20"/>
          <w:szCs w:val="20"/>
          <w:color w:val="auto"/>
        </w:rPr>
      </w:pPr>
    </w:p>
    <w:p>
      <w:pPr>
        <w:ind w:right="100" w:firstLine="374"/>
        <w:spacing w:after="0" w:line="269" w:lineRule="auto"/>
        <w:rPr>
          <w:sz w:val="20"/>
          <w:szCs w:val="20"/>
          <w:color w:val="auto"/>
        </w:rPr>
      </w:pPr>
      <w:r>
        <w:rPr>
          <w:rFonts w:ascii="Arial" w:cs="Arial" w:eastAsia="Arial" w:hAnsi="Arial"/>
          <w:sz w:val="17"/>
          <w:szCs w:val="17"/>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15" w:lineRule="exact"/>
        <w:rPr>
          <w:sz w:val="20"/>
          <w:szCs w:val="20"/>
          <w:color w:val="auto"/>
        </w:rPr>
      </w:pPr>
    </w:p>
    <w:p>
      <w:pPr>
        <w:jc w:val="both"/>
        <w:ind w:right="940" w:firstLine="374"/>
        <w:spacing w:after="0" w:line="286" w:lineRule="auto"/>
        <w:rPr>
          <w:sz w:val="20"/>
          <w:szCs w:val="20"/>
          <w:color w:val="auto"/>
        </w:rPr>
      </w:pPr>
      <w:r>
        <w:rPr>
          <w:rFonts w:ascii="Arial" w:cs="Arial" w:eastAsia="Arial" w:hAnsi="Arial"/>
          <w:sz w:val="17"/>
          <w:szCs w:val="17"/>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97"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device may not be shown safe or effective to the FDA’s satisfaction;</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from pre-clinical studies and/or clinical trials may be found unreliable or insufficient to support approval;</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144"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3" w:name="page24"/>
    <w:bookmarkEnd w:id="23"/>
    <w:p>
      <w:pPr>
        <w:ind w:right="20" w:firstLine="374"/>
        <w:spacing w:after="0" w:line="296" w:lineRule="auto"/>
        <w:rPr>
          <w:sz w:val="20"/>
          <w:szCs w:val="20"/>
          <w:color w:val="auto"/>
        </w:rPr>
      </w:pPr>
      <w:r>
        <w:rPr>
          <w:rFonts w:ascii="Arial" w:cs="Arial" w:eastAsia="Arial" w:hAnsi="Arial"/>
          <w:sz w:val="16"/>
          <w:szCs w:val="16"/>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79"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regulation by the FDA</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Even after the FDA permits a device to be marketed, numerous regulatory requirements apply, including but not limited to:</w:t>
      </w:r>
    </w:p>
    <w:p>
      <w:pPr>
        <w:spacing w:after="0" w:line="144"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57" w:lineRule="exact"/>
        <w:rPr>
          <w:rFonts w:ascii="Arial" w:cs="Arial" w:eastAsia="Arial" w:hAnsi="Arial"/>
          <w:sz w:val="18"/>
          <w:szCs w:val="18"/>
          <w:color w:val="auto"/>
        </w:rPr>
      </w:pPr>
    </w:p>
    <w:p>
      <w:pPr>
        <w:ind w:left="1020" w:right="100" w:hanging="504"/>
        <w:spacing w:after="0" w:line="34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QSR, which requires manufacturers, including third-party manufacturers, to follow stringent design, testing, production, control, supplier/contractor selection, complaint handling, documentation, and other quality assurance procedures during the manufacturing process;</w:t>
      </w:r>
    </w:p>
    <w:p>
      <w:pPr>
        <w:spacing w:after="0" w:line="56" w:lineRule="exact"/>
        <w:rPr>
          <w:rFonts w:ascii="Arial" w:cs="Arial" w:eastAsia="Arial" w:hAnsi="Arial"/>
          <w:sz w:val="16"/>
          <w:szCs w:val="16"/>
          <w:color w:val="auto"/>
        </w:rPr>
      </w:pPr>
    </w:p>
    <w:p>
      <w:pPr>
        <w:ind w:left="1020" w:right="200" w:hanging="504"/>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spacing w:after="0" w:line="101" w:lineRule="exact"/>
        <w:rPr>
          <w:rFonts w:ascii="Arial" w:cs="Arial" w:eastAsia="Arial" w:hAnsi="Arial"/>
          <w:sz w:val="18"/>
          <w:szCs w:val="18"/>
          <w:color w:val="auto"/>
        </w:rPr>
      </w:pPr>
    </w:p>
    <w:p>
      <w:pPr>
        <w:ind w:left="1020" w:right="180" w:hanging="504"/>
        <w:spacing w:after="0" w:line="286"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Medical Device Reporting (“MDR”) regulation, which requires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96" w:lineRule="exact"/>
        <w:rPr>
          <w:rFonts w:ascii="Arial" w:cs="Arial" w:eastAsia="Arial" w:hAnsi="Arial"/>
          <w:sz w:val="17"/>
          <w:szCs w:val="17"/>
          <w:color w:val="auto"/>
        </w:rPr>
      </w:pPr>
    </w:p>
    <w:p>
      <w:pPr>
        <w:ind w:left="1020" w:right="460" w:hanging="504"/>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device corrections and removal reporting regulations, which require that manufactures report to the FDA field corrections or removals if undertaken to reduce a risk to health posed by a device or to remedy a violation of the FDCA Act that may present a risk to health;</w:t>
      </w:r>
    </w:p>
    <w:p>
      <w:pPr>
        <w:spacing w:after="0" w:line="115" w:lineRule="exact"/>
        <w:rPr>
          <w:rFonts w:ascii="Arial" w:cs="Arial" w:eastAsia="Arial" w:hAnsi="Arial"/>
          <w:sz w:val="18"/>
          <w:szCs w:val="18"/>
          <w:color w:val="auto"/>
        </w:rPr>
      </w:pPr>
    </w:p>
    <w:p>
      <w:pPr>
        <w:ind w:left="1020" w:right="480" w:hanging="504"/>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requirements, including a mandatory recall if there is a reasonable probability that the device would cause serious adverse health consequences or death;</w:t>
      </w:r>
    </w:p>
    <w:p>
      <w:pPr>
        <w:spacing w:after="0" w:line="88"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order of repair, replacement or refund;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device tracking requirements; and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 market study and surveillance requirements.</w:t>
      </w:r>
    </w:p>
    <w:p>
      <w:pPr>
        <w:spacing w:after="0" w:line="144"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9" w:right="379" w:bottom="1440" w:gutter="0" w:footer="0" w:header="0"/>
        </w:sectPr>
      </w:pPr>
    </w:p>
    <w:bookmarkStart w:id="24" w:name="page25"/>
    <w:bookmarkEnd w:id="24"/>
    <w:p>
      <w:pPr>
        <w:ind w:firstLine="374"/>
        <w:spacing w:after="0" w:line="256" w:lineRule="auto"/>
        <w:rPr>
          <w:sz w:val="20"/>
          <w:szCs w:val="20"/>
          <w:color w:val="auto"/>
        </w:rPr>
      </w:pPr>
      <w:r>
        <w:rPr>
          <w:rFonts w:ascii="Arial" w:cs="Arial" w:eastAsia="Arial" w:hAnsi="Arial"/>
          <w:sz w:val="18"/>
          <w:szCs w:val="18"/>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10"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These regulations require that we manufacture our products and maintain related documentation in a prescribed manner with respect to manufacturing, testing and control activities.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w:t>
      </w:r>
    </w:p>
    <w:p>
      <w:pPr>
        <w:spacing w:after="0" w:line="95"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 fines, injunctions, consent decrees and civil penalties;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voluntary or mandatory recall or seizure of our products;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in processing, clearing or approving submissions or applications for new products or modifications to existing products;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FDA approvals or clearances that have already been granted; and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w:t>
      </w:r>
    </w:p>
    <w:p>
      <w:pPr>
        <w:spacing w:after="0" w:line="104"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92" w:lineRule="exact"/>
        <w:rPr>
          <w:sz w:val="20"/>
          <w:szCs w:val="20"/>
          <w:color w:val="auto"/>
        </w:rPr>
      </w:pPr>
    </w:p>
    <w:p>
      <w:pPr>
        <w:ind w:right="260" w:firstLine="374"/>
        <w:spacing w:after="0" w:line="301" w:lineRule="auto"/>
        <w:rPr>
          <w:sz w:val="20"/>
          <w:szCs w:val="20"/>
          <w:color w:val="auto"/>
        </w:rPr>
      </w:pPr>
      <w:r>
        <w:rPr>
          <w:rFonts w:ascii="Arial" w:cs="Arial" w:eastAsia="Arial" w:hAnsi="Arial"/>
          <w:sz w:val="16"/>
          <w:szCs w:val="16"/>
          <w:color w:val="auto"/>
        </w:rPr>
        <w:t>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medical device premarket authorization process</w:t>
      </w:r>
    </w:p>
    <w:p>
      <w:pPr>
        <w:spacing w:after="0" w:line="117"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European Union has adopted numerous directives and standards regulating the design, manufacture, clinical trials, labeling and adverse event reporting for medical devices. Our products are regulated in the European Union as medical devices per European Union Directive 93/42/EEC, also known as the Medical Device Directive (“MDD”). The MDD sets out the basic regulatory framework for medical devices in the European Union. The system of regulating medical devices operates by way of a certification for each medical device. Each certified device is marked with the CE mark which shows that the device has a Certificat de Conformité. There are national bodies known as Competent Authorities in each member state which oversee the implementation of the MDD within their jurisdiction. The means for achieving the requirements for</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t>the CE mark vary according to the nature of the device. Devices are classified in accordance with their perceived risks, similarly to the U.S. system. The class of a product determines the conformity assessment required before the CE mark can be placed on a product. Conformity assessments for our products are carried out as required by the MDD. Each member state can appoint Notified Bodies within its jurisdiction. If a Notified Body of a one-member state has issued a Certificat de Conformité, the device can be sold throughout the European Union without further conformance tests being required in other member states. The CE mark is contingent upon continued compliance with the applicable regulations and the quality system requirements of the ISO 13485 standard.</w:t>
      </w:r>
    </w:p>
    <w:p>
      <w:pPr>
        <w:spacing w:after="0" w:line="83"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new European Union Medical Devices Regulation 2017/745, or EU MDR, which was published in May 2017 with a transition period of three years, replaces the MDD and will expand and modify the pre-market and post-market obligations of the MDD. The date of application of the EU MDR has been postponed to May 26, 2024 with implementation dates based off of risk classification of the medical device. Recently, the European Commission proposed legislative amendments, including amendments to extend the transition period to the new rules from May 26, 2024 to December 31, 2027 for higher risk devices and until December 31, 2028 for medium and lower risk devices. The EU MDR will impose additional requirements on clinical evaluation process, safety, classification and performance of medical device products. The EU MDR will have no impact on our current and future products as registrations to the EU MDR are in process and are scheduled for completion prior to the implementation dates. The company has passed the MDR upgrade assessment with no observations and a recommendation for certification by the European Notified Body in December 2021. In addition to inspections by the FDA and other regulatory entities, we are also subject to periodic inspections by applicable European Notified Body with respect to regulatory requirements that apply to medical devices designed and manufactured by us and clinical trials sponsored by us. We are also certified to the Medical Device Single Audit Program (“MDSAP”) for the jurisdictions of the United States, Canada, Japan, Brazil, and Australia which allows for one single audit performed by Notified Body to cover those jurisdictions with respect to quality systems. All registrations and certifications due to Great Britain leaving the European Union (Brexit) and Switzerland ending a joint agreement with the European Union (Swexit) have been done to the timelines as required for these countries and will continue to be performed to the updated timelines as published during these processes.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These laws include the following:</w:t>
      </w:r>
    </w:p>
    <w:p>
      <w:pPr>
        <w:spacing w:after="0" w:line="113" w:lineRule="exact"/>
        <w:rPr>
          <w:sz w:val="20"/>
          <w:szCs w:val="20"/>
          <w:color w:val="auto"/>
        </w:rPr>
      </w:pPr>
    </w:p>
    <w:p>
      <w:pPr>
        <w:ind w:left="1020" w:hanging="504"/>
        <w:spacing w:after="0" w:line="28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 federal healthcare fraud and abuse laws generally apply to our activities because our products are covered under federal healthcare programs such as Medicare and Medicaid. The Anti-Kickback Statute is particularly relevant because of its broad applicability. The federal Anti-Kickback Statute makes it illegal for any person, including a prescription medical device manufacturer (or a party acting on its behalf), to knowingly and willfully solicit, receive, offer or pay any remuneration that is intended to induce or reward referrals, including the purchase, recommendation, order or prescription of a particular medical device, for which payment may be made under a federal healthcare program, such as Medicare or Medicaid. Almost any financial arrangement with a healthcare provider, patient or customer could implicate the Anti-Kickback Statute. Statutory exceptions and regulatory safe harbors protect certain arrangements if specific requirements are met. The government can exercise enforcement discretion in taking action against arrangements that do not fit within a safe harbor. Further, a person or entity does not need to have actual knowledge of the statute or specific intent to violate it. Moreover, the government may assert that a claim including items or services resulting from a violation of the federal Anti-Kickback Statute constitutes a false or fraudulent claim for purposes of the civil False Claims Act. Penalties for violations of the Anti- Kickback Statute include, but are not limited to, criminal, civil and/or administrative penalties, damages, fines, disgorgement, individual imprisonment, possible exclusion from Medicare, Medicaid</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ind w:left="504" w:right="640"/>
        <w:spacing w:after="0" w:line="277" w:lineRule="auto"/>
        <w:rPr>
          <w:sz w:val="20"/>
          <w:szCs w:val="20"/>
          <w:color w:val="auto"/>
        </w:rPr>
      </w:pPr>
      <w:r>
        <w:rPr>
          <w:rFonts w:ascii="Arial" w:cs="Arial" w:eastAsia="Arial" w:hAnsi="Arial"/>
          <w:sz w:val="18"/>
          <w:szCs w:val="18"/>
          <w:color w:val="auto"/>
        </w:rPr>
        <w:t>and other federal healthcare programs. Our exclusion would mean that procedures using our products would no longer be eligible for reimbursement under federal healthcare programs;</w:t>
      </w:r>
    </w:p>
    <w:p>
      <w:pPr>
        <w:spacing w:after="0" w:line="89" w:lineRule="exact"/>
        <w:rPr>
          <w:sz w:val="20"/>
          <w:szCs w:val="20"/>
          <w:color w:val="auto"/>
        </w:rPr>
      </w:pPr>
    </w:p>
    <w:p>
      <w:pPr>
        <w:ind w:left="504" w:right="100" w:hanging="504"/>
        <w:spacing w:after="0" w:line="271" w:lineRule="auto"/>
        <w:tabs>
          <w:tab w:leader="none" w:pos="5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Another development affecting the healthcare industry is the increased use of the federal Civil False Claims Act and, in particular, actions brought pursuant to the False Claims Act’s “whistleblower” or “qui tam” provisions. In recent years, the number of suits brought against healthcare companies by private individuals has increased dramatically. The federal civil and criminal false claims acts, including the civil FCA,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113" w:lineRule="exact"/>
        <w:rPr>
          <w:rFonts w:ascii="Arial" w:cs="Arial" w:eastAsia="Arial" w:hAnsi="Arial"/>
          <w:sz w:val="17"/>
          <w:szCs w:val="17"/>
          <w:color w:val="auto"/>
        </w:rPr>
      </w:pPr>
    </w:p>
    <w:p>
      <w:pPr>
        <w:ind w:left="504" w:right="120" w:hanging="504"/>
        <w:spacing w:after="0" w:line="275" w:lineRule="auto"/>
        <w:tabs>
          <w:tab w:leader="none" w:pos="5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07" w:lineRule="exact"/>
        <w:rPr>
          <w:rFonts w:ascii="Arial" w:cs="Arial" w:eastAsia="Arial" w:hAnsi="Arial"/>
          <w:sz w:val="17"/>
          <w:szCs w:val="17"/>
          <w:color w:val="auto"/>
        </w:rPr>
      </w:pPr>
    </w:p>
    <w:p>
      <w:pPr>
        <w:ind w:left="504" w:hanging="504"/>
        <w:spacing w:after="0" w:line="256"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Health Insurance Portability and Accountability Act of 1996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109" w:lineRule="exact"/>
        <w:rPr>
          <w:rFonts w:ascii="Arial" w:cs="Arial" w:eastAsia="Arial" w:hAnsi="Arial"/>
          <w:sz w:val="18"/>
          <w:szCs w:val="18"/>
          <w:color w:val="auto"/>
        </w:rPr>
      </w:pPr>
    </w:p>
    <w:p>
      <w:pPr>
        <w:ind w:left="504" w:right="180" w:hanging="504"/>
        <w:spacing w:after="0" w:line="277"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2" w:lineRule="exact"/>
        <w:rPr>
          <w:rFonts w:ascii="Arial" w:cs="Arial" w:eastAsia="Arial" w:hAnsi="Arial"/>
          <w:sz w:val="18"/>
          <w:szCs w:val="18"/>
          <w:color w:val="auto"/>
        </w:rPr>
      </w:pPr>
    </w:p>
    <w:p>
      <w:pPr>
        <w:ind w:left="504" w:hanging="504"/>
        <w:spacing w:after="0"/>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medical devices;</w:t>
      </w:r>
    </w:p>
    <w:p>
      <w:pPr>
        <w:spacing w:after="0" w:line="157" w:lineRule="exact"/>
        <w:rPr>
          <w:rFonts w:ascii="Arial" w:cs="Arial" w:eastAsia="Arial" w:hAnsi="Arial"/>
          <w:sz w:val="18"/>
          <w:szCs w:val="18"/>
          <w:color w:val="auto"/>
        </w:rPr>
      </w:pPr>
    </w:p>
    <w:p>
      <w:pPr>
        <w:ind w:left="504" w:right="20" w:hanging="504"/>
        <w:spacing w:after="0" w:line="254"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Additionally, there has been a recent trend of increased federal and state regulation of payments made to doctors. 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111" w:lineRule="exact"/>
        <w:rPr>
          <w:rFonts w:ascii="Arial" w:cs="Arial" w:eastAsia="Arial" w:hAnsi="Arial"/>
          <w:sz w:val="18"/>
          <w:szCs w:val="18"/>
          <w:color w:val="auto"/>
        </w:rPr>
      </w:pPr>
    </w:p>
    <w:p>
      <w:pPr>
        <w:ind w:left="504" w:right="100" w:hanging="504"/>
        <w:spacing w:after="0" w:line="273" w:lineRule="auto"/>
        <w:tabs>
          <w:tab w:leader="none" w:pos="5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08" w:lineRule="exact"/>
        <w:rPr>
          <w:rFonts w:ascii="Arial" w:cs="Arial" w:eastAsia="Arial" w:hAnsi="Arial"/>
          <w:sz w:val="17"/>
          <w:szCs w:val="17"/>
          <w:color w:val="auto"/>
        </w:rPr>
      </w:pPr>
    </w:p>
    <w:p>
      <w:pPr>
        <w:ind w:left="504" w:right="80" w:hanging="504"/>
        <w:spacing w:after="0" w:line="253" w:lineRule="auto"/>
        <w:tabs>
          <w:tab w:leader="none" w:pos="5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certain biotechnology, pharmaceutical, and medical device companies to comply with the industry’s voluntary compliance guidelines and the relevant compliance guidance promulgated by the federal government and may require applicable manufacturers to disclose or report certain information related to payments and other transfers of value to doctors and entities or sales, marketing, pricing, clinical trials, marketing expenditures and activities, and state and foreign laws that govern the privacy and security of health information in some circumstances, many of which differ from each other in significant ways and often are not preempted by HIPAA, thus</w:t>
      </w:r>
    </w:p>
    <w:p>
      <w:pPr>
        <w:spacing w:after="0" w:line="88"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489" w:right="359" w:bottom="1440" w:gutter="0" w:footer="0" w:header="0"/>
        </w:sectPr>
      </w:pPr>
    </w:p>
    <w:bookmarkStart w:id="27" w:name="page28"/>
    <w:bookmarkEnd w:id="27"/>
    <w:p>
      <w:pPr>
        <w:ind w:left="1020"/>
        <w:spacing w:after="0"/>
        <w:rPr>
          <w:sz w:val="20"/>
          <w:szCs w:val="20"/>
          <w:color w:val="auto"/>
        </w:rPr>
      </w:pPr>
      <w:r>
        <w:rPr>
          <w:rFonts w:ascii="Arial" w:cs="Arial" w:eastAsia="Arial" w:hAnsi="Arial"/>
          <w:sz w:val="18"/>
          <w:szCs w:val="18"/>
          <w:color w:val="auto"/>
        </w:rPr>
        <w:t>complicating compliance efforts; and state laws related to insurance fraud in the case of claims involving private insurers.</w:t>
      </w:r>
    </w:p>
    <w:p>
      <w:pPr>
        <w:spacing w:after="0" w:line="144"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 care reform</w:t>
      </w:r>
    </w:p>
    <w:p>
      <w:pPr>
        <w:spacing w:after="0" w:line="117"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United States,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in November 2020.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of the Biden administration will impact the ACA and our business. Other legislative changes have been proposed and adopted since the ACA was enacted, including aggregate reductions of Medicare payments to providers of 2% per fiscal year and reduced payments to several types of Medicare providers, which will remain in effect through 2031 absent additional congressional action, with the exception of a temporary suspension from May 1, 2020 through March 31, 2022 due to the COVID-19 pandemic, unless additional action is taken by Congress. Under current legislation, the actual reduction in Medicare payments can vary from 1% in 2022 to up to 4% in the final fiscal year of this sequester. Moreover, there recently has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Complying with any new legislation or reversing changes implemented under the ACA could be time-intensive and expensive, resulting in a material adverse effect on our business.</w:t>
      </w:r>
    </w:p>
    <w:p>
      <w:pPr>
        <w:spacing w:after="0" w:line="323"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89"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Medical device companies may be subject to U.S. federal and state health information privacy, security and data breach notification laws, which may govern the collection, use, disclosure and protection of health-related and other personal information.</w:t>
      </w:r>
    </w:p>
    <w:p>
      <w:pPr>
        <w:spacing w:after="0" w:line="102"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United States Department of Health and Human Services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15"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23"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Actual or perceived failure to comply with these laws, where applicable, can result in private claims, demands and litigation, regulatory investigations and other proceedings, and the imposition of significant civil and/or criminal penalties and other relief. For example, California enacted the California Consumer Privacy Act, (“CCPA”), which went into effect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9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Additionally, in November 2020, California voters passed the California Privacy Rights Act of 2020 (“CPRA”). The CPRA, which became effective January 1, 2023 created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w:t>
      </w:r>
    </w:p>
    <w:p>
      <w:pPr>
        <w:spacing w:after="0" w:line="110"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The EU also has laws and regulations dealing with the collection, use and processing of personal data obtained from individuals in the EU, including the EU General Data Protection Regulation, or GDPR. These laws and regulations are often more restrictive than those in the United States and restrict transfers of personal data to the United States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exit from the EU has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29" w:name="page30"/>
    <w:bookmarkEnd w:id="29"/>
    <w:p>
      <w:pPr>
        <w:ind w:right="20"/>
        <w:spacing w:after="0" w:line="291" w:lineRule="auto"/>
        <w:rPr>
          <w:sz w:val="20"/>
          <w:szCs w:val="20"/>
          <w:color w:val="auto"/>
        </w:rPr>
      </w:pPr>
      <w:r>
        <w:rPr>
          <w:rFonts w:ascii="Arial" w:cs="Arial" w:eastAsia="Arial" w:hAnsi="Arial"/>
          <w:sz w:val="16"/>
          <w:szCs w:val="16"/>
          <w:color w:val="auto"/>
        </w:rPr>
        <w:t>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As of December 31, 2022, we had 292 full-time employees. All of our employees are full-time and none of our employees are represented by a labor union or covered under a collective bargaining agreement.</w:t>
      </w:r>
    </w:p>
    <w:p>
      <w:pPr>
        <w:spacing w:after="0" w:line="10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Our corporate headquarters is in Aliso Viejo, California where we lease four facilities housing our headquarters, manufacturing, research and development and administrative offices. The facility leases are for approximately 121,000 square feet in the aggregate. The leases terminate on (a) September 30, 2024, with one option to extend for five years; (b) January 31, 2026, with three options to extend for five years each; (c) March 31, 2023, with two options to extend for five years each; and (d) August 31, 2024, with one option to extend for five years. We believe that our existing facilities are adequate for our near-term needs but expect to need additional space as we grow. We believe that suitable additional or alternative space would be available in the future as required on commercially reasonable terms.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We were incorporated in California on March 5, 1997 as Calhoun Vision, Inc. and changed our name to RxSight, Inc. in October 2016. We reincorporated in Delaware on July 6, 2021.We maintain a website at www.rxsight.com. Information contained on our website is not incorporated by reference into this Annual Report on Form 10-K or any other filings we make with the SEC.</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40" w:firstLine="374"/>
        <w:spacing w:after="0" w:line="270"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In addition to the other information included in this Annual Report on Form 10-K,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Annual Report on Form 10-K. The risks and uncertainties described below may not be the only ones we face. If any of the risks or uncertainties we face were to occur, the trading price of our securities could decline, and you may lose all or part of your investment. This Annual Report on Form 10-K also contains forward-looking statements that involve risks and uncertainties. See the section titled “Special Note Regarding Forward-Looking Statements” appearing elsewhere in this Annual Report. Our actual results could differ materially from those anticipated in the forward-looking statements as a result of factors that are described below and elsewhere in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48" w:lineRule="exact"/>
        <w:rPr>
          <w:sz w:val="20"/>
          <w:szCs w:val="20"/>
          <w:color w:val="auto"/>
        </w:rPr>
      </w:pPr>
    </w:p>
    <w:p>
      <w:pPr>
        <w:ind w:left="1140" w:right="520" w:hanging="383"/>
        <w:spacing w:after="0" w:line="341"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6" w:lineRule="exact"/>
        <w:rPr>
          <w:rFonts w:ascii="Arial" w:cs="Arial" w:eastAsia="Arial" w:hAnsi="Arial"/>
          <w:sz w:val="16"/>
          <w:szCs w:val="16"/>
          <w:color w:val="auto"/>
        </w:rPr>
      </w:pPr>
    </w:p>
    <w:p>
      <w:pPr>
        <w:ind w:left="1140" w:right="24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history of net operating losses, and we expect to continue to incur losses in the future. If we ever achieve profitability, we may not be able to sustain it.</w:t>
      </w:r>
    </w:p>
    <w:p>
      <w:pPr>
        <w:spacing w:after="0" w:line="102"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88" w:lineRule="exact"/>
        <w:rPr>
          <w:rFonts w:ascii="Arial" w:cs="Arial" w:eastAsia="Arial" w:hAnsi="Arial"/>
          <w:sz w:val="18"/>
          <w:szCs w:val="18"/>
          <w:color w:val="auto"/>
        </w:rPr>
      </w:pPr>
    </w:p>
    <w:p>
      <w:pPr>
        <w:ind w:left="1140" w:right="16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02"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left="1140" w:hanging="383"/>
        <w:spacing w:after="0" w:line="263"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15"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1" w:lineRule="exact"/>
        <w:rPr>
          <w:sz w:val="20"/>
          <w:szCs w:val="20"/>
          <w:color w:val="auto"/>
        </w:rPr>
      </w:pPr>
    </w:p>
    <w:p>
      <w:pPr>
        <w:ind w:left="1140" w:right="480" w:hanging="383"/>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1" w:name="page32"/>
    <w:bookmarkEnd w:id="31"/>
    <w:p>
      <w:pPr>
        <w:ind w:left="38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61" w:lineRule="exact"/>
        <w:rPr>
          <w:sz w:val="20"/>
          <w:szCs w:val="20"/>
          <w:color w:val="auto"/>
        </w:rPr>
      </w:pPr>
    </w:p>
    <w:p>
      <w:pPr>
        <w:ind w:left="1140" w:right="36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161" w:lineRule="exact"/>
        <w:rPr>
          <w:sz w:val="20"/>
          <w:szCs w:val="20"/>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57" w:lineRule="exact"/>
        <w:rPr>
          <w:rFonts w:ascii="Arial" w:cs="Arial" w:eastAsia="Arial" w:hAnsi="Arial"/>
          <w:sz w:val="18"/>
          <w:szCs w:val="18"/>
          <w:color w:val="auto"/>
        </w:rPr>
      </w:pPr>
    </w:p>
    <w:p>
      <w:pPr>
        <w:ind w:left="1140" w:right="52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risk factors:</w:t>
      </w:r>
    </w:p>
    <w:p>
      <w:pPr>
        <w:spacing w:after="0" w:line="161" w:lineRule="exact"/>
        <w:rPr>
          <w:sz w:val="20"/>
          <w:szCs w:val="20"/>
          <w:color w:val="auto"/>
        </w:rPr>
      </w:pPr>
    </w:p>
    <w:p>
      <w:pPr>
        <w:ind w:left="1140" w:right="220" w:hanging="383"/>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litigation proceedings could adversely affect our business.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COVID-19:</w:t>
      </w:r>
    </w:p>
    <w:p>
      <w:pPr>
        <w:spacing w:after="0" w:line="161" w:lineRule="exact"/>
        <w:rPr>
          <w:sz w:val="20"/>
          <w:szCs w:val="20"/>
          <w:color w:val="auto"/>
        </w:rPr>
      </w:pPr>
    </w:p>
    <w:p>
      <w:pPr>
        <w:ind w:left="1140" w:right="26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21"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39"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9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1"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400"/>
        <w:spacing w:after="0" w:line="277" w:lineRule="auto"/>
        <w:rPr>
          <w:sz w:val="20"/>
          <w:szCs w:val="20"/>
          <w:color w:val="auto"/>
        </w:rPr>
      </w:pPr>
      <w:r>
        <w:rPr>
          <w:rFonts w:ascii="Arial" w:cs="Arial" w:eastAsia="Arial" w:hAnsi="Arial"/>
          <w:sz w:val="18"/>
          <w:szCs w:val="18"/>
          <w:color w:val="auto"/>
        </w:rPr>
        <w:t>necessary to realize a sufficient return on our brand building efforts, or to achieve the level of brand awareness that is critical for broad adoption of our products.</w:t>
      </w:r>
    </w:p>
    <w:p>
      <w:pPr>
        <w:spacing w:after="0" w:line="102"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net losses, and we expect to continue to incur losses in the future. If we ever achieve profitability, we may not be able to sustain it.</w:t>
      </w:r>
    </w:p>
    <w:p>
      <w:pPr>
        <w:spacing w:after="0" w:line="15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We have incurred losses from operations since our inception and expect to continue to incur losses from operations in the future. We reported losses from operations of $63.3 million and $52.8 million for the years ended December 31, 2022 and 2021, respectively. As a result of these losses, as of December 31, 2022, we had an accumulated deficit of $546.0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spacing w:after="0" w:line="125" w:lineRule="exact"/>
        <w:rPr>
          <w:sz w:val="20"/>
          <w:szCs w:val="20"/>
          <w:color w:val="auto"/>
        </w:rPr>
      </w:pPr>
    </w:p>
    <w:p>
      <w:pPr>
        <w:ind w:right="500" w:firstLine="374"/>
        <w:spacing w:after="0" w:line="341" w:lineRule="auto"/>
        <w:rPr>
          <w:sz w:val="20"/>
          <w:szCs w:val="20"/>
          <w:color w:val="auto"/>
        </w:rPr>
      </w:pPr>
      <w:r>
        <w:rPr>
          <w:rFonts w:ascii="Arial" w:cs="Arial" w:eastAsia="Arial" w:hAnsi="Arial"/>
          <w:sz w:val="16"/>
          <w:szCs w:val="16"/>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2"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10"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102" w:lineRule="exact"/>
        <w:rPr>
          <w:sz w:val="20"/>
          <w:szCs w:val="20"/>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success in leveraging future strategic partnerships;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borrow on our credit facility or raise additional funds through our at-the-market offering to finance our operations;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and amount of reimbursement for procedures using our products;</w:t>
      </w:r>
    </w:p>
    <w:p>
      <w:pPr>
        <w:spacing w:after="0" w:line="157" w:lineRule="exact"/>
        <w:rPr>
          <w:rFonts w:ascii="Arial" w:cs="Arial" w:eastAsia="Arial" w:hAnsi="Arial"/>
          <w:sz w:val="18"/>
          <w:szCs w:val="18"/>
          <w:color w:val="auto"/>
        </w:rPr>
      </w:pPr>
    </w:p>
    <w:p>
      <w:pPr>
        <w:ind w:left="1140" w:right="40" w:hanging="383"/>
        <w:spacing w:after="0" w:line="263"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15" w:lineRule="exact"/>
        <w:rPr>
          <w:rFonts w:ascii="Arial" w:cs="Arial" w:eastAsia="Arial" w:hAnsi="Arial"/>
          <w:sz w:val="18"/>
          <w:szCs w:val="18"/>
          <w:color w:val="auto"/>
        </w:rPr>
      </w:pPr>
    </w:p>
    <w:p>
      <w:pPr>
        <w:ind w:left="1140" w:right="600" w:hanging="383"/>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5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29"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the conflicts in Eastern Europe, and otherwise.</w:t>
      </w:r>
    </w:p>
    <w:p>
      <w:pPr>
        <w:spacing w:after="0" w:line="112"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As of December 31, 2022 and 2021, we had $105.8 million and $159.3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Annual Report on Form 10-K, we cannot assure you that we will be able to generate sufficient liquidity as and when needed. Further, although we do not anticipate the need to raise additional capital or incur additional debt in order to reach profit from operations, as the same may be disclosed in the Company’s future Annual Reports on Form 10-K or Quarterly Reports on Form 10-Q filed with the SEC (though we may opportunistically access our ATM facility under advantageous circumstances),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7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62"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97" w:lineRule="exact"/>
        <w:rPr>
          <w:sz w:val="20"/>
          <w:szCs w:val="20"/>
          <w:color w:val="auto"/>
        </w:rPr>
      </w:pPr>
    </w:p>
    <w:p>
      <w:pPr>
        <w:jc w:val="both"/>
        <w:ind w:right="220" w:firstLine="374"/>
        <w:spacing w:after="0" w:line="259" w:lineRule="auto"/>
        <w:rPr>
          <w:sz w:val="20"/>
          <w:szCs w:val="20"/>
          <w:color w:val="auto"/>
        </w:rPr>
      </w:pPr>
      <w:r>
        <w:rPr>
          <w:rFonts w:ascii="Arial" w:cs="Arial" w:eastAsia="Arial" w:hAnsi="Arial"/>
          <w:sz w:val="18"/>
          <w:szCs w:val="18"/>
          <w:color w:val="auto"/>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instability in the capital markets and the COVID-19 pandemic.</w:t>
      </w:r>
    </w:p>
    <w:p>
      <w:pPr>
        <w:spacing w:after="0" w:line="104"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terms of our amended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7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Our amended term loan (the “Amended Term Loan”), also referred to as our credit facility, with Oxford Finance, provides for a $60.0 million term-loan facility scheduled to mature on February 1, 2027, of which $40.0 million was fully funded as of May 3, 2022, from the original term loan. Subject to the terms and conditions of the Amended Term Loan, we may borrow up to $10.0 million during the second quarter of 2023 and up to another $10.0 million in the third quarter of 2023.</w:t>
      </w:r>
    </w:p>
    <w:p>
      <w:pPr>
        <w:spacing w:after="0" w:line="11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Our payment obligations under the Amended Term Loan reduce cash available to fund working capital, capital expenditures, research and development and general corporate needs. In addition, indebtedness under the Amended Term Loan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04"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Our obligations under the Amended Term Loan are secured by substantially all of our assets, excluding intellectual property. The security interest granted over our assets could limit our ability to obtain additional debt financing. The Amended Term Loan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09"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20"/>
        <w:spacing w:after="0" w:line="293" w:lineRule="auto"/>
        <w:rPr>
          <w:sz w:val="20"/>
          <w:szCs w:val="20"/>
          <w:color w:val="auto"/>
        </w:rPr>
      </w:pPr>
      <w:r>
        <w:rPr>
          <w:rFonts w:ascii="Arial" w:cs="Arial" w:eastAsia="Arial" w:hAnsi="Arial"/>
          <w:sz w:val="16"/>
          <w:szCs w:val="16"/>
          <w:color w:val="auto"/>
        </w:rPr>
        <w:t>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95" w:lineRule="exact"/>
        <w:rPr>
          <w:sz w:val="20"/>
          <w:szCs w:val="20"/>
          <w:color w:val="auto"/>
        </w:rPr>
      </w:pPr>
    </w:p>
    <w:p>
      <w:pPr>
        <w:jc w:val="both"/>
        <w:ind w:right="260" w:firstLine="374"/>
        <w:spacing w:after="0" w:line="263"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62"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5" w:lineRule="exact"/>
        <w:rPr>
          <w:sz w:val="20"/>
          <w:szCs w:val="20"/>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adverse patient events involving our RxSight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studies and trials relating to our RxSight system;</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sustain meaningful clinical benefits for our patients;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143" w:lineRule="exact"/>
        <w:rPr>
          <w:rFonts w:ascii="Arial" w:cs="Arial" w:eastAsia="Arial" w:hAnsi="Arial"/>
          <w:sz w:val="18"/>
          <w:szCs w:val="18"/>
          <w:color w:val="auto"/>
        </w:rPr>
      </w:pPr>
    </w:p>
    <w:p>
      <w:pPr>
        <w:ind w:left="1140" w:right="240" w:hanging="383"/>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102" w:lineRule="exact"/>
        <w:rPr>
          <w:rFonts w:ascii="Arial" w:cs="Arial" w:eastAsia="Arial" w:hAnsi="Arial"/>
          <w:sz w:val="18"/>
          <w:szCs w:val="18"/>
          <w:color w:val="auto"/>
        </w:rPr>
      </w:pPr>
    </w:p>
    <w:p>
      <w:pPr>
        <w:ind w:left="1140" w:hanging="383"/>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15"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degree to which doctors adopt our RxSight system;</w:t>
      </w:r>
    </w:p>
    <w:p>
      <w:pPr>
        <w:spacing w:after="0" w:line="143" w:lineRule="exact"/>
        <w:rPr>
          <w:rFonts w:ascii="Arial" w:cs="Arial" w:eastAsia="Arial" w:hAnsi="Arial"/>
          <w:sz w:val="18"/>
          <w:szCs w:val="18"/>
          <w:color w:val="auto"/>
        </w:rPr>
      </w:pPr>
    </w:p>
    <w:p>
      <w:pPr>
        <w:ind w:left="1140" w:right="280" w:hanging="383"/>
        <w:spacing w:after="0" w:line="279"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02" w:lineRule="exact"/>
        <w:rPr>
          <w:rFonts w:ascii="Arial" w:cs="Arial" w:eastAsia="Arial" w:hAnsi="Arial"/>
          <w:sz w:val="17"/>
          <w:szCs w:val="17"/>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achieving and maintaining compliance with regulatory requirements applicable to our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reputation among doctors;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strength of our marketing and commercial organization;</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expand the commercialization of our products into international markets;</w:t>
      </w:r>
    </w:p>
    <w:p>
      <w:pPr>
        <w:spacing w:after="0" w:line="15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(“QSR”), and other applicable foreign, federal and state regulatory requirements;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ongoing or future clinical trials; and</w:t>
      </w:r>
    </w:p>
    <w:p>
      <w:pPr>
        <w:spacing w:after="0" w:line="143" w:lineRule="exact"/>
        <w:rPr>
          <w:rFonts w:ascii="Arial" w:cs="Arial" w:eastAsia="Arial" w:hAnsi="Arial"/>
          <w:sz w:val="18"/>
          <w:szCs w:val="18"/>
          <w:color w:val="auto"/>
        </w:rPr>
      </w:pPr>
    </w:p>
    <w:p>
      <w:pPr>
        <w:ind w:left="1140" w:right="80" w:hanging="383"/>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2"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9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RxSight system will depend upon attaining significant market acceptance of these products among patients and doctors.</w:t>
      </w:r>
    </w:p>
    <w:p>
      <w:pPr>
        <w:spacing w:after="0" w:line="151"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160"/>
        <w:spacing w:after="0" w:line="263" w:lineRule="auto"/>
        <w:rPr>
          <w:sz w:val="20"/>
          <w:szCs w:val="20"/>
          <w:color w:val="auto"/>
        </w:rPr>
      </w:pPr>
      <w:r>
        <w:rPr>
          <w:rFonts w:ascii="Arial" w:cs="Arial" w:eastAsia="Arial" w:hAnsi="Arial"/>
          <w:sz w:val="18"/>
          <w:szCs w:val="18"/>
          <w:color w:val="auto"/>
        </w:rPr>
        <w:t>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115"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long-standing relationships with competing companies and distributors that sell other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57"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glasses;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patient reticence to select a premium IOL due to nonperformance and adverse side effects associated with competing products in the market;</w:t>
      </w:r>
    </w:p>
    <w:p>
      <w:pPr>
        <w:spacing w:after="0" w:line="166" w:lineRule="exact"/>
        <w:rPr>
          <w:rFonts w:ascii="Arial" w:cs="Arial" w:eastAsia="Arial" w:hAnsi="Arial"/>
          <w:sz w:val="16"/>
          <w:szCs w:val="16"/>
          <w:color w:val="auto"/>
        </w:rPr>
      </w:pPr>
    </w:p>
    <w:p>
      <w:pPr>
        <w:ind w:left="1140" w:right="120" w:hanging="383"/>
        <w:spacing w:after="0" w:line="263"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15"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102"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02" w:lineRule="exact"/>
        <w:rPr>
          <w:sz w:val="20"/>
          <w:szCs w:val="20"/>
          <w:color w:val="auto"/>
        </w:rPr>
      </w:pPr>
    </w:p>
    <w:p>
      <w:pPr>
        <w:jc w:val="both"/>
        <w:ind w:right="620" w:firstLine="374"/>
        <w:spacing w:after="0" w:line="311"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80" w:lineRule="exact"/>
        <w:rPr>
          <w:sz w:val="20"/>
          <w:szCs w:val="20"/>
          <w:color w:val="auto"/>
        </w:rPr>
      </w:pPr>
    </w:p>
    <w:p>
      <w:pPr>
        <w:ind w:right="120" w:firstLine="374"/>
        <w:spacing w:after="0" w:line="291"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57"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400"/>
        <w:spacing w:after="0" w:line="277" w:lineRule="auto"/>
        <w:rPr>
          <w:sz w:val="20"/>
          <w:szCs w:val="20"/>
          <w:color w:val="auto"/>
        </w:rPr>
      </w:pPr>
      <w:r>
        <w:rPr>
          <w:rFonts w:ascii="Arial" w:cs="Arial" w:eastAsia="Arial" w:hAnsi="Arial"/>
          <w:sz w:val="18"/>
          <w:szCs w:val="18"/>
          <w:color w:val="auto"/>
        </w:rPr>
        <w:t>including the fact that doctors would need to adopt a new procedure, and training for doctors will be required to enable them to effectively operate our products.</w:t>
      </w:r>
    </w:p>
    <w:p>
      <w:pPr>
        <w:spacing w:after="0" w:line="1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2"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97" w:lineRule="exact"/>
        <w:rPr>
          <w:sz w:val="20"/>
          <w:szCs w:val="20"/>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144"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102" w:lineRule="exact"/>
        <w:rPr>
          <w:sz w:val="20"/>
          <w:szCs w:val="20"/>
          <w:color w:val="auto"/>
        </w:rPr>
      </w:pPr>
    </w:p>
    <w:p>
      <w:pPr>
        <w:ind w:left="1140" w:right="40" w:hanging="383"/>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and maintain regulatory clearances or approvals;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demonstrate safety and effectiveness in our sponsored and third-party clinical trials;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 our sales force across key markets to increase doctors’ awareness;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and maintain coverage and adequate reimbursement for procedures using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and retain skilled research, development, sales and clinical personnel;</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cost-effectively manufacture, market and sell our products;</w:t>
      </w:r>
    </w:p>
    <w:p>
      <w:pPr>
        <w:spacing w:after="0" w:line="143"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102" w:lineRule="exact"/>
        <w:rPr>
          <w:rFonts w:ascii="Arial" w:cs="Arial" w:eastAsia="Arial" w:hAnsi="Arial"/>
          <w:sz w:val="18"/>
          <w:szCs w:val="18"/>
          <w:color w:val="auto"/>
        </w:rPr>
      </w:pPr>
    </w:p>
    <w:p>
      <w:pPr>
        <w:ind w:left="1140" w:right="540" w:hanging="383"/>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60" w:firstLine="374"/>
        <w:spacing w:after="0" w:line="255" w:lineRule="auto"/>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23"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75"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39"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06"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Furthermore, the current leases on our four facilities expire, respectively, on (i) September 30, 2024, with one option to extend for five years; (ii) January 31, 2026, with three options to extend for five years each; (iii) March 31, 2023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140"/>
        <w:spacing w:after="0" w:line="263"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5"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28"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00" w:lineRule="exact"/>
        <w:rPr>
          <w:sz w:val="20"/>
          <w:szCs w:val="20"/>
          <w:color w:val="auto"/>
        </w:rPr>
      </w:pPr>
    </w:p>
    <w:p>
      <w:pPr>
        <w:ind w:right="680" w:firstLine="374"/>
        <w:spacing w:after="0" w:line="341"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7" w:lineRule="exact"/>
        <w:rPr>
          <w:sz w:val="20"/>
          <w:szCs w:val="20"/>
          <w:color w:val="auto"/>
        </w:rPr>
      </w:pPr>
    </w:p>
    <w:p>
      <w:pPr>
        <w:ind w:left="1140" w:right="220" w:hanging="383"/>
        <w:spacing w:after="0" w:line="307"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79" w:lineRule="exact"/>
        <w:rPr>
          <w:rFonts w:ascii="Arial" w:cs="Arial" w:eastAsia="Arial" w:hAnsi="Arial"/>
          <w:sz w:val="17"/>
          <w:szCs w:val="17"/>
          <w:color w:val="auto"/>
        </w:rPr>
      </w:pPr>
    </w:p>
    <w:p>
      <w:pPr>
        <w:ind w:left="1140" w:right="480" w:hanging="383"/>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88" w:lineRule="exact"/>
        <w:rPr>
          <w:rFonts w:ascii="Arial" w:cs="Arial" w:eastAsia="Arial" w:hAnsi="Arial"/>
          <w:sz w:val="18"/>
          <w:szCs w:val="18"/>
          <w:color w:val="auto"/>
        </w:rPr>
      </w:pPr>
    </w:p>
    <w:p>
      <w:pPr>
        <w:ind w:left="1140" w:right="380" w:hanging="383"/>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57"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interpret data from preclinical testing and clinical trials in different ways than we do;</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delays or failure in obtaining approval of our clinical trial protocols from the FDA or other regulatory authorities;</w:t>
      </w:r>
    </w:p>
    <w:p>
      <w:pPr>
        <w:spacing w:after="0" w:line="157" w:lineRule="exact"/>
        <w:rPr>
          <w:rFonts w:ascii="Arial" w:cs="Arial" w:eastAsia="Arial" w:hAnsi="Arial"/>
          <w:sz w:val="18"/>
          <w:szCs w:val="18"/>
          <w:color w:val="auto"/>
        </w:rPr>
      </w:pPr>
    </w:p>
    <w:p>
      <w:pPr>
        <w:ind w:left="1140" w:right="320" w:hanging="383"/>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left="1140" w:hanging="383"/>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68" w:lineRule="exact"/>
        <w:rPr>
          <w:rFonts w:ascii="Arial" w:cs="Arial" w:eastAsia="Arial" w:hAnsi="Arial"/>
          <w:sz w:val="17"/>
          <w:szCs w:val="17"/>
          <w:color w:val="auto"/>
        </w:rPr>
      </w:pPr>
    </w:p>
    <w:p>
      <w:pPr>
        <w:ind w:left="1140" w:right="240" w:hanging="383"/>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have trouble in managing multiple clinical sites;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have trouble finding patients to enroll in our trials;</w:t>
      </w:r>
    </w:p>
    <w:p>
      <w:pPr>
        <w:spacing w:after="0" w:line="157" w:lineRule="exact"/>
        <w:rPr>
          <w:rFonts w:ascii="Arial" w:cs="Arial" w:eastAsia="Arial" w:hAnsi="Arial"/>
          <w:sz w:val="18"/>
          <w:szCs w:val="18"/>
          <w:color w:val="auto"/>
        </w:rPr>
      </w:pPr>
    </w:p>
    <w:p>
      <w:pPr>
        <w:ind w:left="1140" w:right="220" w:hanging="383"/>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88" w:lineRule="exact"/>
        <w:rPr>
          <w:rFonts w:ascii="Arial" w:cs="Arial" w:eastAsia="Arial" w:hAnsi="Arial"/>
          <w:sz w:val="18"/>
          <w:szCs w:val="18"/>
          <w:color w:val="auto"/>
        </w:rPr>
      </w:pPr>
    </w:p>
    <w:p>
      <w:pPr>
        <w:ind w:left="1140" w:right="260" w:hanging="383"/>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102"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1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62"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6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5"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firstLine="374"/>
        <w:spacing w:after="0" w:line="285"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0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10"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17" w:lineRule="exact"/>
        <w:rPr>
          <w:sz w:val="20"/>
          <w:szCs w:val="20"/>
          <w:color w:val="auto"/>
        </w:rPr>
      </w:pPr>
    </w:p>
    <w:p>
      <w:pPr>
        <w:jc w:val="both"/>
        <w:ind w:right="500" w:firstLine="374"/>
        <w:spacing w:after="0" w:line="263"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15"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10"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8"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240"/>
        <w:spacing w:after="0" w:line="341"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17"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3"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5"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12" w:lineRule="exact"/>
        <w:rPr>
          <w:sz w:val="20"/>
          <w:szCs w:val="20"/>
          <w:color w:val="auto"/>
        </w:rPr>
      </w:pPr>
    </w:p>
    <w:p>
      <w:pPr>
        <w:ind w:right="80" w:firstLine="374"/>
        <w:spacing w:after="0" w:line="296"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92"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67"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ind w:right="120"/>
        <w:spacing w:after="0" w:line="256" w:lineRule="auto"/>
        <w:rPr>
          <w:sz w:val="20"/>
          <w:szCs w:val="20"/>
          <w:color w:val="auto"/>
        </w:rPr>
      </w:pPr>
      <w:r>
        <w:rPr>
          <w:rFonts w:ascii="Arial" w:cs="Arial" w:eastAsia="Arial" w:hAnsi="Arial"/>
          <w:sz w:val="18"/>
          <w:szCs w:val="18"/>
          <w:color w:val="auto"/>
        </w:rPr>
        <w:t>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2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5"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0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5" w:lineRule="exact"/>
        <w:rPr>
          <w:sz w:val="20"/>
          <w:szCs w:val="20"/>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market and sell our products.</w:t>
      </w:r>
    </w:p>
    <w:p>
      <w:pPr>
        <w:spacing w:after="0" w:line="15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97"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products and potential customers may opt against purchasing our products due to the cost or inability to procure insurance coverage.</w:t>
      </w:r>
    </w:p>
    <w:p>
      <w:pPr>
        <w:spacing w:after="0" w:line="15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5" w:lineRule="exact"/>
        <w:rPr>
          <w:sz w:val="20"/>
          <w:szCs w:val="20"/>
          <w:color w:val="auto"/>
        </w:rPr>
      </w:pPr>
    </w:p>
    <w:p>
      <w:pPr>
        <w:ind w:right="440" w:firstLine="374"/>
        <w:spacing w:after="0" w:line="263"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02" w:lineRule="exact"/>
        <w:rPr>
          <w:sz w:val="20"/>
          <w:szCs w:val="20"/>
          <w:color w:val="auto"/>
        </w:rPr>
      </w:pPr>
    </w:p>
    <w:p>
      <w:pPr>
        <w:ind w:left="1140" w:right="520" w:hanging="383"/>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 including changes to regulatory requirements and implementation of new regulations in foreign countries;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68" w:lineRule="exact"/>
        <w:rPr>
          <w:rFonts w:ascii="Arial" w:cs="Arial" w:eastAsia="Arial" w:hAnsi="Arial"/>
          <w:sz w:val="17"/>
          <w:szCs w:val="17"/>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5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5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57" w:lineRule="exact"/>
        <w:rPr>
          <w:sz w:val="20"/>
          <w:szCs w:val="20"/>
          <w:color w:val="auto"/>
        </w:rPr>
      </w:pPr>
    </w:p>
    <w:p>
      <w:pPr>
        <w:ind w:right="60" w:firstLine="374"/>
        <w:spacing w:after="0" w:line="307"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66"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operations. Any decreased use of our products or limitation on our ability to export or sell our products would likely adversely affect our business.</w:t>
      </w:r>
    </w:p>
    <w:p>
      <w:pPr>
        <w:spacing w:after="0" w:line="169"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140"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Changes to state regulations and interpretation of the practice of optometry, for public health insurance coverage and government reimbursement rates for our products and related procedures and/or medical or professional malpractice insurance coverage for doctors who perform procedures using our products could affect the adoption of our products and our future revenue.</w:t>
      </w:r>
    </w:p>
    <w:p>
      <w:pPr>
        <w:spacing w:after="0" w:line="75"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States regulate the practice of optometry, including the types of procedures optometrists are authorized to perform in each state. To the extent states change or narrow the scope of the practice of optometry or their interpretation of the scope of optometry with respect to those who are qualified to perform LDD procedures involving our RxSight system, such state regulation or policy can have a material impact on which doctors may use our RxSight system, our customer base and market share, and the adoption of our RxSight system. Additionally, payor restrictions on the coverage and/or reimbursement levels for procedures using our RxSight system can negatively impact the adoption of our products and the pricing of our products, which can have a material impact on our profitability. Changes to medical or professional malpractice insurance coverage policies for doctors who perform procedures using our products, including refusal to cover malpractice liability insurance related to the use of our products can have a material impact on the adoption of our products and our business operations. We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60"/>
        <w:spacing w:after="0" w:line="259" w:lineRule="auto"/>
        <w:rPr>
          <w:sz w:val="20"/>
          <w:szCs w:val="20"/>
          <w:color w:val="auto"/>
        </w:rPr>
      </w:pPr>
      <w:r>
        <w:rPr>
          <w:rFonts w:ascii="Arial" w:cs="Arial" w:eastAsia="Arial" w:hAnsi="Arial"/>
          <w:sz w:val="18"/>
          <w:szCs w:val="18"/>
          <w:color w:val="auto"/>
        </w:rPr>
        <w:t>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118" w:lineRule="exact"/>
        <w:rPr>
          <w:sz w:val="20"/>
          <w:szCs w:val="20"/>
          <w:color w:val="auto"/>
        </w:rPr>
      </w:pPr>
    </w:p>
    <w:p>
      <w:pPr>
        <w:ind w:right="160" w:firstLine="374"/>
        <w:spacing w:after="0" w:line="270" w:lineRule="auto"/>
        <w:rPr>
          <w:sz w:val="20"/>
          <w:szCs w:val="20"/>
          <w:color w:val="auto"/>
        </w:rPr>
      </w:pPr>
      <w:r>
        <w:rPr>
          <w:rFonts w:ascii="Arial" w:cs="Arial" w:eastAsia="Arial" w:hAnsi="Arial"/>
          <w:sz w:val="17"/>
          <w:szCs w:val="17"/>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17"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5"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17"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6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2" w:lineRule="exact"/>
        <w:rPr>
          <w:sz w:val="20"/>
          <w:szCs w:val="20"/>
          <w:color w:val="auto"/>
        </w:rPr>
      </w:pPr>
    </w:p>
    <w:p>
      <w:pPr>
        <w:ind w:right="160" w:firstLine="374"/>
        <w:spacing w:after="0" w:line="273" w:lineRule="auto"/>
        <w:rPr>
          <w:sz w:val="20"/>
          <w:szCs w:val="20"/>
          <w:color w:val="auto"/>
        </w:rPr>
      </w:pPr>
      <w:r>
        <w:rPr>
          <w:rFonts w:ascii="Arial" w:cs="Arial" w:eastAsia="Arial" w:hAnsi="Arial"/>
          <w:sz w:val="17"/>
          <w:szCs w:val="17"/>
          <w:color w:val="auto"/>
        </w:rPr>
        <w:t>As of December 31, 2022, we had federal net operating loss carryforwards (“NOLs”) of approximately $300.4 million, which will begin to expire in various years ranging from 2023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p>
    <w:p>
      <w:pPr>
        <w:spacing w:after="0" w:line="109"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5"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2"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23"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02"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440"/>
        <w:spacing w:after="0" w:line="277" w:lineRule="auto"/>
        <w:rPr>
          <w:sz w:val="20"/>
          <w:szCs w:val="20"/>
          <w:color w:val="auto"/>
        </w:rPr>
      </w:pPr>
      <w:r>
        <w:rPr>
          <w:rFonts w:ascii="Arial" w:cs="Arial" w:eastAsia="Arial" w:hAnsi="Arial"/>
          <w:sz w:val="18"/>
          <w:szCs w:val="18"/>
          <w:color w:val="auto"/>
        </w:rPr>
        <w:t>or in-licensed issued patents. Such submissions may also be made prior to a patent’s issuance, precluding the granting of a patent based on one of our owned or in-licensed pending patent applications.</w:t>
      </w:r>
    </w:p>
    <w:p>
      <w:pPr>
        <w:spacing w:after="0" w:line="102"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04"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25"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0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04"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0" w:name="page51"/>
    <w:bookmarkEnd w:id="50"/>
    <w:p>
      <w:pPr>
        <w:ind w:right="40"/>
        <w:spacing w:after="0" w:line="277" w:lineRule="auto"/>
        <w:rPr>
          <w:sz w:val="20"/>
          <w:szCs w:val="20"/>
          <w:color w:val="auto"/>
        </w:rPr>
      </w:pPr>
      <w:r>
        <w:rPr>
          <w:rFonts w:ascii="Arial" w:cs="Arial" w:eastAsia="Arial" w:hAnsi="Arial"/>
          <w:sz w:val="18"/>
          <w:szCs w:val="18"/>
          <w:color w:val="auto"/>
        </w:rPr>
        <w:t>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02"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89"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23"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95" w:lineRule="exact"/>
        <w:rPr>
          <w:sz w:val="20"/>
          <w:szCs w:val="20"/>
          <w:color w:val="auto"/>
        </w:rPr>
      </w:pPr>
    </w:p>
    <w:p>
      <w:pPr>
        <w:ind w:right="100" w:firstLine="374"/>
        <w:spacing w:after="0" w:line="288"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84" w:lineRule="exact"/>
        <w:rPr>
          <w:sz w:val="20"/>
          <w:szCs w:val="20"/>
          <w:color w:val="auto"/>
        </w:rPr>
      </w:pPr>
    </w:p>
    <w:p>
      <w:pPr>
        <w:jc w:val="both"/>
        <w:ind w:right="100" w:firstLine="374"/>
        <w:spacing w:after="0" w:line="301"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17"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right="100"/>
        <w:spacing w:after="0" w:line="277" w:lineRule="auto"/>
        <w:rPr>
          <w:sz w:val="20"/>
          <w:szCs w:val="20"/>
          <w:color w:val="auto"/>
        </w:rPr>
      </w:pPr>
      <w:r>
        <w:rPr>
          <w:rFonts w:ascii="Arial" w:cs="Arial" w:eastAsia="Arial" w:hAnsi="Arial"/>
          <w:sz w:val="18"/>
          <w:szCs w:val="18"/>
          <w:color w:val="auto"/>
        </w:rPr>
        <w:t>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0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80"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80" w:firstLine="374"/>
        <w:spacing w:after="0" w:line="256"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5"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01"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95"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96"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62"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0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8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8"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580"/>
        <w:spacing w:after="0" w:line="277" w:lineRule="auto"/>
        <w:rPr>
          <w:sz w:val="20"/>
          <w:szCs w:val="20"/>
          <w:color w:val="auto"/>
        </w:rPr>
      </w:pPr>
      <w:r>
        <w:rPr>
          <w:rFonts w:ascii="Arial" w:cs="Arial" w:eastAsia="Arial" w:hAnsi="Arial"/>
          <w:sz w:val="18"/>
          <w:szCs w:val="18"/>
          <w:color w:val="auto"/>
        </w:rPr>
        <w:t>licenses, we may not be able to redesign our products to avoid infringement. Any of these events could materially and adversely affect our business, financial condition and results of operations.</w:t>
      </w:r>
    </w:p>
    <w:p>
      <w:pPr>
        <w:spacing w:after="0" w:line="102"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10"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06"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95"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28"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10"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7" w:lineRule="exact"/>
        <w:rPr>
          <w:sz w:val="20"/>
          <w:szCs w:val="20"/>
          <w:color w:val="auto"/>
        </w:rPr>
      </w:pPr>
    </w:p>
    <w:p>
      <w:pPr>
        <w:ind w:right="360" w:firstLine="374"/>
        <w:spacing w:after="0" w:line="341"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7"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right="460"/>
        <w:spacing w:after="0" w:line="311"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40"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44" w:lineRule="exact"/>
        <w:rPr>
          <w:sz w:val="20"/>
          <w:szCs w:val="20"/>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1140" w:right="480" w:hanging="383"/>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3"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57"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89" w:lineRule="exact"/>
        <w:rPr>
          <w:sz w:val="20"/>
          <w:szCs w:val="20"/>
          <w:color w:val="auto"/>
        </w:rPr>
      </w:pPr>
    </w:p>
    <w:p>
      <w:pPr>
        <w:jc w:val="both"/>
        <w:ind w:right="240" w:firstLine="374"/>
        <w:spacing w:after="0" w:line="341"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7"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9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7" w:lineRule="exact"/>
        <w:rPr>
          <w:sz w:val="20"/>
          <w:szCs w:val="20"/>
          <w:color w:val="auto"/>
        </w:rPr>
      </w:pPr>
    </w:p>
    <w:p>
      <w:pPr>
        <w:jc w:val="both"/>
        <w:ind w:right="180" w:firstLine="374"/>
        <w:spacing w:after="0" w:line="263"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15"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Our technology acquired or licensed in the future from various third parties may be subject to retained rights. Our predecessors or licensors may retain certain rights under their agreements with us, including the right to use the underlying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400"/>
        <w:spacing w:after="0" w:line="259" w:lineRule="auto"/>
        <w:rPr>
          <w:sz w:val="20"/>
          <w:szCs w:val="20"/>
          <w:color w:val="auto"/>
        </w:rPr>
      </w:pPr>
      <w:r>
        <w:rPr>
          <w:rFonts w:ascii="Arial" w:cs="Arial" w:eastAsia="Arial" w:hAnsi="Arial"/>
          <w:sz w:val="18"/>
          <w:szCs w:val="18"/>
          <w:color w:val="auto"/>
        </w:rPr>
        <w:t>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18"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02" w:lineRule="exact"/>
        <w:rPr>
          <w:sz w:val="20"/>
          <w:szCs w:val="20"/>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3" w:lineRule="exact"/>
        <w:rPr>
          <w:rFonts w:ascii="Arial" w:cs="Arial" w:eastAsia="Arial" w:hAnsi="Arial"/>
          <w:sz w:val="18"/>
          <w:szCs w:val="18"/>
          <w:color w:val="auto"/>
        </w:rPr>
      </w:pPr>
    </w:p>
    <w:p>
      <w:pPr>
        <w:jc w:val="both"/>
        <w:ind w:left="1140" w:right="300" w:hanging="383"/>
        <w:spacing w:after="0" w:line="311" w:lineRule="auto"/>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0" w:lineRule="exact"/>
        <w:rPr>
          <w:rFonts w:ascii="Arial" w:cs="Arial" w:eastAsia="Arial" w:hAnsi="Arial"/>
          <w:sz w:val="16"/>
          <w:szCs w:val="16"/>
          <w:color w:val="auto"/>
        </w:rPr>
      </w:pPr>
    </w:p>
    <w:p>
      <w:pPr>
        <w:ind w:left="1140" w:right="200" w:hanging="383"/>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102" w:lineRule="exact"/>
        <w:rPr>
          <w:rFonts w:ascii="Arial" w:cs="Arial" w:eastAsia="Arial" w:hAnsi="Arial"/>
          <w:sz w:val="18"/>
          <w:szCs w:val="18"/>
          <w:color w:val="auto"/>
        </w:rPr>
      </w:pPr>
    </w:p>
    <w:p>
      <w:pPr>
        <w:ind w:left="1140" w:right="380" w:hanging="383"/>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7" w:lineRule="exact"/>
        <w:rPr>
          <w:rFonts w:ascii="Arial" w:cs="Arial" w:eastAsia="Arial" w:hAnsi="Arial"/>
          <w:sz w:val="18"/>
          <w:szCs w:val="18"/>
          <w:color w:val="auto"/>
        </w:rPr>
      </w:pPr>
    </w:p>
    <w:p>
      <w:pPr>
        <w:ind w:left="1140" w:right="580" w:hanging="383"/>
        <w:spacing w:after="0" w:line="263"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ind w:left="1140" w:right="80" w:hanging="383"/>
        <w:spacing w:after="0" w:line="341" w:lineRule="auto"/>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6" w:lineRule="exact"/>
        <w:rPr>
          <w:rFonts w:ascii="Arial" w:cs="Arial" w:eastAsia="Arial" w:hAnsi="Arial"/>
          <w:sz w:val="16"/>
          <w:szCs w:val="16"/>
          <w:color w:val="auto"/>
        </w:rPr>
      </w:pPr>
    </w:p>
    <w:p>
      <w:pPr>
        <w:ind w:left="1140" w:right="840" w:hanging="383"/>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88"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02" w:lineRule="exact"/>
        <w:rPr>
          <w:rFonts w:ascii="Arial" w:cs="Arial" w:eastAsia="Arial" w:hAnsi="Arial"/>
          <w:sz w:val="18"/>
          <w:szCs w:val="18"/>
          <w:color w:val="auto"/>
        </w:rPr>
      </w:pPr>
    </w:p>
    <w:p>
      <w:pPr>
        <w:ind w:left="1140" w:right="560" w:hanging="383"/>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2" w:lineRule="exact"/>
        <w:rPr>
          <w:sz w:val="20"/>
          <w:szCs w:val="20"/>
          <w:color w:val="auto"/>
        </w:rPr>
      </w:pPr>
    </w:p>
    <w:p>
      <w:pPr>
        <w:ind w:firstLine="374"/>
        <w:spacing w:after="0" w:line="267"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23"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right="20"/>
        <w:spacing w:after="0" w:line="296" w:lineRule="auto"/>
        <w:rPr>
          <w:sz w:val="20"/>
          <w:szCs w:val="20"/>
          <w:color w:val="auto"/>
        </w:rPr>
      </w:pPr>
      <w:r>
        <w:rPr>
          <w:rFonts w:ascii="Arial" w:cs="Arial" w:eastAsia="Arial" w:hAnsi="Arial"/>
          <w:sz w:val="16"/>
          <w:szCs w:val="16"/>
          <w:color w:val="auto"/>
        </w:rPr>
        <w:t>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92" w:lineRule="exact"/>
        <w:rPr>
          <w:sz w:val="20"/>
          <w:szCs w:val="20"/>
          <w:color w:val="auto"/>
        </w:rPr>
      </w:pPr>
    </w:p>
    <w:p>
      <w:pPr>
        <w:ind w:right="180" w:firstLine="374"/>
        <w:spacing w:after="0" w:line="254"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12" w:lineRule="exact"/>
        <w:rPr>
          <w:sz w:val="20"/>
          <w:szCs w:val="20"/>
          <w:color w:val="auto"/>
        </w:rPr>
      </w:pPr>
    </w:p>
    <w:p>
      <w:pPr>
        <w:ind w:right="300" w:firstLine="374"/>
        <w:spacing w:after="0" w:line="275"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0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62"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6"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17"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112"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88"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No earlier than June 1, 2023,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RxSight will consider its options on a case-by-case basis regarding UPC and will coordinate with foreign counsel in a timely manner.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20" w:firstLine="374"/>
        <w:spacing w:after="0" w:line="307"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0" w:lineRule="exact"/>
        <w:rPr>
          <w:sz w:val="20"/>
          <w:szCs w:val="20"/>
          <w:color w:val="auto"/>
        </w:rPr>
      </w:pPr>
    </w:p>
    <w:p>
      <w:pPr>
        <w:ind w:left="1140" w:right="140" w:hanging="383"/>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8" w:lineRule="exact"/>
        <w:rPr>
          <w:rFonts w:ascii="Arial" w:cs="Arial" w:eastAsia="Arial" w:hAnsi="Arial"/>
          <w:sz w:val="18"/>
          <w:szCs w:val="18"/>
          <w:color w:val="auto"/>
        </w:rPr>
      </w:pPr>
    </w:p>
    <w:p>
      <w:pPr>
        <w:ind w:left="1140" w:right="300" w:hanging="383"/>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2"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1" w:name="page62"/>
    <w:bookmarkEnd w:id="61"/>
    <w:p>
      <w:pPr>
        <w:ind w:left="1140" w:right="1100" w:hanging="383"/>
        <w:spacing w:after="0" w:line="27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43"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2" w:lineRule="exact"/>
        <w:rPr>
          <w:rFonts w:ascii="Arial" w:cs="Arial" w:eastAsia="Arial" w:hAnsi="Arial"/>
          <w:sz w:val="18"/>
          <w:szCs w:val="18"/>
          <w:color w:val="auto"/>
        </w:rPr>
      </w:pPr>
    </w:p>
    <w:p>
      <w:pPr>
        <w:ind w:left="1140" w:right="120" w:hanging="383"/>
        <w:spacing w:after="0" w:line="311" w:lineRule="auto"/>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80" w:lineRule="exact"/>
        <w:rPr>
          <w:rFonts w:ascii="Arial" w:cs="Arial" w:eastAsia="Arial" w:hAnsi="Arial"/>
          <w:sz w:val="16"/>
          <w:szCs w:val="16"/>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43" w:lineRule="exact"/>
        <w:rPr>
          <w:rFonts w:ascii="Arial" w:cs="Arial" w:eastAsia="Arial" w:hAnsi="Arial"/>
          <w:sz w:val="18"/>
          <w:szCs w:val="18"/>
          <w:color w:val="auto"/>
        </w:rPr>
      </w:pPr>
    </w:p>
    <w:p>
      <w:pPr>
        <w:ind w:left="1140" w:right="380" w:hanging="383"/>
        <w:spacing w:after="0" w:line="27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2"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20"/>
        <w:spacing w:after="0" w:line="296" w:lineRule="auto"/>
        <w:rPr>
          <w:sz w:val="20"/>
          <w:szCs w:val="20"/>
          <w:color w:val="auto"/>
        </w:rPr>
      </w:pPr>
      <w:r>
        <w:rPr>
          <w:rFonts w:ascii="Arial" w:cs="Arial" w:eastAsia="Arial" w:hAnsi="Arial"/>
          <w:sz w:val="16"/>
          <w:szCs w:val="16"/>
          <w:color w:val="auto"/>
        </w:rPr>
        <w:t>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2"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62" w:lineRule="exact"/>
        <w:rPr>
          <w:sz w:val="20"/>
          <w:szCs w:val="20"/>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safety and effective;</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changes;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5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115"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57" w:lineRule="exact"/>
        <w:rPr>
          <w:sz w:val="20"/>
          <w:szCs w:val="20"/>
          <w:color w:val="auto"/>
        </w:rPr>
      </w:pPr>
    </w:p>
    <w:p>
      <w:pPr>
        <w:ind w:left="1140" w:right="180" w:hanging="383"/>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ind w:left="1140" w:right="180" w:hanging="383"/>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57" w:lineRule="exact"/>
        <w:rPr>
          <w:rFonts w:ascii="Arial" w:cs="Arial" w:eastAsia="Arial" w:hAnsi="Arial"/>
          <w:sz w:val="18"/>
          <w:szCs w:val="18"/>
          <w:color w:val="auto"/>
        </w:rPr>
      </w:pPr>
    </w:p>
    <w:p>
      <w:pPr>
        <w:ind w:left="1140" w:right="380" w:hanging="383"/>
        <w:spacing w:after="0" w:line="279" w:lineRule="auto"/>
        <w:tabs>
          <w:tab w:leader="none" w:pos="11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88" w:lineRule="exact"/>
        <w:rPr>
          <w:rFonts w:ascii="Arial" w:cs="Arial" w:eastAsia="Arial" w:hAnsi="Arial"/>
          <w:sz w:val="17"/>
          <w:szCs w:val="17"/>
          <w:color w:val="auto"/>
        </w:rPr>
      </w:pPr>
    </w:p>
    <w:p>
      <w:pPr>
        <w:ind w:left="1140" w:right="160" w:hanging="383"/>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2"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102" w:lineRule="exact"/>
        <w:rPr>
          <w:rFonts w:ascii="Arial" w:cs="Arial" w:eastAsia="Arial" w:hAnsi="Arial"/>
          <w:sz w:val="18"/>
          <w:szCs w:val="18"/>
          <w:color w:val="auto"/>
        </w:rPr>
      </w:pPr>
    </w:p>
    <w:p>
      <w:pPr>
        <w:ind w:left="1140" w:right="260" w:hanging="383"/>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89"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92"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10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04"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23"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color w:val="auto"/>
        </w:rPr>
        <w:t>not substantiated or not permissible, we may be subject to enforcement actions, including adverse publicity and warning letters, and we may be required to revise our promotional claims and make other corrections or restitutions.</w:t>
      </w:r>
    </w:p>
    <w:p>
      <w:pPr>
        <w:spacing w:after="0" w:line="102" w:lineRule="exact"/>
        <w:rPr>
          <w:sz w:val="20"/>
          <w:szCs w:val="20"/>
          <w:color w:val="auto"/>
        </w:rPr>
      </w:pPr>
    </w:p>
    <w:p>
      <w:pPr>
        <w:ind w:right="660" w:firstLine="374"/>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89" w:lineRule="exact"/>
        <w:rPr>
          <w:sz w:val="20"/>
          <w:szCs w:val="20"/>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510(k) clearance or PMAs that have already been granted;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17"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7"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75"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13"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Promotional communications with respect to devices are subject to a variety of legal and regulatory restrictions and must be consistent with the information in the products’ cleared or approved labeling. As such, we may not promote our products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5" w:name="page66"/>
    <w:bookmarkEnd w:id="65"/>
    <w:p>
      <w:pPr>
        <w:spacing w:after="0" w:line="253" w:lineRule="auto"/>
        <w:rPr>
          <w:sz w:val="20"/>
          <w:szCs w:val="20"/>
          <w:color w:val="auto"/>
        </w:rPr>
      </w:pPr>
      <w:r>
        <w:rPr>
          <w:rFonts w:ascii="Arial" w:cs="Arial" w:eastAsia="Arial" w:hAnsi="Arial"/>
          <w:sz w:val="18"/>
          <w:szCs w:val="18"/>
          <w:color w:val="auto"/>
        </w:rPr>
        <w:t>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26"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04"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57" w:lineRule="exact"/>
        <w:rPr>
          <w:sz w:val="20"/>
          <w:szCs w:val="20"/>
          <w:color w:val="auto"/>
        </w:rPr>
      </w:pPr>
    </w:p>
    <w:p>
      <w:pPr>
        <w:ind w:left="1140" w:right="740" w:hanging="383"/>
        <w:spacing w:after="0" w:line="277"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suspend or withdraw regulatory clearances or approvals;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sub-assembly suppliers’ facilities;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57"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6" w:name="page67"/>
    <w:bookmarkEnd w:id="66"/>
    <w:p>
      <w:pPr>
        <w:ind w:right="240" w:firstLine="37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62"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5"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1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maintaining compliance with foreign regulatory requirements in jurisdictions where we conduct business currently or in the future, such as 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ind w:firstLine="374"/>
        <w:spacing w:after="0" w:line="286"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ind w:right="60" w:firstLine="8"/>
        <w:spacing w:after="0" w:line="269"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62"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10" w:lineRule="exact"/>
        <w:rPr>
          <w:sz w:val="20"/>
          <w:szCs w:val="20"/>
          <w:color w:val="auto"/>
        </w:rPr>
      </w:pPr>
    </w:p>
    <w:p>
      <w:pPr>
        <w:jc w:val="both"/>
        <w:ind w:right="80" w:firstLine="374"/>
        <w:spacing w:after="0" w:line="275"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7"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88"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6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Our manufacturing and design processes and those of our third-party component suppliers are required to comply with the FDA’s Quality System 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80"/>
        <w:spacing w:after="0" w:line="263" w:lineRule="auto"/>
        <w:rPr>
          <w:sz w:val="20"/>
          <w:szCs w:val="20"/>
          <w:color w:val="auto"/>
        </w:rPr>
      </w:pPr>
      <w:r>
        <w:rPr>
          <w:rFonts w:ascii="Arial" w:cs="Arial" w:eastAsia="Arial" w:hAnsi="Arial"/>
          <w:sz w:val="18"/>
          <w:szCs w:val="18"/>
          <w:color w:val="auto"/>
        </w:rPr>
        <w:t>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15" w:lineRule="exact"/>
        <w:rPr>
          <w:sz w:val="20"/>
          <w:szCs w:val="20"/>
          <w:color w:val="auto"/>
        </w:rPr>
      </w:pPr>
    </w:p>
    <w:p>
      <w:pPr>
        <w:jc w:val="both"/>
        <w:ind w:right="160" w:firstLine="374"/>
        <w:spacing w:after="0" w:line="286"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83"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2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2"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88"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94" w:lineRule="exact"/>
        <w:rPr>
          <w:sz w:val="20"/>
          <w:szCs w:val="20"/>
          <w:color w:val="auto"/>
        </w:rPr>
      </w:pPr>
    </w:p>
    <w:p>
      <w:pPr>
        <w:ind w:right="220" w:firstLine="374"/>
        <w:spacing w:after="0" w:line="254"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2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can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right="320"/>
        <w:spacing w:after="0" w:line="277" w:lineRule="auto"/>
        <w:rPr>
          <w:sz w:val="20"/>
          <w:szCs w:val="20"/>
          <w:color w:val="auto"/>
        </w:rPr>
      </w:pPr>
      <w:r>
        <w:rPr>
          <w:rFonts w:ascii="Arial" w:cs="Arial" w:eastAsia="Arial" w:hAnsi="Arial"/>
          <w:sz w:val="18"/>
          <w:szCs w:val="18"/>
          <w:color w:val="auto"/>
        </w:rPr>
        <w:t>as amended in the future, will not harm our business and financial results, and we cannot predict how future federal or state legislative or administrative changes relating to healthcare reform will affect our business.</w:t>
      </w:r>
    </w:p>
    <w:p>
      <w:pPr>
        <w:spacing w:after="0" w:line="102" w:lineRule="exact"/>
        <w:rPr>
          <w:sz w:val="20"/>
          <w:szCs w:val="20"/>
          <w:color w:val="auto"/>
        </w:rPr>
      </w:pPr>
    </w:p>
    <w:p>
      <w:pPr>
        <w:ind w:right="440" w:firstLine="374"/>
        <w:spacing w:after="0" w:line="311"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67" w:lineRule="exact"/>
        <w:rPr>
          <w:sz w:val="20"/>
          <w:szCs w:val="20"/>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44"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62"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97"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95" w:lineRule="exact"/>
        <w:rPr>
          <w:sz w:val="20"/>
          <w:szCs w:val="20"/>
          <w:color w:val="auto"/>
        </w:rPr>
      </w:pPr>
    </w:p>
    <w:p>
      <w:pPr>
        <w:ind w:left="1140" w:right="20" w:hanging="383"/>
        <w:spacing w:after="0" w:line="301"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left="1140" w:right="160"/>
        <w:spacing w:after="0" w:line="277" w:lineRule="auto"/>
        <w:rPr>
          <w:sz w:val="20"/>
          <w:szCs w:val="20"/>
          <w:color w:val="auto"/>
        </w:rPr>
      </w:pPr>
      <w:r>
        <w:rPr>
          <w:rFonts w:ascii="Arial" w:cs="Arial" w:eastAsia="Arial" w:hAnsi="Arial"/>
          <w:sz w:val="18"/>
          <w:szCs w:val="18"/>
          <w:color w:val="auto"/>
        </w:rPr>
        <w:t>claim including items or services resulting from a violation of the federal Anti-Kickback Statute constitutes a false or fraudulent claim for purposes of the civil False Claims Act;</w:t>
      </w:r>
    </w:p>
    <w:p>
      <w:pPr>
        <w:spacing w:after="0" w:line="102" w:lineRule="exact"/>
        <w:rPr>
          <w:sz w:val="20"/>
          <w:szCs w:val="20"/>
          <w:color w:val="auto"/>
        </w:rPr>
      </w:pPr>
    </w:p>
    <w:p>
      <w:pPr>
        <w:ind w:left="1140" w:right="20" w:hanging="383"/>
        <w:spacing w:after="0" w:line="256"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09" w:lineRule="exact"/>
        <w:rPr>
          <w:rFonts w:ascii="Arial" w:cs="Arial" w:eastAsia="Arial" w:hAnsi="Arial"/>
          <w:sz w:val="18"/>
          <w:szCs w:val="18"/>
          <w:color w:val="auto"/>
        </w:rPr>
      </w:pPr>
    </w:p>
    <w:p>
      <w:pPr>
        <w:ind w:left="1140" w:right="340" w:hanging="383"/>
        <w:spacing w:after="0" w:line="341" w:lineRule="auto"/>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6" w:lineRule="exact"/>
        <w:rPr>
          <w:rFonts w:ascii="Arial" w:cs="Arial" w:eastAsia="Arial" w:hAnsi="Arial"/>
          <w:sz w:val="16"/>
          <w:szCs w:val="16"/>
          <w:color w:val="auto"/>
        </w:rPr>
      </w:pPr>
    </w:p>
    <w:p>
      <w:pPr>
        <w:ind w:left="1140" w:right="40" w:hanging="383"/>
        <w:spacing w:after="0" w:line="279" w:lineRule="auto"/>
        <w:tabs>
          <w:tab w:leader="none" w:pos="11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2" w:lineRule="exact"/>
        <w:rPr>
          <w:rFonts w:ascii="Arial" w:cs="Arial" w:eastAsia="Arial" w:hAnsi="Arial"/>
          <w:sz w:val="17"/>
          <w:szCs w:val="17"/>
          <w:color w:val="auto"/>
        </w:rPr>
      </w:pPr>
    </w:p>
    <w:p>
      <w:pPr>
        <w:ind w:left="1140" w:hanging="383"/>
        <w:spacing w:after="0" w:line="293" w:lineRule="auto"/>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81" w:lineRule="exact"/>
        <w:rPr>
          <w:rFonts w:ascii="Arial" w:cs="Arial" w:eastAsia="Arial" w:hAnsi="Arial"/>
          <w:sz w:val="16"/>
          <w:szCs w:val="16"/>
          <w:color w:val="auto"/>
        </w:rPr>
      </w:pPr>
    </w:p>
    <w:p>
      <w:pPr>
        <w:ind w:left="1140" w:hanging="383"/>
        <w:spacing w:after="0" w:line="290" w:lineRule="auto"/>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96"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95"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94"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1" w:name="page72"/>
    <w:bookmarkEnd w:id="71"/>
    <w:p>
      <w:pPr>
        <w:ind w:right="40"/>
        <w:spacing w:after="0" w:line="291" w:lineRule="auto"/>
        <w:rPr>
          <w:sz w:val="20"/>
          <w:szCs w:val="20"/>
          <w:color w:val="auto"/>
        </w:rPr>
      </w:pPr>
      <w:r>
        <w:rPr>
          <w:rFonts w:ascii="Arial" w:cs="Arial" w:eastAsia="Arial" w:hAnsi="Arial"/>
          <w:sz w:val="16"/>
          <w:szCs w:val="16"/>
          <w:color w:val="auto"/>
        </w:rPr>
        <w:t>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97"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17"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11" w:lineRule="exact"/>
        <w:rPr>
          <w:sz w:val="20"/>
          <w:szCs w:val="20"/>
          <w:color w:val="auto"/>
        </w:rPr>
      </w:pPr>
    </w:p>
    <w:p>
      <w:pPr>
        <w:ind w:right="500"/>
        <w:spacing w:after="0" w:line="307"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39"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9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20"/>
        <w:spacing w:after="0" w:line="341"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17"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In 2017, the European Union (“EU”)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3" w:lineRule="exact"/>
        <w:rPr>
          <w:sz w:val="20"/>
          <w:szCs w:val="20"/>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reclassification of some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greater emphasis on clinical data;</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data transparency, including publication of clinical trial data and safety summaries;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defined content and structure for technical files to support registration;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unique device identification system;</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greater burden on post-market surveillance and clinical follow-up;</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reduction of adverse event reporting time from 30 to 15 days after the event;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more power to notified bodies.</w:t>
      </w:r>
    </w:p>
    <w:p>
      <w:pPr>
        <w:spacing w:after="0" w:line="157" w:lineRule="exact"/>
        <w:rPr>
          <w:sz w:val="20"/>
          <w:szCs w:val="20"/>
          <w:color w:val="auto"/>
        </w:rPr>
      </w:pPr>
    </w:p>
    <w:p>
      <w:pPr>
        <w:ind w:right="200" w:firstLine="374"/>
        <w:spacing w:after="0" w:line="256" w:lineRule="auto"/>
        <w:rPr>
          <w:sz w:val="20"/>
          <w:szCs w:val="20"/>
          <w:color w:val="auto"/>
        </w:rPr>
      </w:pPr>
      <w:r>
        <w:rPr>
          <w:rFonts w:ascii="Arial" w:cs="Arial" w:eastAsia="Arial" w:hAnsi="Arial"/>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2"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40"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280"/>
        <w:spacing w:after="0" w:line="277" w:lineRule="auto"/>
        <w:rPr>
          <w:sz w:val="20"/>
          <w:szCs w:val="20"/>
          <w:color w:val="auto"/>
        </w:rPr>
      </w:pPr>
      <w:r>
        <w:rPr>
          <w:rFonts w:ascii="Arial" w:cs="Arial" w:eastAsia="Arial" w:hAnsi="Arial"/>
          <w:sz w:val="18"/>
          <w:szCs w:val="18"/>
          <w:color w:val="auto"/>
        </w:rPr>
        <w:t>circumstances giving rise to recalls are unpredictable, and any recalls of existing or future products could have a material adverse effect on our business, financial condition and results of operations.</w:t>
      </w:r>
    </w:p>
    <w:p>
      <w:pPr>
        <w:spacing w:after="0" w:line="10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89"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98"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15" w:lineRule="exact"/>
        <w:rPr>
          <w:sz w:val="20"/>
          <w:szCs w:val="20"/>
          <w:color w:val="auto"/>
        </w:rPr>
      </w:pPr>
    </w:p>
    <w:p>
      <w:pPr>
        <w:ind w:right="140" w:firstLine="374"/>
        <w:spacing w:after="0" w:line="290"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62"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commissions, certain customer incentive programs and other business arrangements generally. Activities subject to these laws also involve the improper use of information obtained in the course of patient recruitment for clinical trials.</w:t>
      </w:r>
    </w:p>
    <w:p>
      <w:pPr>
        <w:spacing w:after="0" w:line="102" w:lineRule="exact"/>
        <w:rPr>
          <w:sz w:val="20"/>
          <w:szCs w:val="20"/>
          <w:color w:val="auto"/>
        </w:rPr>
      </w:pPr>
    </w:p>
    <w:p>
      <w:pPr>
        <w:ind w:firstLine="374"/>
        <w:spacing w:after="0" w:line="252" w:lineRule="auto"/>
        <w:rPr>
          <w:sz w:val="20"/>
          <w:szCs w:val="20"/>
          <w:color w:val="auto"/>
        </w:rPr>
      </w:pPr>
      <w:r>
        <w:rPr>
          <w:rFonts w:ascii="Arial" w:cs="Arial" w:eastAsia="Arial" w:hAnsi="Arial"/>
          <w:sz w:val="18"/>
          <w:szCs w:val="18"/>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2" w:lineRule="exact"/>
        <w:rPr>
          <w:sz w:val="20"/>
          <w:szCs w:val="20"/>
          <w:color w:val="auto"/>
        </w:rPr>
      </w:pPr>
    </w:p>
    <w:p>
      <w:pPr>
        <w:ind w:right="140" w:firstLine="374"/>
        <w:spacing w:after="0" w:line="270"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11"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62" w:lineRule="exact"/>
        <w:rPr>
          <w:sz w:val="20"/>
          <w:szCs w:val="20"/>
          <w:color w:val="auto"/>
        </w:rPr>
      </w:pPr>
    </w:p>
    <w:p>
      <w:pPr>
        <w:jc w:val="both"/>
        <w:ind w:right="120" w:firstLine="374"/>
        <w:spacing w:after="0" w:line="259" w:lineRule="auto"/>
        <w:rPr>
          <w:sz w:val="20"/>
          <w:szCs w:val="20"/>
          <w:color w:val="auto"/>
        </w:rPr>
      </w:pPr>
      <w:r>
        <w:rPr>
          <w:rFonts w:ascii="Arial" w:cs="Arial" w:eastAsia="Arial" w:hAnsi="Arial"/>
          <w:sz w:val="18"/>
          <w:szCs w:val="18"/>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line="271" w:lineRule="auto"/>
        <w:rPr>
          <w:sz w:val="20"/>
          <w:szCs w:val="20"/>
          <w:color w:val="auto"/>
        </w:rPr>
      </w:pPr>
      <w:r>
        <w:rPr>
          <w:rFonts w:ascii="Arial" w:cs="Arial" w:eastAsia="Arial" w:hAnsi="Arial"/>
          <w:sz w:val="17"/>
          <w:szCs w:val="17"/>
          <w:color w:val="auto"/>
        </w:rPr>
        <w:t>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113" w:lineRule="exact"/>
        <w:rPr>
          <w:sz w:val="20"/>
          <w:szCs w:val="20"/>
          <w:color w:val="auto"/>
        </w:rPr>
      </w:pPr>
    </w:p>
    <w:p>
      <w:pPr>
        <w:ind w:right="80" w:firstLine="374"/>
        <w:spacing w:after="0" w:line="285" w:lineRule="auto"/>
        <w:rPr>
          <w:sz w:val="20"/>
          <w:szCs w:val="20"/>
          <w:color w:val="auto"/>
        </w:rPr>
      </w:pPr>
      <w:r>
        <w:rPr>
          <w:rFonts w:ascii="Arial" w:cs="Arial" w:eastAsia="Arial" w:hAnsi="Arial"/>
          <w:sz w:val="16"/>
          <w:szCs w:val="16"/>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88"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25"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6" w:name="page77"/>
    <w:bookmarkEnd w:id="76"/>
    <w:p>
      <w:pPr>
        <w:ind w:firstLine="374"/>
        <w:spacing w:after="0" w:line="267" w:lineRule="auto"/>
        <w:rPr>
          <w:sz w:val="20"/>
          <w:szCs w:val="20"/>
          <w:color w:val="auto"/>
        </w:rPr>
      </w:pPr>
      <w:r>
        <w:rPr>
          <w:rFonts w:ascii="Arial" w:cs="Arial" w:eastAsia="Arial" w:hAnsi="Arial"/>
          <w:sz w:val="17"/>
          <w:szCs w:val="17"/>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over time, and the United Kingdom has adopted new standard contractual clauses that also are required to be implemented over time.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spacing w:after="0" w:line="123"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0"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15"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Disruptions at the FDA and other agencies, including delays or disruptions due to the COVID-19 pandemic,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Recently, President Biden announced that the administration intends to end the COVID-19 national and public health emergencies on May 11, 2023. The full impact of the termination of the public health emergencies on FDA and other regulatory policies and operations is unclear. If a prolonged government shutdown or other disruption occurs, it could significantly impact the ability of the FDA to timely review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right="220"/>
        <w:spacing w:after="0" w:line="307" w:lineRule="auto"/>
        <w:rPr>
          <w:sz w:val="20"/>
          <w:szCs w:val="20"/>
          <w:color w:val="auto"/>
        </w:rPr>
      </w:pPr>
      <w:r>
        <w:rPr>
          <w:rFonts w:ascii="Arial" w:cs="Arial" w:eastAsia="Arial" w:hAnsi="Arial"/>
          <w:sz w:val="17"/>
          <w:szCs w:val="17"/>
          <w:color w:val="auto"/>
        </w:rPr>
        <w:t>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5"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88"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11"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5"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8" w:name="page79"/>
    <w:bookmarkEnd w:id="78"/>
    <w:p>
      <w:pPr>
        <w:ind w:right="180"/>
        <w:spacing w:after="0" w:line="277" w:lineRule="auto"/>
        <w:rPr>
          <w:sz w:val="20"/>
          <w:szCs w:val="20"/>
          <w:color w:val="auto"/>
        </w:rPr>
      </w:pPr>
      <w:r>
        <w:rPr>
          <w:rFonts w:ascii="Arial" w:cs="Arial" w:eastAsia="Arial" w:hAnsi="Arial"/>
          <w:sz w:val="18"/>
          <w:szCs w:val="18"/>
          <w:color w:val="auto"/>
        </w:rPr>
        <w:t>be unsuccessful, and we may have to conduct additional studies, which would significantly increase our costs, in order to obtain the regulatory clearances or approvals that we need to commercialize our products.</w:t>
      </w:r>
    </w:p>
    <w:p>
      <w:pPr>
        <w:spacing w:after="0" w:line="1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10"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11" w:lineRule="exact"/>
        <w:rPr>
          <w:sz w:val="20"/>
          <w:szCs w:val="20"/>
          <w:color w:val="auto"/>
        </w:rPr>
      </w:pPr>
    </w:p>
    <w:p>
      <w:pPr>
        <w:ind w:right="200" w:firstLine="374"/>
        <w:spacing w:after="0" w:line="301"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2" w:lineRule="exact"/>
        <w:rPr>
          <w:sz w:val="20"/>
          <w:szCs w:val="20"/>
          <w:color w:val="auto"/>
        </w:rPr>
      </w:pPr>
    </w:p>
    <w:p>
      <w:pPr>
        <w:ind w:firstLine="374"/>
        <w:spacing w:after="0" w:line="267" w:lineRule="auto"/>
        <w:rPr>
          <w:sz w:val="20"/>
          <w:szCs w:val="20"/>
          <w:color w:val="auto"/>
        </w:rPr>
      </w:pPr>
      <w:r>
        <w:rPr>
          <w:rFonts w:ascii="Arial" w:cs="Arial" w:eastAsia="Arial" w:hAnsi="Arial"/>
          <w:sz w:val="17"/>
          <w:szCs w:val="17"/>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it is necessary to mitigate potential supply chain issues. While we have taken measures to mitigate business continuity risk, including increasing standard lead times, payment of expedite fees, issuance of a limited number of non-cancelable purchase orders, advance delivery of critical components ahead of normal delivery dates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ind w:right="260"/>
        <w:spacing w:after="0" w:line="259" w:lineRule="auto"/>
        <w:rPr>
          <w:sz w:val="20"/>
          <w:szCs w:val="20"/>
          <w:color w:val="auto"/>
        </w:rPr>
      </w:pPr>
      <w:r>
        <w:rPr>
          <w:rFonts w:ascii="Arial" w:cs="Arial" w:eastAsia="Arial" w:hAnsi="Arial"/>
          <w:sz w:val="18"/>
          <w:szCs w:val="18"/>
          <w:color w:val="auto"/>
        </w:rPr>
        <w:t>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trading price of our common stock has been and may continue to be highly volatile and could be subject to wide fluctuations in response to various factors, some of which we cannot control. From the date of our initial public offering through March 1, 2023, our common stock has traded at a low of $8.80 and a high of $19.67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“Part I, Item 1A, “Risk Factors,” and elsewhere in this Annual Report on Form 10-K, these factors include:</w:t>
      </w:r>
    </w:p>
    <w:p>
      <w:pPr>
        <w:spacing w:after="0" w:line="109" w:lineRule="exact"/>
        <w:rPr>
          <w:sz w:val="20"/>
          <w:szCs w:val="20"/>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57" w:lineRule="exact"/>
        <w:rPr>
          <w:rFonts w:ascii="Arial" w:cs="Arial" w:eastAsia="Arial" w:hAnsi="Arial"/>
          <w:sz w:val="18"/>
          <w:szCs w:val="18"/>
          <w:color w:val="auto"/>
        </w:rPr>
      </w:pPr>
    </w:p>
    <w:p>
      <w:pPr>
        <w:ind w:left="1140" w:right="600" w:hanging="383"/>
        <w:spacing w:after="0" w:line="277"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68" w:lineRule="exact"/>
        <w:rPr>
          <w:rFonts w:ascii="Arial" w:cs="Arial" w:eastAsia="Arial" w:hAnsi="Arial"/>
          <w:sz w:val="17"/>
          <w:szCs w:val="17"/>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conditions in the medical device sector;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3"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global and national events, such as the conflicts in Eastern Europe, and general economic downturns; and</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57"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Part I, Item1A, “Risk Factors,” could have a dramatic and adverse impact on the market price of our common stock.</w:t>
      </w:r>
    </w:p>
    <w:p>
      <w:pPr>
        <w:spacing w:after="0" w:line="89"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62"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right="220" w:firstLine="374"/>
        <w:spacing w:after="0" w:line="291" w:lineRule="auto"/>
        <w:rPr>
          <w:sz w:val="20"/>
          <w:szCs w:val="20"/>
          <w:color w:val="auto"/>
        </w:rPr>
      </w:pPr>
      <w:r>
        <w:rPr>
          <w:rFonts w:ascii="Arial" w:cs="Arial" w:eastAsia="Arial" w:hAnsi="Arial"/>
          <w:sz w:val="16"/>
          <w:szCs w:val="16"/>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0" w:firstLine="374"/>
        <w:spacing w:after="0" w:line="307"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80"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As of December 31, 2022, we had 28,268,389 shares of common stock issued and outstanding. All of these shares are available for sale in the public market, subject to limitations under Rule 144 with respect to affiliates of our company.</w:t>
      </w:r>
    </w:p>
    <w:p>
      <w:pPr>
        <w:spacing w:after="0" w:line="10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On July 30, 2021, we filed a registration statement on Form S-8 under the Securities Act registering the issuance of 7,473,839 shares of common stock subject to options or other equity awards issued or reserved for future issuance under our equity incentive plans.</w:t>
      </w:r>
    </w:p>
    <w:p>
      <w:pPr>
        <w:spacing w:after="0" w:line="89"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On March 8, 2022, we filed an additional registration statement on Form S-8 under the Securities Act registering the offer and sale of 1,094,670 additional shares of common stock under our 2021 Equity Incentive Plan (the “2021 Plan”) and 273,667 additional shares of common stock under our 2021 Employee Stock Purchase Plan (the “2021 ESPP”). Shares registered under the registration statement on Form S-8 can be freely sold in the public market upon issuance, subject to volume limitations applicable to affiliates. The number of shares registered represent the annual increase commencing on the first day of each fiscal year beginning with the 2022 fiscal year calculated as 4% of the outstanding shares of our common stock on the last day of our immediately preceding fiscal year under our 2021 Plan and 1% of the outstanding shares of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520"/>
        <w:spacing w:after="0" w:line="277" w:lineRule="auto"/>
        <w:rPr>
          <w:sz w:val="20"/>
          <w:szCs w:val="20"/>
          <w:color w:val="auto"/>
        </w:rPr>
      </w:pPr>
      <w:r>
        <w:rPr>
          <w:rFonts w:ascii="Arial" w:cs="Arial" w:eastAsia="Arial" w:hAnsi="Arial"/>
          <w:sz w:val="18"/>
          <w:szCs w:val="18"/>
          <w:color w:val="auto"/>
        </w:rPr>
        <w:t>common stock as of the last day of the immediately preceding fiscal year under our 2021 ESPP. We anticipate filing additional Form S-8 registration statements for future annual increases under our equity plans.</w:t>
      </w:r>
    </w:p>
    <w:p>
      <w:pPr>
        <w:spacing w:after="0" w:line="102"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Included in the $200.0 million shelf registration statement, we also filed a prospectus supplement to sell up to an aggregate value of $50.0 million dollars of our common stock through an “at-the-market” (“ATM”) offering. The shares are being offered through BofA Securities, Inc. as sales agent. As of the date of this Annual Report on Form 10-K, a total of 1,355,216 shares of common stock, for total net proceeds of $17.1 million, have been issued and sold through the ATM offering, of which 879,341 shares of common stock, for net proceeds of $11.1 million, were sold in January 2023.</w:t>
      </w:r>
    </w:p>
    <w:p>
      <w:pPr>
        <w:spacing w:after="0" w:line="115"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On February 7, 2023, we entered into an underwriting agreement with BofA Securities, Inc., which we agreed to issue and sell 4,000,000 shares of our common stock in a public offering (“Public Offering”), pursuant to our shelf registration statement, which was declared effective on August 12, 2022.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w:t>
      </w:r>
    </w:p>
    <w:p>
      <w:pPr>
        <w:spacing w:after="0" w:line="123"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Further, concurrent with the filing of this Form 10-K, we will file on Form S-8 under the Securities Act to register the issuance of 1,130,735 shares of common stock subject to options or other equity awards issued for future issuance under the 2021 Plan. The number of shares to be registered represent the annual increase commencing on the first day of each fiscal year beginning with the 2022 fiscal year calculated as 4% of the outstanding shares of our common stock on the last day of our immediately preceding fiscal year under our 2021 Plan.</w:t>
      </w:r>
    </w:p>
    <w:p>
      <w:pPr>
        <w:spacing w:after="0" w:line="102" w:lineRule="exact"/>
        <w:rPr>
          <w:sz w:val="20"/>
          <w:szCs w:val="20"/>
          <w:color w:val="auto"/>
        </w:rPr>
      </w:pPr>
    </w:p>
    <w:p>
      <w:pPr>
        <w:jc w:val="both"/>
        <w:ind w:right="100" w:firstLine="374"/>
        <w:spacing w:after="0" w:line="286" w:lineRule="auto"/>
        <w:rPr>
          <w:sz w:val="20"/>
          <w:szCs w:val="20"/>
          <w:color w:val="auto"/>
        </w:rPr>
      </w:pPr>
      <w:r>
        <w:rPr>
          <w:rFonts w:ascii="Arial" w:cs="Arial" w:eastAsia="Arial" w:hAnsi="Arial"/>
          <w:sz w:val="17"/>
          <w:szCs w:val="17"/>
          <w:color w:val="auto"/>
        </w:rPr>
        <w:t>Since the offering price for our shares of common stock through the ATM and Public Offering is substantially higher than the net tangible book value per share of common stock outstanding prior to these offerings, stockholders suffered immediate and substantial dilution in the net tangible book value of the shares of common stock. If additional shares are sold through the ATM offering, shareholders will experience additional dilution.</w:t>
      </w:r>
    </w:p>
    <w:p>
      <w:pPr>
        <w:spacing w:after="0" w:line="83" w:lineRule="exact"/>
        <w:rPr>
          <w:sz w:val="20"/>
          <w:szCs w:val="20"/>
          <w:color w:val="auto"/>
        </w:rPr>
      </w:pPr>
    </w:p>
    <w:p>
      <w:pPr>
        <w:ind w:right="460" w:firstLine="419"/>
        <w:spacing w:after="0" w:line="26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As of December 31, 2022 our executive officers, directors, holders of 5% or more of our common stock and their respective affiliates beneficially owned approximately 48%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spacing w:after="0" w:line="34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15" w:lineRule="exact"/>
        <w:rPr>
          <w:sz w:val="20"/>
          <w:szCs w:val="20"/>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43" w:lineRule="exact"/>
        <w:rPr>
          <w:rFonts w:ascii="Arial" w:cs="Arial" w:eastAsia="Arial" w:hAnsi="Arial"/>
          <w:sz w:val="18"/>
          <w:szCs w:val="18"/>
          <w:color w:val="auto"/>
        </w:rPr>
      </w:pPr>
    </w:p>
    <w:p>
      <w:pPr>
        <w:ind w:left="1140" w:right="320" w:hanging="383"/>
        <w:spacing w:after="0" w:line="263" w:lineRule="auto"/>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5"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57"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89" w:lineRule="exact"/>
        <w:rPr>
          <w:sz w:val="20"/>
          <w:szCs w:val="20"/>
          <w:color w:val="auto"/>
        </w:rPr>
      </w:pPr>
    </w:p>
    <w:p>
      <w:pPr>
        <w:jc w:val="both"/>
        <w:ind w:right="600" w:firstLine="374"/>
        <w:spacing w:after="0" w:line="341"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57"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$1.235 billion; (iii) the date on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2"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4"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3" w:name="page84"/>
    <w:bookmarkEnd w:id="83"/>
    <w:p>
      <w:pPr>
        <w:ind w:right="40"/>
        <w:spacing w:after="0" w:line="286" w:lineRule="auto"/>
        <w:rPr>
          <w:sz w:val="20"/>
          <w:szCs w:val="20"/>
          <w:color w:val="auto"/>
        </w:rPr>
      </w:pPr>
      <w:r>
        <w:rPr>
          <w:rFonts w:ascii="Arial" w:cs="Arial" w:eastAsia="Arial" w:hAnsi="Arial"/>
          <w:sz w:val="17"/>
          <w:szCs w:val="17"/>
          <w:color w:val="auto"/>
        </w:rPr>
        <w:t>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7"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7"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5"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5" w:lineRule="exact"/>
        <w:rPr>
          <w:sz w:val="20"/>
          <w:szCs w:val="20"/>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5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43" w:lineRule="exact"/>
        <w:rPr>
          <w:rFonts w:ascii="Arial" w:cs="Arial" w:eastAsia="Arial" w:hAnsi="Arial"/>
          <w:sz w:val="18"/>
          <w:szCs w:val="18"/>
          <w:color w:val="auto"/>
        </w:rPr>
      </w:pPr>
    </w:p>
    <w:p>
      <w:pPr>
        <w:ind w:left="1140" w:right="700" w:hanging="383"/>
        <w:spacing w:after="0" w:line="277"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57"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4"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115" w:lineRule="exact"/>
        <w:rPr>
          <w:sz w:val="20"/>
          <w:szCs w:val="20"/>
          <w:color w:val="auto"/>
        </w:rPr>
      </w:pPr>
    </w:p>
    <w:p>
      <w:pPr>
        <w:ind w:left="1140" w:hanging="383"/>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DGCL, our amended and restated certificate of incorporation or our bylaws; and</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44"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07"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5" w:name="page86"/>
    <w:bookmarkEnd w:id="85"/>
    <w:p>
      <w:pPr>
        <w:ind w:right="60" w:firstLine="374"/>
        <w:spacing w:after="0" w:line="277" w:lineRule="auto"/>
        <w:rPr>
          <w:sz w:val="20"/>
          <w:szCs w:val="20"/>
          <w:color w:val="auto"/>
        </w:rPr>
      </w:pPr>
      <w:r>
        <w:rPr>
          <w:rFonts w:ascii="Arial" w:cs="Arial" w:eastAsia="Arial" w:hAnsi="Arial"/>
          <w:sz w:val="18"/>
          <w:szCs w:val="18"/>
          <w:color w:val="auto"/>
        </w:rPr>
        <w:t>This Delaware forum provision does not apply to actions arising under the Securities Exchange Act of 1934 because the federal courts have exclusive jurisdiction over such claims.</w:t>
      </w:r>
    </w:p>
    <w:p>
      <w:pPr>
        <w:spacing w:after="0" w:line="102"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are authorized to issue and designate shares of our preferred stock in additional series without stockholder approval.</w:t>
      </w:r>
    </w:p>
    <w:p>
      <w:pPr>
        <w:spacing w:after="0" w:line="14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80" w:firstLine="374"/>
        <w:spacing w:after="0" w:line="268"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capitalize and amortize them over five or fifteen years pursuant to 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will become effective beginning in fiscal year 2024. We do not currently expect that the IRA will have a material impact on our income tax liability.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6" w:name="page87"/>
    <w:bookmarkEnd w:id="86"/>
    <w:p>
      <w:pPr>
        <w:ind w:right="440"/>
        <w:spacing w:after="0" w:line="277" w:lineRule="auto"/>
        <w:rPr>
          <w:sz w:val="20"/>
          <w:szCs w:val="20"/>
          <w:color w:val="auto"/>
        </w:rPr>
      </w:pPr>
      <w:r>
        <w:rPr>
          <w:rFonts w:ascii="Arial" w:cs="Arial" w:eastAsia="Arial" w:hAnsi="Arial"/>
          <w:sz w:val="18"/>
          <w:szCs w:val="18"/>
          <w:color w:val="auto"/>
        </w:rPr>
        <w:t>future have difficulty attracting experienced personnel to our company and may be required to expend significant financial resources in our employee recruitment and retention efforts.</w:t>
      </w:r>
    </w:p>
    <w:p>
      <w:pPr>
        <w:spacing w:after="0" w:line="102"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 or incidents.</w:t>
      </w:r>
    </w:p>
    <w:p>
      <w:pPr>
        <w:spacing w:after="0" w:line="11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Our computer systems, as well as those of our contractors and consultants, are vulnerable to damage from computer viruses, ransomware and other malicious code,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115"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technical vulnerabilities, employee error, malfeasance or other disruptions. Although, to our knowledge, we have not experienced such material security breach to date ,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 our third-party service providers)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331"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or our third-party providers have implemented will be sufficient to prevent data-security related incidents from occurring.</w:t>
      </w:r>
    </w:p>
    <w:p>
      <w:pPr>
        <w:spacing w:after="0" w:line="84"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7" w:name="page88"/>
    <w:bookmarkEnd w:id="87"/>
    <w:p>
      <w:pPr>
        <w:ind w:right="160"/>
        <w:spacing w:after="0" w:line="277" w:lineRule="auto"/>
        <w:rPr>
          <w:sz w:val="20"/>
          <w:szCs w:val="20"/>
          <w:color w:val="auto"/>
        </w:rPr>
      </w:pPr>
      <w:r>
        <w:rPr>
          <w:rFonts w:ascii="Arial" w:cs="Arial" w:eastAsia="Arial" w:hAnsi="Arial"/>
          <w:sz w:val="18"/>
          <w:szCs w:val="18"/>
          <w:color w:val="auto"/>
        </w:rPr>
        <w:t>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17"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Global economic, political and market conditions, including those related to the COVID-19 pandemic, conflicts in Eastern Europe, and general economic downturns,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8" w:name="page89"/>
    <w:bookmarkEnd w:id="88"/>
    <w:p>
      <w:pPr>
        <w:ind w:right="40" w:firstLine="374"/>
        <w:spacing w:after="0" w:line="288" w:lineRule="auto"/>
        <w:rPr>
          <w:sz w:val="20"/>
          <w:szCs w:val="20"/>
          <w:color w:val="auto"/>
        </w:rPr>
      </w:pPr>
      <w:r>
        <w:rPr>
          <w:rFonts w:ascii="Arial" w:cs="Arial" w:eastAsia="Arial" w:hAnsi="Arial"/>
          <w:sz w:val="16"/>
          <w:szCs w:val="16"/>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6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are subject to risks related to public health crises such as the global pandemic associated with COVID-19. The COVID-19 outbreak has negatively impacted and may continue to negatively impact our operations and revenues and overall financial condition by decreasing the number of our RxSight systems sold.</w:t>
      </w:r>
    </w:p>
    <w:p>
      <w:pPr>
        <w:spacing w:after="0" w:line="102"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The expansion of global lead times related to the COVID-19 pandemic,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95"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currently lease four facilities housing our headquarters, manufacturing, research and development and administrative offices in Aliso Viejo, California. The facility leases are for approximately 121,000 square feet in the aggregate. The leases terminate, respectively, on (i) September 30, 2024, with one option to extend for five years; (ii) January 31, 2026, with three options to extend for five years each; (iii) March 31, 2023 with two options to extend for five years each; and (iv) August 31, 2024, with one option to extend for five years. We believe that our facilities are adequate to meet our current needs.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From time to time, we may become involved in litigation or other legal proceedings. Except as indicated above,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90" w:name="page91"/>
    <w:bookmarkEnd w:id="90"/>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32" w:lineRule="exact"/>
        <w:rPr>
          <w:sz w:val="20"/>
          <w:szCs w:val="20"/>
          <w:color w:val="auto"/>
        </w:rPr>
      </w:pPr>
    </w:p>
    <w:p>
      <w:pPr>
        <w:ind w:right="188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holders</w:t>
      </w:r>
    </w:p>
    <w:p>
      <w:pPr>
        <w:ind w:right="260" w:firstLine="374"/>
        <w:spacing w:after="0" w:line="277" w:lineRule="auto"/>
        <w:rPr>
          <w:sz w:val="20"/>
          <w:szCs w:val="20"/>
          <w:color w:val="auto"/>
        </w:rPr>
      </w:pPr>
      <w:r>
        <w:rPr>
          <w:rFonts w:ascii="Arial" w:cs="Arial" w:eastAsia="Arial" w:hAnsi="Arial"/>
          <w:sz w:val="18"/>
          <w:szCs w:val="18"/>
          <w:color w:val="auto"/>
        </w:rPr>
        <w:t>Our common stock has been publicly traded on the Nasdaq Global Market under the symbol “RXST” since July 30, 2021. Prior to that time, there was no public market for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As of February 15, 2023, there were approximately 221 registered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Our Amended Term Loan restricts our ability to pay dividends.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in Part I, Item 1A and elsewhere in this Annual Report on Form 10-K. See “Special Note Regarding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0" w:firstLine="374"/>
        <w:spacing w:after="0" w:line="245" w:lineRule="auto"/>
        <w:rPr>
          <w:sz w:val="20"/>
          <w:szCs w:val="20"/>
          <w:color w:val="auto"/>
        </w:rPr>
      </w:pPr>
      <w:r>
        <w:rPr>
          <w:rFonts w:ascii="Arial" w:cs="Arial" w:eastAsia="Arial" w:hAnsi="Arial"/>
          <w:sz w:val="17"/>
          <w:szCs w:val="17"/>
          <w:color w:val="auto"/>
        </w:rPr>
        <w:t>We are a commercial-stage medical technology company dedicated to providing high quality customized vision to patients following cataract surgery. Our proprietary RxSight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(“LAL”</w:t>
      </w:r>
      <w:r>
        <w:rPr>
          <w:rFonts w:ascii="Arial" w:cs="Arial" w:eastAsia="Arial" w:hAnsi="Arial"/>
          <w:sz w:val="23"/>
          <w:szCs w:val="23"/>
          <w:color w:val="auto"/>
          <w:vertAlign w:val="superscript"/>
        </w:rPr>
        <w:t>®</w:t>
      </w:r>
      <w:r>
        <w:rPr>
          <w:rFonts w:ascii="Arial" w:cs="Arial" w:eastAsia="Arial" w:hAnsi="Arial"/>
          <w:sz w:val="17"/>
          <w:szCs w:val="17"/>
          <w:color w:val="auto"/>
        </w:rPr>
        <w:t>), RxSight Light Delivery Device (“LDD”™) and accessories. Our LAL is a premium intraocular lens (“IOL”) made of proprietary photosensitive material that changes shape in response to specific patterns of ultraviolet (“UV”) light generated by our LDD.</w:t>
      </w:r>
    </w:p>
    <w:p>
      <w:pPr>
        <w:spacing w:after="0" w:line="88"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spacing w:after="0" w:line="83"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83"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such as Asia.</w:t>
      </w:r>
    </w:p>
    <w:p>
      <w:pPr>
        <w:spacing w:after="0" w:line="55" w:lineRule="exact"/>
        <w:rPr>
          <w:sz w:val="20"/>
          <w:szCs w:val="20"/>
          <w:color w:val="auto"/>
        </w:rPr>
      </w:pPr>
    </w:p>
    <w:p>
      <w:pPr>
        <w:ind w:right="140" w:firstLine="374"/>
        <w:spacing w:after="0" w:line="307" w:lineRule="auto"/>
        <w:rPr>
          <w:sz w:val="20"/>
          <w:szCs w:val="20"/>
          <w:color w:val="auto"/>
        </w:rPr>
      </w:pPr>
      <w:r>
        <w:rPr>
          <w:rFonts w:ascii="Arial" w:cs="Arial" w:eastAsia="Arial" w:hAnsi="Arial"/>
          <w:sz w:val="17"/>
          <w:szCs w:val="17"/>
          <w:color w:val="auto"/>
        </w:rPr>
        <w:t>We are a Delaware corporation headquartered in Aliso Viejo, California with one wholly owned subsidiary located in Amsterdam, Netherlands. The wholly owned subsidiary has a registered branch in the United Kingdom and a wholly owned subsidiary located in Germany.</w:t>
      </w:r>
    </w:p>
    <w:p>
      <w:pPr>
        <w:spacing w:after="0" w:line="3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3,000 U.S. cataract surgeons that perform 70%-80% of all premium IOL procedures. As of December 31, 2022, we had established an installed base of 400 LDDs in ophthalmology practices and, since our inception though December 31, 2022, surgeons have implanted over 42,000 LALs.</w:t>
      </w:r>
    </w:p>
    <w:p>
      <w:pPr>
        <w:spacing w:after="0" w:line="83" w:lineRule="exact"/>
        <w:rPr>
          <w:sz w:val="20"/>
          <w:szCs w:val="20"/>
          <w:color w:val="auto"/>
        </w:rPr>
      </w:pPr>
    </w:p>
    <w:p>
      <w:pPr>
        <w:ind w:right="180" w:firstLine="374"/>
        <w:spacing w:after="0" w:line="256" w:lineRule="auto"/>
        <w:rPr>
          <w:sz w:val="20"/>
          <w:szCs w:val="20"/>
          <w:color w:val="auto"/>
        </w:rPr>
      </w:pPr>
      <w:r>
        <w:rPr>
          <w:rFonts w:ascii="Arial" w:cs="Arial" w:eastAsia="Arial" w:hAnsi="Arial"/>
          <w:sz w:val="18"/>
          <w:szCs w:val="18"/>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2" w:name="page93"/>
    <w:bookmarkEnd w:id="92"/>
    <w:p>
      <w:pPr>
        <w:ind w:right="80"/>
        <w:spacing w:after="0" w:line="286" w:lineRule="auto"/>
        <w:rPr>
          <w:sz w:val="20"/>
          <w:szCs w:val="20"/>
          <w:color w:val="auto"/>
        </w:rPr>
      </w:pPr>
      <w:r>
        <w:rPr>
          <w:rFonts w:ascii="Arial" w:cs="Arial" w:eastAsia="Arial" w:hAnsi="Arial"/>
          <w:sz w:val="17"/>
          <w:szCs w:val="17"/>
          <w:color w:val="auto"/>
        </w:rPr>
        <w:t>utilization of our LAL through heightened awareness of the superior clinical outcomes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97"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82"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net losses and negative cash flows from operations in the future.</w:t>
      </w:r>
    </w:p>
    <w:p>
      <w:pPr>
        <w:spacing w:after="0" w:line="115" w:lineRule="exact"/>
        <w:rPr>
          <w:sz w:val="20"/>
          <w:szCs w:val="20"/>
          <w:color w:val="auto"/>
        </w:rPr>
      </w:pPr>
    </w:p>
    <w:p>
      <w:pPr>
        <w:ind w:right="120" w:firstLine="374"/>
        <w:spacing w:after="0" w:line="291" w:lineRule="auto"/>
        <w:rPr>
          <w:sz w:val="20"/>
          <w:szCs w:val="20"/>
          <w:color w:val="auto"/>
        </w:rPr>
      </w:pPr>
      <w:r>
        <w:rPr>
          <w:rFonts w:ascii="Arial" w:cs="Arial" w:eastAsia="Arial" w:hAnsi="Arial"/>
          <w:sz w:val="16"/>
          <w:szCs w:val="16"/>
          <w:color w:val="auto"/>
        </w:rPr>
        <w:t>We believe that our existing cash and cash equivalents and short-term investments, will enable us to fund our operating expenses and capital expenditure and meet our term loan covenant requirements for at least the next 12 months from the date of filing of this Annual Report on Form 10-K. Although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access our at-the-market (“ATM”) facility under advantageous circumstances. If we raise additional funds by issuing equity securities, our stockholders may experience dilution.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constraints, inflation and COVID-19 pandemic</w:t>
      </w:r>
    </w:p>
    <w:p>
      <w:pPr>
        <w:spacing w:after="0" w:line="121"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it is necessary to mitigate potential supply chain issues. While we have taken measures to</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right="80"/>
        <w:spacing w:after="0" w:line="275" w:lineRule="auto"/>
        <w:rPr>
          <w:sz w:val="20"/>
          <w:szCs w:val="20"/>
          <w:color w:val="auto"/>
        </w:rPr>
      </w:pPr>
      <w:r>
        <w:rPr>
          <w:rFonts w:ascii="Arial" w:cs="Arial" w:eastAsia="Arial" w:hAnsi="Arial"/>
          <w:sz w:val="17"/>
          <w:szCs w:val="17"/>
          <w:color w:val="auto"/>
        </w:rPr>
        <w:t>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67" w:lineRule="exact"/>
        <w:rPr>
          <w:sz w:val="20"/>
          <w:szCs w:val="20"/>
          <w:color w:val="auto"/>
        </w:rPr>
      </w:pPr>
    </w:p>
    <w:p>
      <w:pPr>
        <w:ind w:right="280" w:firstLine="374"/>
        <w:spacing w:after="0" w:line="341" w:lineRule="auto"/>
        <w:rPr>
          <w:sz w:val="20"/>
          <w:szCs w:val="20"/>
          <w:color w:val="auto"/>
        </w:rPr>
      </w:pPr>
      <w:r>
        <w:rPr>
          <w:rFonts w:ascii="Arial" w:cs="Arial" w:eastAsia="Arial" w:hAnsi="Arial"/>
          <w:sz w:val="16"/>
          <w:szCs w:val="16"/>
          <w:color w:val="auto"/>
        </w:rPr>
        <w:t>Uncertain macroeconomic conditions including recent inflationary pressures and the rise in interest rates have created significant uncertainty in the U.S. economy and capital markets, which is expected to continue in 2023 and beyond and could negatively impact our financial results and liquidity.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spacing w:after="0" w:line="11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2022</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3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6"/>
              </w:rPr>
              <w:t>Q1</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85"/>
              </w:rPr>
              <w:t>Q2</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Q2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4"/>
                <w:szCs w:val="14"/>
                <w:color w:val="auto"/>
              </w:rPr>
            </w:pPr>
          </w:p>
        </w:tc>
      </w:tr>
      <w:tr>
        <w:trPr>
          <w:trHeight w:val="236"/>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LDDs Sold</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0"/>
                <w:szCs w:val="20"/>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Installed Base at End of Period</w:t>
            </w: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246</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294</w:t>
            </w:r>
          </w:p>
        </w:tc>
        <w:tc>
          <w:tcPr>
            <w:tcW w:w="20" w:type="dxa"/>
            <w:vAlign w:val="bottom"/>
            <w:tcBorders>
              <w:bottom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21"/>
                <w:szCs w:val="21"/>
                <w:color w:val="auto"/>
              </w:rPr>
            </w:pPr>
          </w:p>
        </w:tc>
      </w:tr>
    </w:tbl>
    <w:p>
      <w:pPr>
        <w:spacing w:after="0" w:line="138"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4"/>
          <w:szCs w:val="14"/>
          <w:color w:val="auto"/>
        </w:rPr>
      </w:pPr>
      <w:r>
        <w:rPr>
          <w:rFonts w:ascii="Arial" w:cs="Arial" w:eastAsia="Arial" w:hAnsi="Arial"/>
          <w:sz w:val="16"/>
          <w:szCs w:val="16"/>
          <w:color w:val="auto"/>
        </w:rPr>
        <w:t>Reduced by one LDD taken out of installed base in Q2 2022.</w:t>
      </w:r>
    </w:p>
    <w:p>
      <w:pPr>
        <w:spacing w:after="0" w:line="16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We believe the number of LALs sold (reported as implanted in a patient) in each quarter is an important metric indicative of adoption and utilization of our RxSight system.</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1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Q1</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4"/>
                <w:szCs w:val="14"/>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Q1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85"/>
              </w:rPr>
              <w:t>Q2</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Q4</w:t>
            </w:r>
          </w:p>
        </w:tc>
        <w:tc>
          <w:tcPr>
            <w:tcW w:w="320" w:type="dxa"/>
            <w:vAlign w:val="bottom"/>
          </w:tcPr>
          <w:p>
            <w:pPr>
              <w:spacing w:after="0"/>
              <w:rPr>
                <w:sz w:val="14"/>
                <w:szCs w:val="14"/>
                <w:color w:val="auto"/>
              </w:rPr>
            </w:pPr>
          </w:p>
        </w:tc>
      </w:tr>
      <w:tr>
        <w:trPr>
          <w:trHeight w:val="236"/>
        </w:trPr>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LALs Sold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1,825</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320" w:type="dxa"/>
            <w:vAlign w:val="bottom"/>
            <w:shd w:val="clear" w:color="auto" w:fill="CFF0FC"/>
          </w:tcPr>
          <w:p>
            <w:pPr>
              <w:spacing w:after="0"/>
              <w:rPr>
                <w:sz w:val="20"/>
                <w:szCs w:val="20"/>
                <w:color w:val="auto"/>
              </w:rPr>
            </w:pPr>
          </w:p>
        </w:tc>
      </w:tr>
    </w:tbl>
    <w:p>
      <w:pPr>
        <w:spacing w:after="0" w:line="134"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During 2022, we had increased LDD sales of 81 and increased LAL sales of 16,956 when compared to 2021 from strong adoption of our RxSight system by practices and doctors combined with an increased LDD installed base.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Our sales consists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94"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102"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ind w:left="380"/>
        <w:spacing w:after="0"/>
        <w:rPr>
          <w:sz w:val="20"/>
          <w:szCs w:val="20"/>
          <w:color w:val="auto"/>
        </w:rPr>
      </w:pPr>
      <w:r>
        <w:rPr>
          <w:rFonts w:ascii="Arial" w:cs="Arial" w:eastAsia="Arial" w:hAnsi="Arial"/>
          <w:sz w:val="18"/>
          <w:szCs w:val="18"/>
          <w:color w:val="auto"/>
        </w:rPr>
        <w:t>For the year ended December 31, 2022 and 2021, contract liabilities from service agreements with customers consisted of the following: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76"/>
        </w:trPr>
        <w:tc>
          <w:tcPr>
            <w:tcW w:w="60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24"/>
                <w:szCs w:val="24"/>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r>
      <w:tr>
        <w:trPr>
          <w:trHeight w:val="249"/>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during the period</w:t>
            </w:r>
          </w:p>
        </w:tc>
        <w:tc>
          <w:tcPr>
            <w:tcW w:w="6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21"/>
                <w:szCs w:val="2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600" w:type="dxa"/>
            <w:vAlign w:val="bottom"/>
          </w:tcPr>
          <w:p>
            <w:pPr>
              <w:spacing w:after="0"/>
              <w:rPr>
                <w:sz w:val="20"/>
                <w:szCs w:val="20"/>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(1,405 )</w:t>
            </w:r>
          </w:p>
        </w:tc>
        <w:tc>
          <w:tcPr>
            <w:tcW w:w="6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(598 )</w:t>
            </w: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480" w:firstLine="374"/>
        <w:spacing w:after="0" w:line="398" w:lineRule="auto"/>
        <w:rPr>
          <w:sz w:val="20"/>
          <w:szCs w:val="20"/>
          <w:color w:val="auto"/>
        </w:rPr>
      </w:pPr>
      <w:r>
        <w:rPr>
          <w:rFonts w:ascii="Arial" w:cs="Arial" w:eastAsia="Arial" w:hAnsi="Arial"/>
          <w:sz w:val="18"/>
          <w:szCs w:val="18"/>
          <w:color w:val="auto"/>
        </w:rPr>
        <w:t xml:space="preserve">For the year ended December 31, 2022 and 2021 we had no customers who individually accounted for more than 10% of revenue. </w:t>
      </w:r>
      <w:r>
        <w:rPr>
          <w:rFonts w:ascii="Arial" w:cs="Arial" w:eastAsia="Arial" w:hAnsi="Arial"/>
          <w:sz w:val="18"/>
          <w:szCs w:val="18"/>
          <w:b w:val="1"/>
          <w:bCs w:val="1"/>
          <w:i w:val="1"/>
          <w:iCs w:val="1"/>
          <w:color w:val="auto"/>
        </w:rPr>
        <w:t>Cost of sales</w:t>
      </w:r>
    </w:p>
    <w:p>
      <w:pPr>
        <w:spacing w:after="0" w:line="1"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107"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104"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7"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7"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95" w:name="page96"/>
    <w:bookmarkEnd w:id="95"/>
    <w:p>
      <w:pPr>
        <w:ind w:right="420"/>
        <w:spacing w:after="0" w:line="277" w:lineRule="auto"/>
        <w:rPr>
          <w:sz w:val="20"/>
          <w:szCs w:val="20"/>
          <w:color w:val="auto"/>
        </w:rPr>
      </w:pPr>
      <w:r>
        <w:rPr>
          <w:rFonts w:ascii="Arial" w:cs="Arial" w:eastAsia="Arial" w:hAnsi="Arial"/>
          <w:sz w:val="18"/>
          <w:szCs w:val="18"/>
          <w:color w:val="auto"/>
        </w:rPr>
        <w:t>expenses as a percentage of revenue to vary over time depending on the level and timing of our new product development efforts, as well as our clinical development, clinical trials and registries and other related activities.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57" w:lineRule="exact"/>
        <w:rPr>
          <w:sz w:val="20"/>
          <w:szCs w:val="20"/>
          <w:color w:val="auto"/>
        </w:rPr>
      </w:pPr>
    </w:p>
    <w:p>
      <w:pPr>
        <w:ind w:right="260" w:firstLine="374"/>
        <w:spacing w:after="0" w:line="311" w:lineRule="auto"/>
        <w:rPr>
          <w:sz w:val="20"/>
          <w:szCs w:val="20"/>
          <w:color w:val="auto"/>
        </w:rPr>
      </w:pPr>
      <w:r>
        <w:rPr>
          <w:rFonts w:ascii="Arial" w:cs="Arial" w:eastAsia="Arial" w:hAnsi="Arial"/>
          <w:sz w:val="16"/>
          <w:szCs w:val="16"/>
          <w:color w:val="auto"/>
        </w:rPr>
        <w:t>Change in fair value of warrants consists of gains and losses resulting from the remeasurement of the fair value of our preferred stock warrant liabilities at each balance sheet date. We continued to record adjustments to the estimated fair value of the preferred stock warrants until the conversion of the underlying convertible preferred stock into common stock which occurred immediately prior to the completion of our IPO in July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40" w:firstLine="374"/>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net consists primarily of interest income earned on our cash and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320" w:firstLine="374"/>
        <w:spacing w:after="0" w:line="286" w:lineRule="auto"/>
        <w:rPr>
          <w:sz w:val="20"/>
          <w:szCs w:val="20"/>
          <w:color w:val="auto"/>
        </w:rPr>
      </w:pPr>
      <w:r>
        <w:rPr>
          <w:rFonts w:ascii="Arial" w:cs="Arial" w:eastAsia="Arial" w:hAnsi="Arial"/>
          <w:sz w:val="17"/>
          <w:szCs w:val="17"/>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right="660" w:firstLine="374"/>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2022 and 2021, together with the dollar increase or decrease and percentage change in those items: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w w:val="99"/>
              </w:rPr>
              <w:t>Year-Ended December 31,</w:t>
            </w:r>
          </w:p>
        </w:tc>
        <w:tc>
          <w:tcPr>
            <w:tcW w:w="340" w:type="dxa"/>
            <w:vAlign w:val="bottom"/>
          </w:tcPr>
          <w:p>
            <w:pPr>
              <w:spacing w:after="0"/>
              <w:rPr>
                <w:sz w:val="20"/>
                <w:szCs w:val="20"/>
                <w:color w:val="auto"/>
              </w:rPr>
            </w:pPr>
          </w:p>
        </w:tc>
        <w:tc>
          <w:tcPr>
            <w:tcW w:w="1640" w:type="dxa"/>
            <w:vAlign w:val="bottom"/>
            <w:gridSpan w:val="4"/>
          </w:tcPr>
          <w:p>
            <w:pPr>
              <w:ind w:left="88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4780" w:type="dxa"/>
            <w:vAlign w:val="bottom"/>
          </w:tcPr>
          <w:p>
            <w:pPr>
              <w:ind w:left="20"/>
              <w:spacing w:after="0"/>
              <w:rPr>
                <w:sz w:val="20"/>
                <w:szCs w:val="20"/>
                <w:color w:val="auto"/>
              </w:rPr>
            </w:pPr>
            <w:r>
              <w:rPr>
                <w:rFonts w:ascii="Arial" w:cs="Arial" w:eastAsia="Arial" w:hAnsi="Arial"/>
                <w:sz w:val="18"/>
                <w:szCs w:val="18"/>
                <w:color w:val="auto"/>
              </w:rPr>
              <w:t>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49,005</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22,593</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49"/>
        </w:trPr>
        <w:tc>
          <w:tcPr>
            <w:tcW w:w="4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27,677</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8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24,499</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47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0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auto"/>
            </w:tcBorders>
            <w:shd w:val="clear" w:color="auto" w:fill="CFF0FC"/>
          </w:tcPr>
          <w:p>
            <w:pPr>
              <w:spacing w:after="0"/>
              <w:rPr>
                <w:sz w:val="19"/>
                <w:szCs w:val="19"/>
                <w:color w:val="auto"/>
              </w:rPr>
            </w:pPr>
          </w:p>
        </w:tc>
        <w:tc>
          <w:tcPr>
            <w:tcW w:w="1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(63,318 )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(52,787 )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(10,531 )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19.9 %</w:t>
            </w: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80" w:type="dxa"/>
            <w:vAlign w:val="bottom"/>
          </w:tcPr>
          <w:p>
            <w:pPr>
              <w:ind w:left="200"/>
              <w:spacing w:after="0"/>
              <w:rPr>
                <w:sz w:val="20"/>
                <w:szCs w:val="20"/>
                <w:color w:val="auto"/>
              </w:rPr>
            </w:pPr>
            <w:r>
              <w:rPr>
                <w:rFonts w:ascii="Arial" w:cs="Arial" w:eastAsia="Arial" w:hAnsi="Arial"/>
                <w:sz w:val="18"/>
                <w:szCs w:val="18"/>
                <w:color w:val="auto"/>
              </w:rPr>
              <w:t>Change in fair value of warrants</w:t>
            </w:r>
          </w:p>
        </w:tc>
        <w:tc>
          <w:tcPr>
            <w:tcW w:w="320" w:type="dxa"/>
            <w:vAlign w:val="bottom"/>
          </w:tcPr>
          <w:p>
            <w:pPr>
              <w:spacing w:after="0"/>
              <w:rPr>
                <w:sz w:val="20"/>
                <w:szCs w:val="20"/>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(2,717 )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Expiration of warrant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(5,018 )</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r>
      <w:tr>
        <w:trPr>
          <w:trHeight w:val="236"/>
        </w:trPr>
        <w:tc>
          <w:tcPr>
            <w:tcW w:w="4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(4,946 )</w:t>
            </w:r>
          </w:p>
        </w:tc>
        <w:tc>
          <w:tcPr>
            <w:tcW w:w="30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(3,682 )</w:t>
            </w: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and other income</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80" w:type="dxa"/>
            <w:vAlign w:val="bottom"/>
          </w:tcPr>
          <w:p>
            <w:pPr>
              <w:ind w:left="200"/>
              <w:spacing w:after="0"/>
              <w:rPr>
                <w:sz w:val="20"/>
                <w:szCs w:val="20"/>
                <w:color w:val="auto"/>
              </w:rPr>
            </w:pPr>
            <w:r>
              <w:rPr>
                <w:rFonts w:ascii="Arial" w:cs="Arial" w:eastAsia="Arial" w:hAnsi="Arial"/>
                <w:sz w:val="18"/>
                <w:szCs w:val="18"/>
                <w:color w:val="auto"/>
              </w:rPr>
              <w:t>Total other (expense) income , net:</w:t>
            </w:r>
          </w:p>
        </w:tc>
        <w:tc>
          <w:tcPr>
            <w:tcW w:w="3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(3,429 )</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(7,536 )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xml:space="preserve">(183.5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42"/>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(66,747</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(66,756</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(48,688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49"/>
        </w:trPr>
        <w:tc>
          <w:tcPr>
            <w:tcW w:w="47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short-term investments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(66 )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(7 )</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80" w:type="dxa"/>
            <w:vAlign w:val="bottom"/>
          </w:tcPr>
          <w:p>
            <w:pPr>
              <w:ind w:left="200"/>
              <w:spacing w:after="0"/>
              <w:rPr>
                <w:sz w:val="20"/>
                <w:szCs w:val="20"/>
                <w:color w:val="auto"/>
              </w:rPr>
            </w:pPr>
            <w:r>
              <w:rPr>
                <w:rFonts w:ascii="Arial" w:cs="Arial" w:eastAsia="Arial" w:hAnsi="Arial"/>
                <w:sz w:val="18"/>
                <w:szCs w:val="18"/>
                <w:color w:val="auto"/>
              </w:rPr>
              <w:t>Foreign currency translation loss</w:t>
            </w:r>
          </w:p>
        </w:tc>
        <w:tc>
          <w:tcPr>
            <w:tcW w:w="3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(9 )</w:t>
            </w:r>
          </w:p>
        </w:tc>
        <w:tc>
          <w:tcPr>
            <w:tcW w:w="30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(10 )</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r>
      <w:tr>
        <w:trPr>
          <w:trHeight w:val="236"/>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(66,831 )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(48,705 )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(18,126 )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color w:val="auto"/>
                <w:highlight w:val="white"/>
              </w:rPr>
              <w:t>%</w:t>
            </w: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6"/>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-3929380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-3612515</wp:posOffset>
            </wp:positionV>
            <wp:extent cx="7132320" cy="316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-2816225</wp:posOffset>
            </wp:positionV>
            <wp:extent cx="7683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-2991485</wp:posOffset>
            </wp:positionV>
            <wp:extent cx="2162175" cy="3378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62175" cy="33782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-1883410</wp:posOffset>
            </wp:positionV>
            <wp:extent cx="7683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-1883410</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-1883410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-1395095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-615950</wp:posOffset>
            </wp:positionV>
            <wp:extent cx="768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-615950</wp:posOffset>
            </wp:positionV>
            <wp:extent cx="768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-615950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89"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Sales increased by $26.4 million, or 116.9%, to $49.0 million for the year ended December 31, 2022 from $22.6 million for the year ended December 31, 2021. The increase in sales was due to sales in 2022 of 81 more LDDs and 16,956 more LALs as compared to 2021, from the growth in our installed base of LDDs and increased adoption of our LAL by doctors and patients.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40" w:firstLine="374"/>
        <w:spacing w:after="0" w:line="256" w:lineRule="auto"/>
        <w:rPr>
          <w:sz w:val="20"/>
          <w:szCs w:val="20"/>
          <w:color w:val="auto"/>
        </w:rPr>
      </w:pPr>
      <w:r>
        <w:rPr>
          <w:rFonts w:ascii="Arial" w:cs="Arial" w:eastAsia="Arial" w:hAnsi="Arial"/>
          <w:sz w:val="18"/>
          <w:szCs w:val="18"/>
          <w:color w:val="auto"/>
        </w:rPr>
        <w:t>Cost of sales increased by $9.6 million, or 53.1%, to $27.7 million for the year ended December 31, 2022 from $18.1 million for the year ended December 31, 2021, primarily due to the increase in the number of LALs and LDDs sold during the period. Gross margin increased to 43.5% in the year ended December 31, 2022 from 20.0% in 2021 due to the increased revenue from higher margin LALs from 34% of sales in 2021 to 56% of sales in 2022 and by the recording of a $2.4 million reserve primarily for excess LAL inventory as a result of the introduction of an updated LAL with ActivShield technology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Selling, general and administrative expenses increased by $25.9 million, or 78.8%, to $58.7 million for the year ended December 31, 2022, from $32.8 million for the year ended December 31, 2021. This increase was primarily attributable to an increase in selling and marketing personnel costs of $15.1 million due mainly to additional headcount, $2.4 million in post market study costs as well as increased travel costs of $2.3 million, due to increased LDD sales, and increased trade show costs of $1.1 million when compared to the year ended December 31, 2021. General and administrative expenses increased by $4.9 million primarily due to an additional $3.6 million from increased personnel costs and increased stock-based compensation as well as $1.7 million of increased costs related to operating as a public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Research and development expenses increased by $1.5 million to $26.0 million for the year ended December 31, 2022 from $24.5 million for the year ended December 31, 2021, an increase of 6.0%. This increase was primarily attributable to $1.9 million in increased clinical study costs and $0.9 million in increased personnel costs which were partially offset by $1.2 million reduced material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Other income, net, decreased by $7.5 million to expense of $3.4 million for the year ended December 31, 2022 from income of $4.1 million for the year ended December 31, 2021, due primarily to a favorable change in fair value of warrant liabilities of $2.7 million, gain on expiration of warrant of $5.0 million for the year ended December 31, 2021 and increased interest expense of $1.3 million in 2022, primarily due to rising interest rates on our amended term loan. The increase in other expense was partially offset by an increase in interest income of $1.5 million in 2022 from higher interest rates on our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560" w:firstLine="374"/>
        <w:spacing w:after="0" w:line="27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in the future.</w:t>
      </w:r>
    </w:p>
    <w:p>
      <w:pPr>
        <w:spacing w:after="0" w:line="102"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As of December 31, 2022, we had cash and cash equivalents of $105.8 million, short-term investments of $94.0 million, long-term debt of $40.2 million and accumulated deficit of $546.0 million. For the years ended December 31, 2022 and 2021, our net losses from operations were $63.3 and $52.8 million, respectively. We generated sales of $49.0 million and had a net loss of $66.8 million for the year ended December 31, 2022, compared to sales of $22.6 million and net income of $48.7 million for the year ended December 31, 2021.</w:t>
      </w:r>
    </w:p>
    <w:p>
      <w:pPr>
        <w:spacing w:after="0" w:line="77" w:lineRule="exact"/>
        <w:rPr>
          <w:sz w:val="20"/>
          <w:szCs w:val="20"/>
          <w:color w:val="auto"/>
        </w:rPr>
      </w:pPr>
    </w:p>
    <w:p>
      <w:pPr>
        <w:jc w:val="both"/>
        <w:ind w:right="40" w:firstLine="374"/>
        <w:spacing w:after="0" w:line="277" w:lineRule="auto"/>
        <w:rPr>
          <w:sz w:val="20"/>
          <w:szCs w:val="20"/>
          <w:color w:val="auto"/>
        </w:rPr>
      </w:pPr>
      <w:r>
        <w:rPr>
          <w:rFonts w:ascii="Arial" w:cs="Arial" w:eastAsia="Arial" w:hAnsi="Arial"/>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102"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7"/>
          <w:szCs w:val="17"/>
          <w:color w:val="auto"/>
        </w:rPr>
        <w:t>On July 29, 2021, we completed our IPO, which resulted in the issuance and sale of 8,248,549 shares of common stock, including 898,549 shares sold pursuant to the exercise of the underwriters’ over-allotment option at the IPO price of $16.00 per share. We received net proceeds of approximately $119.6 million from the IPO, after deducting underwriters’ discounts and commissions of $9.2 million and offering costs of $3.2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Term Loan</w:t>
      </w:r>
    </w:p>
    <w:p>
      <w:pPr>
        <w:spacing w:after="0" w:line="148"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On May 3, 2022, we entered into a Second Amendment to the Term Loan (as amended through the Second Amendment, (the “Amended Term Loan”). The Amended Term Loan increased the loan and security agreement to $60.0 million, of which $40.0 million was fully funded as of May 3, 2022 from the original term loan. Under the Amended Term Loan, we may borrow an additional amount of up to $10.0 million through June 30, 2023, upon satisfaction of the applicable drawdown conditions and achievement of sufficient trailing twelve-month sales as provided in the agreement for the measurement period ending March 31, 2023. Subject to the terms and conditions of the Amended Term Loan, we may also borrow an additional amount of up to $10.0 million through September 30, 2023, upon satisfaction of the applicable drawdown conditions and achievement of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See Note 8 - Term Loan in the Notes to the consolidated financial statements included in this annual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Standby letter of credit</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have a standby letter of credit, expiring September 30, 2024, issued by a financial institution as a required security for one operating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$0.3 million as of December 31, 2022 and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61" w:lineRule="exact"/>
        <w:rPr>
          <w:sz w:val="20"/>
          <w:szCs w:val="20"/>
          <w:color w:val="auto"/>
        </w:rPr>
      </w:pPr>
    </w:p>
    <w:p>
      <w:pPr>
        <w:ind w:right="140" w:firstLine="374"/>
        <w:spacing w:after="0" w:line="291" w:lineRule="auto"/>
        <w:rPr>
          <w:sz w:val="20"/>
          <w:szCs w:val="20"/>
          <w:color w:val="auto"/>
        </w:rPr>
      </w:pPr>
      <w:r>
        <w:rPr>
          <w:rFonts w:ascii="Arial" w:cs="Arial" w:eastAsia="Arial" w:hAnsi="Arial"/>
          <w:sz w:val="16"/>
          <w:szCs w:val="16"/>
          <w:color w:val="auto"/>
        </w:rPr>
        <w:t>On August 8, 2022, we filed a $200.0 million shelf registration statement which became effective on August 12, 2022. The shelf registration is effective for three years and permits us to sell, from time to time, up to $200.0 million in aggregate value of our common stock, preferred stock, debt securities, warrants, and/or units. The shelf registration statement was intended to provide us with flexibility to access additional capital when market conditions are appropriate. Included in the $200.0 million shelf registration statement, we also filed a prospectus supplement to sell up to an aggregate value of $50.0 million dollars of our common stock through an ATM offering. The ATM shares were offered through BofA Securities, Inc. as sales agent. As of the date of this Annual Report on Form 10-K, a total of 1,355,216 shares of common stock, for total net proceeds of $17.1 million, have been issued and sold through the ATM offering, of which 879,341 shares of common stock, for net proceeds of $11.1 million, were sold in January 2023.</w:t>
      </w:r>
    </w:p>
    <w:p>
      <w:pPr>
        <w:spacing w:after="0" w:line="97"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On February 7, 2023, we entered into an underwriting agreement with BofA Securities, Inc., which the we agreed to issue and sell 4,000,000 shares of our common stock in a Public Offering, pursuant to our shelf registration statement, which was declared effective on August 12, 2022.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 We received net proceeds of approximately $53.7 million from the Public Offering, after deducting underwriters' discounts and commissions of $3.5 million and offering expenses of $0.3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57" w:lineRule="exact"/>
        <w:rPr>
          <w:sz w:val="20"/>
          <w:szCs w:val="20"/>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16" w:lineRule="exact"/>
        <w:rPr>
          <w:rFonts w:ascii="Arial" w:cs="Arial" w:eastAsia="Arial" w:hAnsi="Arial"/>
          <w:sz w:val="18"/>
          <w:szCs w:val="18"/>
          <w:color w:val="auto"/>
        </w:rPr>
      </w:pPr>
    </w:p>
    <w:p>
      <w:pPr>
        <w:ind w:left="5540" w:right="3540" w:hanging="5024"/>
        <w:spacing w:after="0" w:line="402" w:lineRule="auto"/>
        <w:tabs>
          <w:tab w:leader="none" w:pos="10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raise additional funds or borrow on our credit facility to finance our operations;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98" w:name="page99"/>
    <w:bookmarkEnd w:id="98"/>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16" w:lineRule="exact"/>
        <w:rPr>
          <w:rFonts w:ascii="Arial" w:cs="Arial" w:eastAsia="Arial" w:hAnsi="Arial"/>
          <w:sz w:val="18"/>
          <w:szCs w:val="18"/>
          <w:color w:val="auto"/>
        </w:rPr>
      </w:pPr>
    </w:p>
    <w:p>
      <w:pPr>
        <w:ind w:left="1020" w:right="20" w:hanging="504"/>
        <w:spacing w:after="0" w:line="263"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74"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57"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In January 2023, we sold 879,341 common shares through the ATM offering for $11.1 million in net proceeds after deducting underwriting discounts and commissions. In addition, in February of 2023 we sold 4,600,000 common shares in a Public Offering and received net proceeds of approximately $53.7 million, after deducting underwriters' discounts and commissions of $3.5 million and offering expenses of $0.3 million.</w:t>
      </w:r>
    </w:p>
    <w:p>
      <w:pPr>
        <w:spacing w:after="0" w:line="8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We expect that our current cash, cash equivalents and short-term investments and additional capital raised, through the date of filing of this Form 10-K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access our (“ATM”) facility under advantageous circumstances.</w:t>
      </w:r>
    </w:p>
    <w:p>
      <w:pPr>
        <w:spacing w:after="0" w:line="95" w:lineRule="exact"/>
        <w:rPr>
          <w:sz w:val="20"/>
          <w:szCs w:val="20"/>
          <w:color w:val="auto"/>
        </w:rPr>
      </w:pPr>
    </w:p>
    <w:p>
      <w:pPr>
        <w:jc w:val="both"/>
        <w:ind w:right="160" w:firstLine="419"/>
        <w:spacing w:after="0" w:line="263" w:lineRule="auto"/>
        <w:rPr>
          <w:sz w:val="20"/>
          <w:szCs w:val="20"/>
          <w:color w:val="auto"/>
        </w:rPr>
      </w:pPr>
      <w:r>
        <w:rPr>
          <w:rFonts w:ascii="Arial" w:cs="Arial" w:eastAsia="Arial" w:hAnsi="Arial"/>
          <w:sz w:val="18"/>
          <w:szCs w:val="18"/>
          <w:color w:val="auto"/>
        </w:rPr>
        <w:t>See Part I, Item 1A (Risk Factors) of this Annual Report on Form 10-K for additional risks associated with our substantial capital requirements and Note 12 - Leases and Note 15 - Subsequent Events in the Notes to Consolidated Financial Statements included in Part II - Item 8 in this Annual Report on Form 10-K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00" w:type="dxa"/>
            <w:vAlign w:val="bottom"/>
          </w:tcPr>
          <w:p>
            <w:pPr>
              <w:spacing w:after="0"/>
              <w:rPr>
                <w:sz w:val="20"/>
                <w:szCs w:val="20"/>
                <w:color w:val="auto"/>
              </w:rPr>
            </w:pPr>
          </w:p>
        </w:tc>
        <w:tc>
          <w:tcPr>
            <w:tcW w:w="35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(58,850 )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(44,708 )</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(81,907 )</w:t>
            </w:r>
          </w:p>
        </w:tc>
        <w:tc>
          <w:tcPr>
            <w:tcW w:w="0" w:type="dxa"/>
            <w:vAlign w:val="bottom"/>
          </w:tcPr>
          <w:p>
            <w:pPr>
              <w:spacing w:after="0"/>
              <w:rPr>
                <w:sz w:val="1"/>
                <w:szCs w:val="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Effect of foreign exchange rate on cash, cash equivalents</w:t>
            </w:r>
          </w:p>
        </w:tc>
        <w:tc>
          <w:tcPr>
            <w:tcW w:w="1000" w:type="dxa"/>
            <w:vAlign w:val="bottom"/>
            <w:shd w:val="clear" w:color="auto" w:fill="CFF0FC"/>
          </w:tcPr>
          <w:p>
            <w:pPr>
              <w:spacing w:after="0"/>
              <w:rPr>
                <w:sz w:val="19"/>
                <w:szCs w:val="19"/>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(9 )</w:t>
            </w:r>
          </w:p>
        </w:tc>
        <w:tc>
          <w:tcPr>
            <w:tcW w:w="36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restricted cash</w:t>
            </w:r>
          </w:p>
        </w:tc>
        <w:tc>
          <w:tcPr>
            <w:tcW w:w="1000" w:type="dxa"/>
            <w:vAlign w:val="bottom"/>
            <w:shd w:val="clear" w:color="auto" w:fill="CFF0FC"/>
          </w:tcPr>
          <w:p>
            <w:pPr>
              <w:spacing w:after="0"/>
              <w:rPr>
                <w:sz w:val="20"/>
                <w:szCs w:val="20"/>
                <w:color w:val="auto"/>
              </w:rPr>
            </w:pPr>
          </w:p>
        </w:tc>
        <w:tc>
          <w:tcPr>
            <w:tcW w:w="86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(12,577 )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21"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Net cash used in operating activities for the year ended December 31, 2022 was $58.8 million, consisting primarily of a net loss of $66.8 million, a change in operating assets and liabilities of $7.4 million, partially offset by non-cash stock-based compensation of $11.4 million, and depreciation and amortization of $3.9 million.</w:t>
      </w:r>
    </w:p>
    <w:p>
      <w:pPr>
        <w:spacing w:after="0" w:line="10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Net cash used in operating activities for the year ended December 31, 2021 was $44.7 million, consisting primarily of loss from operations of $48.7 million, a non-cash gain on expiration of an unexercised warrant of $5.0 million, an increase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ind w:right="140"/>
        <w:spacing w:after="0" w:line="277" w:lineRule="auto"/>
        <w:rPr>
          <w:sz w:val="20"/>
          <w:szCs w:val="20"/>
          <w:color w:val="auto"/>
        </w:rPr>
      </w:pPr>
      <w:r>
        <w:rPr>
          <w:rFonts w:ascii="Arial" w:cs="Arial" w:eastAsia="Arial" w:hAnsi="Arial"/>
          <w:sz w:val="18"/>
          <w:szCs w:val="18"/>
          <w:color w:val="auto"/>
        </w:rPr>
        <w:t>operating assets and liabilities of $2.7 million, offset by non-cash stock-based compensation of $7.6 million, depreciation and amortization of $4.0 million and the provision for obsolete and excess inventory of $2.4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 investing activities</w:t>
      </w:r>
    </w:p>
    <w:p>
      <w:pPr>
        <w:spacing w:after="0" w:line="161" w:lineRule="exact"/>
        <w:rPr>
          <w:sz w:val="20"/>
          <w:szCs w:val="20"/>
          <w:color w:val="auto"/>
        </w:rPr>
      </w:pPr>
    </w:p>
    <w:p>
      <w:pPr>
        <w:ind w:right="860" w:firstLine="374"/>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2022 was $40.0 million, consisting of net maturity of short-term investments of $42.3 million and purchases of property and equipment of $2.4 million.</w:t>
      </w:r>
    </w:p>
    <w:p>
      <w:pPr>
        <w:spacing w:after="0" w:line="102"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$81.9 million, consisting of net purchases of short-term investments of $160.0 million and purchases of property and equipment of $1.9 million which were partially offset by maturities of short-term investments of $80.0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from financing activities</w:t>
      </w:r>
    </w:p>
    <w:p>
      <w:pPr>
        <w:spacing w:after="0" w:line="16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Net cash from financing activities for the year ended December 31, 2022 was $6.3 million, consisting primarily of net proceeds from our at-the-market offering of $6.0 million and proceeds from stock options exercised and issuance of common stock under the employee stock purchase plan of $1.8 million which were partially offset by payments of employee taxes of $0.6 million and payments for offering costs of $0.6 million in connection with the filing of our shelf registration statement.</w:t>
      </w:r>
    </w:p>
    <w:p>
      <w:pPr>
        <w:spacing w:after="0" w:line="118" w:lineRule="exact"/>
        <w:rPr>
          <w:sz w:val="20"/>
          <w:szCs w:val="20"/>
          <w:color w:val="auto"/>
        </w:rPr>
      </w:pPr>
    </w:p>
    <w:p>
      <w:pPr>
        <w:ind w:right="320" w:firstLine="374"/>
        <w:spacing w:after="0" w:line="307" w:lineRule="auto"/>
        <w:rPr>
          <w:sz w:val="20"/>
          <w:szCs w:val="20"/>
          <w:color w:val="auto"/>
        </w:rPr>
      </w:pPr>
      <w:r>
        <w:rPr>
          <w:rFonts w:ascii="Arial" w:cs="Arial" w:eastAsia="Arial" w:hAnsi="Arial"/>
          <w:sz w:val="17"/>
          <w:szCs w:val="17"/>
          <w:color w:val="auto"/>
        </w:rPr>
        <w:t>Net cash from financing activities for the year ended December 31, 2021 was $137.3 million, consisting primarily of net proceeds from the IPO of $119.6 million, a draw on the Company’s term loan of $15.0 million and proceeds from stock options exercised of $1.6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61"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generally accepted accounting principles in the United States of America, or U.S. GAAP, which requires us to make estimates that affect the reported amounts of assets, liabilities, sales and expenses, and related disclosure of contingent assets and liabilities. Generally, we base our estimates on historical experience and on various other assumptions in accordance with U.S. GAAP, that we believe to be reasonable under the circumstances. Actual results may differ from these estimates and such differences could be material to the financial position and results of operations.</w:t>
      </w:r>
    </w:p>
    <w:p>
      <w:pPr>
        <w:spacing w:after="0" w:line="52"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“S</w:t>
      </w:r>
      <w:r>
        <w:rPr>
          <w:rFonts w:ascii="Arial" w:cs="Arial" w:eastAsia="Arial" w:hAnsi="Arial"/>
          <w:sz w:val="18"/>
          <w:szCs w:val="18"/>
          <w:i w:val="1"/>
          <w:iCs w:val="1"/>
          <w:color w:val="auto"/>
        </w:rPr>
        <w:t>ummary of Accounting Polices</w:t>
      </w:r>
      <w:r>
        <w:rPr>
          <w:rFonts w:ascii="Arial" w:cs="Arial" w:eastAsia="Arial" w:hAnsi="Arial"/>
          <w:sz w:val="18"/>
          <w:szCs w:val="18"/>
          <w:color w:val="auto"/>
        </w:rPr>
        <w:t>” in Note 2 in the Notes to Consolidated Financial Statements included in Part II - Item 8 in this Annual Report on Form 10-K, we believe that the following accounting policies are those most critical to the judgments and estimates used in the preparation of our consolidated financial statements.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Our revenues from sales are generated from the sale of light adjustable intraocular lenses, the LAL, used in cataract surgery along with a specifically designed machine for delivering light to the eye, the Light Delivery Device (“LDD”), to adjust the lens post-surgery, as needed. Revenue from sales is recognized from products sold in the U.S. and Europe. Customers are primarily comprised of ambulatory surgery centers, hospitals, and physician private practices.</w:t>
      </w:r>
    </w:p>
    <w:p>
      <w:pPr>
        <w:spacing w:after="0" w:line="77"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We recognize revenue from sales when promised goods or services are transferred to customers at a transaction price that reflects the consideration to which we expect to be entitled in exchange for those goods and services. Specifically, we apply the following five steps to recognize revenue from sales: (i) identify the contract(s) with a customer; (ii) identify the performance obligations in the contract; (iii) determine the transaction price; (iv) allocate the transaction price to the performance obligations in the contract; and (v) recognize revenue from sales when, or as, we satisfy a performance obligation. We apply the five-step model to contracts when it is probable that it will collect the consideration to which it is entitled in exchange for the goods or services it transfers to the customer. At contract inception, we assess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We recognize revenue from sales as the amount of the transaction price that is allocated to the respective performance obligation when, or as, the performance obligation is satisfied, considering whether or not this occurs at a point in time or over time. We elected to account for shipping costs as fulfillment costs rather than a promised service and exclude from revenue any taxes collected from customers that are remitted to government authorities.</w:t>
      </w:r>
    </w:p>
    <w:p>
      <w:pPr>
        <w:spacing w:after="0" w:line="77"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Our LDD contracts contain multiple performance obligations bundled for one transaction price, with all obligations generally satisfied within one year. For these bundled arrangements, we account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Our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We recognize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We have determined that the transaction price is the invoice price, net of adjustments, if any. The allocation to the separate performance obligations is based upon the relative standalone selling price. Standalone selling prices are based on observable prices at which we separately sell the products or services. We estimate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88"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from sales is recognized for LALs upon customer notification that the LALs have been implanted in a patient. For the year ended December 31, 2022 and 2021, credits related to returns and rebates on list prices were not significant.</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Summary of Accounting Policies—Recent Accounting Pronouncements</w:t>
      </w:r>
      <w:r>
        <w:rPr>
          <w:rFonts w:ascii="Arial" w:cs="Arial" w:eastAsia="Arial" w:hAnsi="Arial"/>
          <w:sz w:val="18"/>
          <w:szCs w:val="18"/>
          <w:color w:val="auto"/>
        </w:rPr>
        <w:t>” in Note 2 to our Consolidated Financial Statements included in Part II - Item 8 in this Annual Report on Form 10-K for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compliance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Annual Report on Form 10-K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73"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JOBS Act permits an “emerging growth company”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77" w:lineRule="exact"/>
        <w:rPr>
          <w:sz w:val="20"/>
          <w:szCs w:val="20"/>
          <w:color w:val="auto"/>
        </w:rPr>
      </w:pPr>
    </w:p>
    <w:p>
      <w:pPr>
        <w:ind w:right="140" w:firstLine="374"/>
        <w:spacing w:after="0" w:line="29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$1.235 billion; (iii) the date on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52"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under this item.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00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80" w:type="dxa"/>
            <w:vAlign w:val="bottom"/>
          </w:tcPr>
          <w:p>
            <w:pPr>
              <w:spacing w:after="0"/>
              <w:rPr>
                <w:sz w:val="20"/>
                <w:szCs w:val="20"/>
                <w:color w:val="auto"/>
              </w:rPr>
            </w:pPr>
          </w:p>
        </w:tc>
      </w:tr>
      <w:tr>
        <w:trPr>
          <w:trHeight w:val="86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gridSpan w:val="6"/>
          </w:tcPr>
          <w:p>
            <w:pPr>
              <w:jc w:val="center"/>
              <w:ind w:right="19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8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(PCAOB ID: 42)</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20" w:type="dxa"/>
            <w:vAlign w:val="bottom"/>
          </w:tcPr>
          <w:p>
            <w:pPr>
              <w:spacing w:after="0"/>
              <w:rPr>
                <w:sz w:val="18"/>
                <w:szCs w:val="18"/>
                <w:color w:val="auto"/>
              </w:rPr>
            </w:pPr>
          </w:p>
        </w:tc>
        <w:tc>
          <w:tcPr>
            <w:tcW w:w="42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Consolidated Balance Sheets</w:t>
            </w:r>
          </w:p>
        </w:tc>
        <w:tc>
          <w:tcPr>
            <w:tcW w:w="1220" w:type="dxa"/>
            <w:vAlign w:val="bottom"/>
            <w:tcBorders>
              <w:top w:val="single" w:sz="8" w:color="0000FF"/>
            </w:tcBorders>
            <w:gridSpan w:val="3"/>
          </w:tcPr>
          <w:p>
            <w:pPr>
              <w:spacing w:after="0"/>
              <w:rPr>
                <w:sz w:val="18"/>
                <w:szCs w:val="18"/>
                <w:color w:val="auto"/>
              </w:rPr>
            </w:pPr>
          </w:p>
        </w:tc>
        <w:tc>
          <w:tcPr>
            <w:tcW w:w="4560" w:type="dxa"/>
            <w:vAlign w:val="bottom"/>
            <w:gridSpan w:val="2"/>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20" w:type="dxa"/>
            <w:vAlign w:val="bottom"/>
            <w:tcBorders>
              <w:bottom w:val="single" w:sz="8" w:color="0000EE"/>
            </w:tcBorders>
          </w:tcPr>
          <w:p>
            <w:pPr>
              <w:spacing w:after="0"/>
              <w:rPr>
                <w:sz w:val="18"/>
                <w:szCs w:val="18"/>
                <w:color w:val="auto"/>
              </w:rPr>
            </w:pPr>
          </w:p>
        </w:tc>
        <w:tc>
          <w:tcPr>
            <w:tcW w:w="5340" w:type="dxa"/>
            <w:vAlign w:val="bottom"/>
            <w:gridSpan w:val="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9"/>
        </w:trPr>
        <w:tc>
          <w:tcPr>
            <w:tcW w:w="20" w:type="dxa"/>
            <w:vAlign w:val="bottom"/>
          </w:tcPr>
          <w:p>
            <w:pPr>
              <w:spacing w:after="0"/>
              <w:rPr>
                <w:sz w:val="18"/>
                <w:szCs w:val="18"/>
                <w:color w:val="auto"/>
              </w:rPr>
            </w:pPr>
          </w:p>
        </w:tc>
        <w:tc>
          <w:tcPr>
            <w:tcW w:w="91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Consolidated Statements of Redeemable Common Stock, Stock Options, Convertible Preferred Stock and Statements of Equity</w:t>
            </w: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9"/>
        </w:trPr>
        <w:tc>
          <w:tcPr>
            <w:tcW w:w="2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573"/>
        </w:trPr>
        <w:tc>
          <w:tcPr>
            <w:tcW w:w="2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6020" w:type="dxa"/>
            <w:vAlign w:val="bottom"/>
            <w:gridSpan w:val="5"/>
          </w:tcPr>
          <w:p>
            <w:pPr>
              <w:jc w:val="right"/>
              <w:ind w:right="3460"/>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RxSight,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RxSight, Inc. (the Company) as of December 31, 2022 and 2021, the related consolidated statements of operations and comprehensive loss, redeemable common stock, stock options, convertible preferred stock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0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top w:val="single" w:sz="8" w:color="auto"/>
            </w:tcBorders>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11,834</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93,968</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134,971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10,956</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14,835</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8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2,962</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134,555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10,138</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3,943</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150,164</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2,595</w:t>
            </w:r>
          </w:p>
        </w:tc>
        <w:tc>
          <w:tcPr>
            <w:tcW w:w="26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12,672</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0"/>
              <w:spacing w:after="0"/>
              <w:rPr>
                <w:sz w:val="20"/>
                <w:szCs w:val="20"/>
                <w:color w:val="auto"/>
              </w:rPr>
            </w:pPr>
            <w:r>
              <w:rPr>
                <w:rFonts w:ascii="Arial" w:cs="Arial" w:eastAsia="Arial" w:hAnsi="Arial"/>
                <w:sz w:val="14"/>
                <w:szCs w:val="14"/>
                <w:color w:val="auto"/>
              </w:rPr>
              <w:t>Lease liabilities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17,237</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2,856</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8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40,169</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60,262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13)</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9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$0.001 par value, 900,000,000 shares authorized, 28,268,389 shares issued and</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shd w:val="clear" w:color="auto" w:fill="CFF0FC"/>
          </w:tcPr>
          <w:p>
            <w:pPr>
              <w:ind w:left="280"/>
              <w:spacing w:after="0" w:line="149" w:lineRule="exact"/>
              <w:rPr>
                <w:sz w:val="20"/>
                <w:szCs w:val="20"/>
                <w:color w:val="auto"/>
              </w:rPr>
            </w:pPr>
            <w:r>
              <w:rPr>
                <w:rFonts w:ascii="Arial" w:cs="Arial" w:eastAsia="Arial" w:hAnsi="Arial"/>
                <w:sz w:val="14"/>
                <w:szCs w:val="14"/>
                <w:color w:val="auto"/>
              </w:rPr>
              <w:t>outstanding as of December 31, 2022 and 27,366,746 shares issued and</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9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outstanding as of December 31, 2021</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980" w:type="dxa"/>
            <w:vAlign w:val="bottom"/>
          </w:tcPr>
          <w:p>
            <w:pPr>
              <w:ind w:left="200"/>
              <w:spacing w:after="0" w:line="143" w:lineRule="exact"/>
              <w:rPr>
                <w:sz w:val="20"/>
                <w:szCs w:val="20"/>
                <w:color w:val="auto"/>
              </w:rPr>
            </w:pPr>
            <w:r>
              <w:rPr>
                <w:rFonts w:ascii="Arial" w:cs="Arial" w:eastAsia="Arial" w:hAnsi="Arial"/>
                <w:sz w:val="14"/>
                <w:szCs w:val="14"/>
                <w:color w:val="auto"/>
              </w:rPr>
              <w:t>Preferred stock, $0.001 par value, 100,000,000 shares authorized, no shares issued</w:t>
            </w: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980" w:type="dxa"/>
            <w:vAlign w:val="bottom"/>
          </w:tcPr>
          <w:p>
            <w:pPr>
              <w:ind w:left="280"/>
              <w:spacing w:after="0"/>
              <w:rPr>
                <w:sz w:val="20"/>
                <w:szCs w:val="20"/>
                <w:color w:val="auto"/>
              </w:rPr>
            </w:pPr>
            <w:r>
              <w:rPr>
                <w:rFonts w:ascii="Arial" w:cs="Arial" w:eastAsia="Arial" w:hAnsi="Arial"/>
                <w:sz w:val="14"/>
                <w:szCs w:val="14"/>
                <w:color w:val="auto"/>
              </w:rPr>
              <w:t>and outstanding</w:t>
            </w:r>
          </w:p>
        </w:tc>
        <w:tc>
          <w:tcPr>
            <w:tcW w:w="8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636,001</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8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(95 )</w:t>
            </w:r>
          </w:p>
        </w:tc>
        <w:tc>
          <w:tcPr>
            <w:tcW w:w="44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75"/>
        </w:trPr>
        <w:tc>
          <w:tcPr>
            <w:tcW w:w="7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8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93"/>
              </w:rPr>
              <w:t>(546,032 )</w:t>
            </w:r>
          </w:p>
        </w:tc>
        <w:tc>
          <w:tcPr>
            <w:tcW w:w="4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(479,276 )</w:t>
            </w:r>
          </w:p>
        </w:tc>
        <w:tc>
          <w:tcPr>
            <w:tcW w:w="0" w:type="dxa"/>
            <w:vAlign w:val="bottom"/>
          </w:tcPr>
          <w:p>
            <w:pPr>
              <w:spacing w:after="0"/>
              <w:rPr>
                <w:sz w:val="1"/>
                <w:szCs w:val="1"/>
                <w:color w:val="auto"/>
              </w:rPr>
            </w:pPr>
          </w:p>
        </w:tc>
      </w:tr>
      <w:tr>
        <w:trPr>
          <w:trHeight w:val="169"/>
        </w:trPr>
        <w:tc>
          <w:tcPr>
            <w:tcW w:w="798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8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89,902</w:t>
            </w:r>
          </w:p>
        </w:tc>
        <w:tc>
          <w:tcPr>
            <w:tcW w:w="260" w:type="dxa"/>
            <w:vAlign w:val="bottom"/>
            <w:tcBorders>
              <w:top w:val="single" w:sz="8" w:color="CFF0FC"/>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138,242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150,164</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-3064510</wp:posOffset>
            </wp:positionV>
            <wp:extent cx="6858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-2379980</wp:posOffset>
            </wp:positionV>
            <wp:extent cx="115570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55700" cy="1371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-1454785</wp:posOffset>
            </wp:positionV>
            <wp:extent cx="68580"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-264795</wp:posOffset>
            </wp:positionV>
            <wp:extent cx="68580"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1460" w:type="dxa"/>
            <w:vAlign w:val="bottom"/>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49,005</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22,593</w:t>
            </w:r>
          </w:p>
        </w:tc>
        <w:tc>
          <w:tcPr>
            <w:tcW w:w="100" w:type="dxa"/>
            <w:vAlign w:val="bottom"/>
            <w:shd w:val="clear" w:color="auto" w:fill="CFF0FC"/>
          </w:tcPr>
          <w:p>
            <w:pPr>
              <w:spacing w:after="0"/>
              <w:rPr>
                <w:sz w:val="14"/>
                <w:szCs w:val="14"/>
                <w:color w:val="auto"/>
              </w:rPr>
            </w:pPr>
          </w:p>
        </w:tc>
      </w:tr>
      <w:tr>
        <w:trPr>
          <w:trHeight w:val="175"/>
        </w:trPr>
        <w:tc>
          <w:tcPr>
            <w:tcW w:w="624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1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27,677</w:t>
            </w:r>
          </w:p>
        </w:tc>
        <w:tc>
          <w:tcPr>
            <w:tcW w:w="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18,076</w:t>
            </w:r>
          </w:p>
        </w:tc>
        <w:tc>
          <w:tcPr>
            <w:tcW w:w="100" w:type="dxa"/>
            <w:vAlign w:val="bottom"/>
          </w:tcPr>
          <w:p>
            <w:pPr>
              <w:spacing w:after="0"/>
              <w:rPr>
                <w:sz w:val="15"/>
                <w:szCs w:val="15"/>
                <w:color w:val="auto"/>
              </w:rPr>
            </w:pPr>
          </w:p>
        </w:tc>
      </w:tr>
      <w:tr>
        <w:trPr>
          <w:trHeight w:val="169"/>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1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21,328</w:t>
            </w:r>
          </w:p>
        </w:tc>
        <w:tc>
          <w:tcPr>
            <w:tcW w:w="2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240" w:type="dxa"/>
            <w:vAlign w:val="bottom"/>
          </w:tcPr>
          <w:p>
            <w:pPr>
              <w:ind w:left="200"/>
              <w:spacing w:after="0"/>
              <w:rPr>
                <w:sz w:val="20"/>
                <w:szCs w:val="20"/>
                <w:color w:val="auto"/>
              </w:rPr>
            </w:pPr>
            <w:r>
              <w:rPr>
                <w:rFonts w:ascii="Arial" w:cs="Arial" w:eastAsia="Arial" w:hAnsi="Arial"/>
                <w:sz w:val="14"/>
                <w:szCs w:val="14"/>
                <w:color w:val="auto"/>
              </w:rPr>
              <w:t>Operating expenses:</w:t>
            </w: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14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58,665</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32,805</w:t>
            </w:r>
          </w:p>
        </w:tc>
        <w:tc>
          <w:tcPr>
            <w:tcW w:w="100" w:type="dxa"/>
            <w:vAlign w:val="bottom"/>
            <w:shd w:val="clear" w:color="auto" w:fill="CFF0FC"/>
          </w:tcPr>
          <w:p>
            <w:pPr>
              <w:spacing w:after="0"/>
              <w:rPr>
                <w:sz w:val="15"/>
                <w:szCs w:val="15"/>
                <w:color w:val="auto"/>
              </w:rPr>
            </w:pPr>
          </w:p>
        </w:tc>
      </w:tr>
      <w:tr>
        <w:trPr>
          <w:trHeight w:val="175"/>
        </w:trPr>
        <w:tc>
          <w:tcPr>
            <w:tcW w:w="624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25,981</w:t>
            </w:r>
          </w:p>
        </w:tc>
        <w:tc>
          <w:tcPr>
            <w:tcW w:w="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tcPr>
          <w:p>
            <w:pPr>
              <w:spacing w:after="0"/>
              <w:rPr>
                <w:sz w:val="15"/>
                <w:szCs w:val="15"/>
                <w:color w:val="auto"/>
              </w:rPr>
            </w:pPr>
          </w:p>
        </w:tc>
      </w:tr>
      <w:tr>
        <w:trPr>
          <w:trHeight w:val="169"/>
        </w:trPr>
        <w:tc>
          <w:tcPr>
            <w:tcW w:w="62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operating expenses</w:t>
            </w:r>
          </w:p>
        </w:tc>
        <w:tc>
          <w:tcPr>
            <w:tcW w:w="1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84,646</w:t>
            </w:r>
          </w:p>
        </w:tc>
        <w:tc>
          <w:tcPr>
            <w:tcW w:w="2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57,304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240" w:type="dxa"/>
            <w:vAlign w:val="bottom"/>
          </w:tcPr>
          <w:p>
            <w:pPr>
              <w:ind w:left="560"/>
              <w:spacing w:after="0"/>
              <w:rPr>
                <w:sz w:val="20"/>
                <w:szCs w:val="20"/>
                <w:color w:val="auto"/>
              </w:rPr>
            </w:pPr>
            <w:r>
              <w:rPr>
                <w:rFonts w:ascii="Arial" w:cs="Arial" w:eastAsia="Arial" w:hAnsi="Arial"/>
                <w:sz w:val="14"/>
                <w:szCs w:val="14"/>
                <w:color w:val="auto"/>
              </w:rPr>
              <w:t>Loss from operations</w:t>
            </w:r>
          </w:p>
        </w:tc>
        <w:tc>
          <w:tcPr>
            <w:tcW w:w="146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(63,318 )</w:t>
            </w:r>
          </w:p>
        </w:tc>
        <w:tc>
          <w:tcPr>
            <w:tcW w:w="8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(52,787 )</w:t>
            </w:r>
          </w:p>
        </w:tc>
      </w:tr>
      <w:tr>
        <w:trPr>
          <w:trHeight w:val="175"/>
        </w:trPr>
        <w:tc>
          <w:tcPr>
            <w:tcW w:w="6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1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240" w:type="dxa"/>
            <w:vAlign w:val="bottom"/>
          </w:tcPr>
          <w:p>
            <w:pPr>
              <w:ind w:left="380"/>
              <w:spacing w:after="0"/>
              <w:rPr>
                <w:sz w:val="20"/>
                <w:szCs w:val="20"/>
                <w:color w:val="auto"/>
              </w:rPr>
            </w:pPr>
            <w:r>
              <w:rPr>
                <w:rFonts w:ascii="Arial" w:cs="Arial" w:eastAsia="Arial" w:hAnsi="Arial"/>
                <w:sz w:val="14"/>
                <w:szCs w:val="14"/>
                <w:color w:val="auto"/>
              </w:rPr>
              <w:t>Change in fair value of warrants</w:t>
            </w:r>
          </w:p>
        </w:tc>
        <w:tc>
          <w:tcPr>
            <w:tcW w:w="1460" w:type="dxa"/>
            <w:vAlign w:val="bottom"/>
          </w:tcPr>
          <w:p>
            <w:pPr>
              <w:spacing w:after="0"/>
              <w:rPr>
                <w:sz w:val="15"/>
                <w:szCs w:val="15"/>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5"/>
                <w:szCs w:val="15"/>
                <w:color w:val="auto"/>
              </w:rPr>
            </w:pPr>
          </w:p>
        </w:tc>
      </w:tr>
      <w:tr>
        <w:trPr>
          <w:trHeight w:val="175"/>
        </w:trPr>
        <w:tc>
          <w:tcPr>
            <w:tcW w:w="6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Expiration of warrant</w:t>
            </w:r>
          </w:p>
        </w:tc>
        <w:tc>
          <w:tcPr>
            <w:tcW w:w="14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FF0FC"/>
          </w:tcPr>
          <w:p>
            <w:pPr>
              <w:spacing w:after="0"/>
              <w:rPr>
                <w:sz w:val="15"/>
                <w:szCs w:val="15"/>
                <w:color w:val="auto"/>
              </w:rPr>
            </w:pPr>
          </w:p>
        </w:tc>
      </w:tr>
      <w:tr>
        <w:trPr>
          <w:trHeight w:val="175"/>
        </w:trPr>
        <w:tc>
          <w:tcPr>
            <w:tcW w:w="62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146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(4,946 )</w:t>
            </w:r>
          </w:p>
        </w:tc>
        <w:tc>
          <w:tcPr>
            <w:tcW w:w="86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(3,682 )</w:t>
            </w:r>
          </w:p>
        </w:tc>
      </w:tr>
      <w:tr>
        <w:trPr>
          <w:trHeight w:val="175"/>
        </w:trPr>
        <w:tc>
          <w:tcPr>
            <w:tcW w:w="6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Interest and other income</w:t>
            </w:r>
          </w:p>
        </w:tc>
        <w:tc>
          <w:tcPr>
            <w:tcW w:w="1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1,517</w:t>
            </w: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240" w:type="dxa"/>
            <w:vAlign w:val="bottom"/>
          </w:tcPr>
          <w:p>
            <w:pPr>
              <w:ind w:left="200"/>
              <w:spacing w:after="0"/>
              <w:rPr>
                <w:sz w:val="20"/>
                <w:szCs w:val="20"/>
                <w:color w:val="auto"/>
              </w:rPr>
            </w:pPr>
            <w:r>
              <w:rPr>
                <w:rFonts w:ascii="Arial" w:cs="Arial" w:eastAsia="Arial" w:hAnsi="Arial"/>
                <w:sz w:val="14"/>
                <w:szCs w:val="14"/>
                <w:color w:val="auto"/>
              </w:rPr>
              <w:t>Loss before income taxes</w:t>
            </w:r>
          </w:p>
        </w:tc>
        <w:tc>
          <w:tcPr>
            <w:tcW w:w="146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(66,747 )</w:t>
            </w:r>
          </w:p>
        </w:tc>
        <w:tc>
          <w:tcPr>
            <w:tcW w:w="8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(48,680 )</w:t>
            </w:r>
          </w:p>
        </w:tc>
      </w:tr>
      <w:tr>
        <w:trPr>
          <w:trHeight w:val="175"/>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expense</w:t>
            </w:r>
          </w:p>
        </w:tc>
        <w:tc>
          <w:tcPr>
            <w:tcW w:w="1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240" w:type="dxa"/>
            <w:vAlign w:val="bottom"/>
          </w:tcPr>
          <w:p>
            <w:pPr>
              <w:ind w:left="560"/>
              <w:spacing w:after="0" w:line="155" w:lineRule="exact"/>
              <w:rPr>
                <w:sz w:val="20"/>
                <w:szCs w:val="20"/>
                <w:color w:val="auto"/>
              </w:rPr>
            </w:pPr>
            <w:r>
              <w:rPr>
                <w:rFonts w:ascii="Arial" w:cs="Arial" w:eastAsia="Arial" w:hAnsi="Arial"/>
                <w:sz w:val="14"/>
                <w:szCs w:val="14"/>
                <w:color w:val="auto"/>
              </w:rPr>
              <w:t>Net loss</w:t>
            </w:r>
          </w:p>
        </w:tc>
        <w:tc>
          <w:tcPr>
            <w:tcW w:w="1460" w:type="dxa"/>
            <w:vAlign w:val="bottom"/>
          </w:tcPr>
          <w:p>
            <w:pPr>
              <w:jc w:val="right"/>
              <w:ind w:right="13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(66,756 )</w:t>
            </w:r>
          </w:p>
        </w:tc>
        <w:tc>
          <w:tcPr>
            <w:tcW w:w="860" w:type="dxa"/>
            <w:vAlign w:val="bottom"/>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(48,688 )</w:t>
            </w:r>
          </w:p>
        </w:tc>
      </w:tr>
      <w:tr>
        <w:trPr>
          <w:trHeight w:val="20"/>
        </w:trPr>
        <w:tc>
          <w:tcPr>
            <w:tcW w:w="6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2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24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short-term investments</w:t>
            </w:r>
          </w:p>
        </w:tc>
        <w:tc>
          <w:tcPr>
            <w:tcW w:w="14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(66 )</w:t>
            </w:r>
          </w:p>
        </w:tc>
        <w:tc>
          <w:tcPr>
            <w:tcW w:w="8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(7 )</w:t>
            </w:r>
          </w:p>
        </w:tc>
      </w:tr>
      <w:tr>
        <w:trPr>
          <w:trHeight w:val="175"/>
        </w:trPr>
        <w:tc>
          <w:tcPr>
            <w:tcW w:w="6240" w:type="dxa"/>
            <w:vAlign w:val="bottom"/>
          </w:tcPr>
          <w:p>
            <w:pPr>
              <w:ind w:left="380"/>
              <w:spacing w:after="0"/>
              <w:rPr>
                <w:sz w:val="20"/>
                <w:szCs w:val="20"/>
                <w:color w:val="auto"/>
              </w:rPr>
            </w:pPr>
            <w:r>
              <w:rPr>
                <w:rFonts w:ascii="Arial" w:cs="Arial" w:eastAsia="Arial" w:hAnsi="Arial"/>
                <w:sz w:val="14"/>
                <w:szCs w:val="14"/>
                <w:color w:val="auto"/>
              </w:rPr>
              <w:t>Foreign currency translation loss</w:t>
            </w:r>
          </w:p>
        </w:tc>
        <w:tc>
          <w:tcPr>
            <w:tcW w:w="146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(9 )</w:t>
            </w:r>
          </w:p>
        </w:tc>
        <w:tc>
          <w:tcPr>
            <w:tcW w:w="86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169"/>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other comprehensive loss</w:t>
            </w:r>
          </w:p>
        </w:tc>
        <w:tc>
          <w:tcPr>
            <w:tcW w:w="146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2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1460" w:type="dxa"/>
            <w:vAlign w:val="bottom"/>
          </w:tcPr>
          <w:p>
            <w:pPr>
              <w:jc w:val="right"/>
              <w:ind w:right="13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(66,831 )</w:t>
            </w:r>
          </w:p>
        </w:tc>
        <w:tc>
          <w:tcPr>
            <w:tcW w:w="860" w:type="dxa"/>
            <w:vAlign w:val="bottom"/>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(48,705 )</w:t>
            </w:r>
          </w:p>
        </w:tc>
      </w:tr>
      <w:tr>
        <w:trPr>
          <w:trHeight w:val="20"/>
        </w:trPr>
        <w:tc>
          <w:tcPr>
            <w:tcW w:w="6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240" w:type="dxa"/>
            <w:vAlign w:val="bottom"/>
            <w:shd w:val="clear" w:color="auto" w:fill="CFF0FC"/>
          </w:tcPr>
          <w:p>
            <w:pPr>
              <w:ind w:left="200"/>
              <w:spacing w:after="0" w:line="156" w:lineRule="exact"/>
              <w:rPr>
                <w:sz w:val="20"/>
                <w:szCs w:val="20"/>
                <w:color w:val="auto"/>
              </w:rPr>
            </w:pPr>
            <w:r>
              <w:rPr>
                <w:rFonts w:ascii="Arial" w:cs="Arial" w:eastAsia="Arial" w:hAnsi="Arial"/>
                <w:sz w:val="14"/>
                <w:szCs w:val="14"/>
                <w:color w:val="auto"/>
              </w:rPr>
              <w:t>Net loss per share:</w:t>
            </w:r>
          </w:p>
        </w:tc>
        <w:tc>
          <w:tcPr>
            <w:tcW w:w="14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240" w:type="dxa"/>
            <w:vAlign w:val="bottom"/>
          </w:tcPr>
          <w:p>
            <w:pPr>
              <w:ind w:left="380"/>
              <w:spacing w:after="0"/>
              <w:rPr>
                <w:sz w:val="20"/>
                <w:szCs w:val="20"/>
                <w:color w:val="auto"/>
              </w:rPr>
            </w:pPr>
            <w:r>
              <w:rPr>
                <w:rFonts w:ascii="Arial" w:cs="Arial" w:eastAsia="Arial" w:hAnsi="Arial"/>
                <w:sz w:val="14"/>
                <w:szCs w:val="14"/>
                <w:color w:val="auto"/>
              </w:rPr>
              <w:t>Attributable to common stock, basic &amp; diluted</w:t>
            </w:r>
          </w:p>
        </w:tc>
        <w:tc>
          <w:tcPr>
            <w:tcW w:w="1460" w:type="dxa"/>
            <w:vAlign w:val="bottom"/>
          </w:tcPr>
          <w:p>
            <w:pPr>
              <w:jc w:val="right"/>
              <w:ind w:right="1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(2.41 )</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(3.57 )</w:t>
            </w:r>
          </w:p>
        </w:tc>
      </w:tr>
      <w:tr>
        <w:trPr>
          <w:trHeight w:val="143"/>
        </w:trPr>
        <w:tc>
          <w:tcPr>
            <w:tcW w:w="62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Weighted-average shares outstanding used in</w:t>
            </w:r>
          </w:p>
        </w:tc>
        <w:tc>
          <w:tcPr>
            <w:tcW w:w="14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computing net loss per share:</w:t>
            </w:r>
          </w:p>
        </w:tc>
        <w:tc>
          <w:tcPr>
            <w:tcW w:w="1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6240" w:type="dxa"/>
            <w:vAlign w:val="bottom"/>
          </w:tcPr>
          <w:p>
            <w:pPr>
              <w:ind w:left="200"/>
              <w:spacing w:after="0"/>
              <w:rPr>
                <w:sz w:val="20"/>
                <w:szCs w:val="20"/>
                <w:color w:val="auto"/>
              </w:rPr>
            </w:pPr>
            <w:r>
              <w:rPr>
                <w:rFonts w:ascii="Arial" w:cs="Arial" w:eastAsia="Arial" w:hAnsi="Arial"/>
                <w:sz w:val="14"/>
                <w:szCs w:val="14"/>
                <w:color w:val="auto"/>
              </w:rPr>
              <w:t>Attributable to common stock, basic &amp; diluted</w:t>
            </w:r>
          </w:p>
        </w:tc>
        <w:tc>
          <w:tcPr>
            <w:tcW w:w="1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27,661,982</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13,625,044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-2769235</wp:posOffset>
            </wp:positionV>
            <wp:extent cx="6858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-2769235</wp:posOffset>
            </wp:positionV>
            <wp:extent cx="6858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-2306955</wp:posOffset>
            </wp:positionV>
            <wp:extent cx="6858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-2306955</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-1630680</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-1630680</wp:posOffset>
            </wp:positionV>
            <wp:extent cx="6858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-1399540</wp:posOffset>
            </wp:positionV>
            <wp:extent cx="6858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-688975</wp:posOffset>
            </wp:positionV>
            <wp:extent cx="6858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-688975</wp:posOffset>
            </wp:positionV>
            <wp:extent cx="6858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RxSIGHT,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REDEEMABLE COMMON STOCK, STOCK OPTIONS,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CONVERTIBLE PREFERED STOCK AND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w w:val="82"/>
              </w:rPr>
              <w:t>Notes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receiv</w:t>
            </w:r>
          </w:p>
        </w:tc>
        <w:tc>
          <w:tcPr>
            <w:tcW w:w="6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Accumul</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right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able</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ated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receivabl</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for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520" w:type="dxa"/>
            <w:vAlign w:val="bottom"/>
            <w:gridSpan w:val="5"/>
            <w:vMerge w:val="restart"/>
          </w:tcPr>
          <w:p>
            <w:pPr>
              <w:jc w:val="right"/>
              <w:ind w:right="340"/>
              <w:spacing w:after="0"/>
              <w:rPr>
                <w:sz w:val="20"/>
                <w:szCs w:val="20"/>
                <w:color w:val="auto"/>
              </w:rPr>
            </w:pPr>
            <w:r>
              <w:rPr>
                <w:rFonts w:ascii="Arial" w:cs="Arial" w:eastAsia="Arial" w:hAnsi="Arial"/>
                <w:sz w:val="13"/>
                <w:szCs w:val="13"/>
                <w:b w:val="1"/>
                <w:bCs w:val="1"/>
                <w:color w:val="auto"/>
                <w:w w:val="86"/>
              </w:rPr>
              <w:t>Redeemable common</w:t>
            </w:r>
          </w:p>
        </w:tc>
        <w:tc>
          <w:tcPr>
            <w:tcW w:w="100" w:type="dxa"/>
            <w:vAlign w:val="bottom"/>
          </w:tcPr>
          <w:p>
            <w:pPr>
              <w:spacing w:after="0"/>
              <w:rPr>
                <w:sz w:val="11"/>
                <w:szCs w:val="11"/>
                <w:color w:val="auto"/>
              </w:rPr>
            </w:pPr>
          </w:p>
        </w:tc>
        <w:tc>
          <w:tcPr>
            <w:tcW w:w="5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 for</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260"/>
              <w:spacing w:after="0" w:line="135" w:lineRule="exact"/>
              <w:rPr>
                <w:sz w:val="20"/>
                <w:szCs w:val="20"/>
                <w:color w:val="auto"/>
              </w:rPr>
            </w:pPr>
            <w:r>
              <w:rPr>
                <w:rFonts w:ascii="Arial" w:cs="Arial" w:eastAsia="Arial" w:hAnsi="Arial"/>
                <w:sz w:val="13"/>
                <w:szCs w:val="13"/>
                <w:b w:val="1"/>
                <w:bCs w:val="1"/>
                <w:color w:val="auto"/>
                <w:w w:val="97"/>
              </w:rPr>
              <w:t>Additi</w:t>
            </w:r>
          </w:p>
        </w:tc>
        <w:tc>
          <w:tcPr>
            <w:tcW w:w="6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w:t>
            </w:r>
          </w:p>
        </w:tc>
        <w:tc>
          <w:tcPr>
            <w:tcW w:w="100" w:type="dxa"/>
            <w:vAlign w:val="bottom"/>
          </w:tcPr>
          <w:p>
            <w:pPr>
              <w:spacing w:after="0"/>
              <w:rPr>
                <w:sz w:val="11"/>
                <w:szCs w:val="11"/>
                <w:color w:val="auto"/>
              </w:rPr>
            </w:pPr>
          </w:p>
        </w:tc>
        <w:tc>
          <w:tcPr>
            <w:tcW w:w="5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2000" w:type="dxa"/>
            <w:vAlign w:val="bottom"/>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redeemab</w:t>
            </w:r>
          </w:p>
        </w:tc>
        <w:tc>
          <w:tcPr>
            <w:tcW w:w="740" w:type="dxa"/>
            <w:vAlign w:val="bottom"/>
            <w:gridSpan w:val="3"/>
          </w:tcPr>
          <w:p>
            <w:pPr>
              <w:jc w:val="center"/>
              <w:ind w:right="220"/>
              <w:spacing w:after="0" w:line="126" w:lineRule="exact"/>
              <w:rPr>
                <w:sz w:val="20"/>
                <w:szCs w:val="20"/>
                <w:color w:val="auto"/>
              </w:rPr>
            </w:pPr>
            <w:r>
              <w:rPr>
                <w:rFonts w:ascii="Arial" w:cs="Arial" w:eastAsia="Arial" w:hAnsi="Arial"/>
                <w:sz w:val="13"/>
                <w:szCs w:val="13"/>
                <w:b w:val="1"/>
                <w:bCs w:val="1"/>
                <w:color w:val="auto"/>
                <w:w w:val="86"/>
              </w:rPr>
              <w:t>Redeem</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320"/>
              <w:spacing w:after="0" w:line="126" w:lineRule="exact"/>
              <w:rPr>
                <w:sz w:val="20"/>
                <w:szCs w:val="20"/>
                <w:color w:val="auto"/>
              </w:rPr>
            </w:pPr>
            <w:r>
              <w:rPr>
                <w:rFonts w:ascii="Arial" w:cs="Arial" w:eastAsia="Arial" w:hAnsi="Arial"/>
                <w:sz w:val="13"/>
                <w:szCs w:val="13"/>
                <w:b w:val="1"/>
                <w:bCs w:val="1"/>
                <w:color w:val="auto"/>
                <w:w w:val="82"/>
              </w:rPr>
              <w:t>onal</w:t>
            </w:r>
          </w:p>
        </w:tc>
        <w:tc>
          <w:tcPr>
            <w:tcW w:w="80" w:type="dxa"/>
            <w:vAlign w:val="bottom"/>
          </w:tcPr>
          <w:p>
            <w:pPr>
              <w:spacing w:after="0"/>
              <w:rPr>
                <w:sz w:val="10"/>
                <w:szCs w:val="10"/>
                <w:color w:val="auto"/>
              </w:rPr>
            </w:pPr>
          </w:p>
        </w:tc>
        <w:tc>
          <w:tcPr>
            <w:tcW w:w="52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87"/>
              </w:rPr>
              <w:t>on</w:t>
            </w:r>
          </w:p>
        </w:tc>
        <w:tc>
          <w:tcPr>
            <w:tcW w:w="68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comprehe</w:t>
            </w:r>
          </w:p>
        </w:tc>
        <w:tc>
          <w:tcPr>
            <w:tcW w:w="680" w:type="dxa"/>
            <w:vAlign w:val="bottom"/>
            <w:gridSpan w:val="3"/>
          </w:tcPr>
          <w:p>
            <w:pPr>
              <w:jc w:val="right"/>
              <w:ind w:right="260"/>
              <w:spacing w:after="0" w:line="126" w:lineRule="exact"/>
              <w:rPr>
                <w:sz w:val="20"/>
                <w:szCs w:val="20"/>
                <w:color w:val="auto"/>
              </w:rPr>
            </w:pPr>
            <w:r>
              <w:rPr>
                <w:rFonts w:ascii="Arial" w:cs="Arial" w:eastAsia="Arial" w:hAnsi="Arial"/>
                <w:sz w:val="13"/>
                <w:szCs w:val="13"/>
                <w:b w:val="1"/>
                <w:bCs w:val="1"/>
                <w:color w:val="auto"/>
                <w:w w:val="92"/>
              </w:rPr>
              <w:t>Accum</w:t>
            </w:r>
          </w:p>
        </w:tc>
        <w:tc>
          <w:tcPr>
            <w:tcW w:w="84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le</w:t>
            </w:r>
          </w:p>
        </w:tc>
        <w:tc>
          <w:tcPr>
            <w:tcW w:w="10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able</w:t>
            </w:r>
          </w:p>
        </w:tc>
        <w:tc>
          <w:tcPr>
            <w:tcW w:w="14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w:t>
            </w:r>
          </w:p>
        </w:tc>
        <w:tc>
          <w:tcPr>
            <w:tcW w:w="6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nsive</w:t>
            </w:r>
          </w:p>
        </w:tc>
        <w:tc>
          <w:tcPr>
            <w:tcW w:w="6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9"/>
              </w:rPr>
              <w:t>ulated</w:t>
            </w:r>
          </w:p>
        </w:tc>
        <w:tc>
          <w:tcPr>
            <w:tcW w:w="140" w:type="dxa"/>
            <w:vAlign w:val="bottom"/>
          </w:tcPr>
          <w:p>
            <w:pPr>
              <w:spacing w:after="0"/>
              <w:rPr>
                <w:sz w:val="14"/>
                <w:szCs w:val="14"/>
                <w:color w:val="auto"/>
              </w:rPr>
            </w:pPr>
          </w:p>
        </w:tc>
        <w:tc>
          <w:tcPr>
            <w:tcW w:w="600" w:type="dxa"/>
            <w:vAlign w:val="bottom"/>
          </w:tcPr>
          <w:p>
            <w:pPr>
              <w:jc w:val="center"/>
              <w:ind w:right="78"/>
              <w:spacing w:after="0"/>
              <w:rPr>
                <w:sz w:val="20"/>
                <w:szCs w:val="20"/>
                <w:color w:val="auto"/>
              </w:rPr>
            </w:pPr>
            <w:r>
              <w:rPr>
                <w:rFonts w:ascii="Arial" w:cs="Arial" w:eastAsia="Arial" w:hAnsi="Arial"/>
                <w:sz w:val="10"/>
                <w:szCs w:val="10"/>
                <w:b w:val="1"/>
                <w:bCs w:val="1"/>
                <w:color w:val="auto"/>
                <w:w w:val="8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84"/>
              </w:rPr>
              <w:t>common</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Amoun</w:t>
            </w:r>
          </w:p>
        </w:tc>
        <w:tc>
          <w:tcPr>
            <w:tcW w:w="100" w:type="dxa"/>
            <w:vAlign w:val="bottom"/>
          </w:tcPr>
          <w:p>
            <w:pPr>
              <w:spacing w:after="0"/>
              <w:rPr>
                <w:sz w:val="11"/>
                <w:szCs w:val="11"/>
                <w:color w:val="auto"/>
              </w:rPr>
            </w:pPr>
          </w:p>
        </w:tc>
        <w:tc>
          <w:tcPr>
            <w:tcW w:w="5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1"/>
                <w:szCs w:val="11"/>
                <w:color w:val="auto"/>
              </w:rPr>
            </w:pPr>
          </w:p>
        </w:tc>
        <w:tc>
          <w:tcPr>
            <w:tcW w:w="64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76"/>
              </w:rPr>
              <w:t>stock</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b w:val="1"/>
                <w:bCs w:val="1"/>
                <w:color w:val="auto"/>
              </w:rPr>
              <w:t>Amoun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9"/>
              </w:rPr>
              <w:t>Amo</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w:t>
            </w: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7"/>
              </w:rPr>
              <w:t>issued</w:t>
            </w:r>
          </w:p>
        </w:tc>
        <w:tc>
          <w:tcPr>
            <w:tcW w:w="7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options</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5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t</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3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unt</w:t>
            </w:r>
          </w:p>
        </w:tc>
        <w:tc>
          <w:tcPr>
            <w:tcW w:w="10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w:t>
            </w:r>
          </w:p>
        </w:tc>
        <w:tc>
          <w:tcPr>
            <w:tcW w:w="6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2"/>
              </w:rPr>
              <w:t>issued</w:t>
            </w: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6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9"/>
              </w:rPr>
              <w:t>deficit</w:t>
            </w: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30"/>
        </w:trPr>
        <w:tc>
          <w:tcPr>
            <w:tcW w:w="200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3,813,4</w:t>
            </w:r>
          </w:p>
        </w:tc>
        <w:tc>
          <w:tcPr>
            <w:tcW w:w="2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w w:val="92"/>
              </w:rPr>
              <w:t>80,78</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14,376,</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w w:val="92"/>
              </w:rPr>
              <w:t>353,3</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w w:val="92"/>
              </w:rPr>
              <w:t>(430,5</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2020</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(803 )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53,085</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3"/>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ind w:left="12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88 )</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(430,591 )</w:t>
            </w: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rPr>
              <w:t>Shares issued for the exercise of</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3"/>
                <w:szCs w:val="13"/>
                <w:color w:val="auto"/>
              </w:rPr>
              <w:t>stock options and vesting of</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3"/>
                <w:szCs w:val="13"/>
                <w:color w:val="auto"/>
              </w:rPr>
              <w:t>280,545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6,922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(5,715 )</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83,958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Stock-based compensation expense</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7,575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Proceeds from notes receivable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Surrender of common stock in</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exchange</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for cancellation of note receivable</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(11,011 )</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(229 )</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w w:val="93"/>
              </w:rPr>
              <w:t>Reclassification of 4,093,995 shares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3"/>
                <w:szCs w:val="13"/>
                <w:color w:val="auto"/>
              </w:rPr>
              <w:t>of redeemable common stock to</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(4,093,9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92"/>
              </w:rPr>
              <w:t>87,69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w w:val="96"/>
              </w:rPr>
              <w:t>4,093,995 shares of common stock</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95 )</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4,093,995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(817 )</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86,885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Reclassification of redeemable</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common stock options to common</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(47,37</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2"/>
              </w:rPr>
              <w:t>47,37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options</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0 )</w:t>
            </w: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rPr>
              <w:t>Change in notes receivable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for common stock issued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452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Exercise of preferred stock</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warrants,</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net of shares withheld for exercise</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100,26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(2,01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price</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3,912</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(2,011 )</w:t>
            </w: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rPr>
              <w:t>Conversion of preferred stock</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3"/>
                <w:szCs w:val="13"/>
                <w:color w:val="auto"/>
              </w:rPr>
              <w:t>to common stock upon initial</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3"/>
                <w:szCs w:val="13"/>
                <w:color w:val="auto"/>
              </w:rPr>
              <w:t>public offering, net of fractional</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(14,476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(357,</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92"/>
              </w:rPr>
              <w:t>357,1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shares settled for $11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,533 )</w:t>
            </w: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212 )</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14,951,254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6"/>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357,202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common stock in</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connection with initial public</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offering, net of issuance costs</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2"/>
              </w:rPr>
              <w:t>119,5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$12.4 million</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8,248,549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w w:val="92"/>
              </w:rPr>
              <w:t>(48,68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8 )</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(48,688 )</w:t>
            </w:r>
          </w:p>
        </w:tc>
        <w:tc>
          <w:tcPr>
            <w:tcW w:w="0" w:type="dxa"/>
            <w:vAlign w:val="bottom"/>
          </w:tcPr>
          <w:p>
            <w:pPr>
              <w:spacing w:after="0"/>
              <w:rPr>
                <w:sz w:val="1"/>
                <w:szCs w:val="1"/>
                <w:color w:val="auto"/>
              </w:rPr>
            </w:pPr>
          </w:p>
        </w:tc>
      </w:tr>
      <w:tr>
        <w:trPr>
          <w:trHeight w:val="128"/>
        </w:trPr>
        <w:tc>
          <w:tcPr>
            <w:tcW w:w="200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2"/>
              </w:rPr>
              <w:t>617,5</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2"/>
              </w:rPr>
              <w:t>(479,2</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27,366,746</w:t>
            </w:r>
          </w:p>
        </w:tc>
        <w:tc>
          <w:tcPr>
            <w:tcW w:w="22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27</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(20 )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76 )</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138,242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Shares issued for the exercise of</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 options and vesting of</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382,506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w w:val="96"/>
              </w:rPr>
              <w:t>Shares redeemed for employee tax</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withholdings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(49,456 )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(643 )</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(643 )</w:t>
            </w: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w w:val="92"/>
              </w:rPr>
              <w:t>11,39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Stock-based compensation expense</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00" w:type="dxa"/>
            <w:vAlign w:val="bottom"/>
          </w:tcPr>
          <w:p>
            <w:pPr>
              <w:ind w:left="20"/>
              <w:spacing w:after="0" w:line="134" w:lineRule="exact"/>
              <w:rPr>
                <w:sz w:val="20"/>
                <w:szCs w:val="20"/>
                <w:color w:val="auto"/>
              </w:rPr>
            </w:pPr>
            <w:r>
              <w:rPr>
                <w:rFonts w:ascii="Arial" w:cs="Arial" w:eastAsia="Arial" w:hAnsi="Arial"/>
                <w:sz w:val="13"/>
                <w:szCs w:val="13"/>
                <w:color w:val="auto"/>
              </w:rPr>
              <w:t>Shares issued for the employee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stock purchase plan</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92,718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3"/>
              </w:rPr>
              <w:t>Issuance of common stock in at-the-</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market offerings, net of issuance</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costs</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475,875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5,959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(75 )</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36"/>
        </w:trPr>
        <w:tc>
          <w:tcPr>
            <w:tcW w:w="2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w w:val="92"/>
              </w:rPr>
              <w:t>(66,75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6 )</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(66,756 )</w:t>
            </w:r>
          </w:p>
        </w:tc>
        <w:tc>
          <w:tcPr>
            <w:tcW w:w="0" w:type="dxa"/>
            <w:vAlign w:val="bottom"/>
          </w:tcPr>
          <w:p>
            <w:pPr>
              <w:spacing w:after="0"/>
              <w:rPr>
                <w:sz w:val="1"/>
                <w:szCs w:val="1"/>
                <w:color w:val="auto"/>
              </w:rPr>
            </w:pPr>
          </w:p>
        </w:tc>
      </w:tr>
      <w:tr>
        <w:trPr>
          <w:trHeight w:val="128"/>
        </w:trPr>
        <w:tc>
          <w:tcPr>
            <w:tcW w:w="200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2"/>
              </w:rPr>
              <w:t>636,0</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2"/>
              </w:rPr>
              <w:t>(546,0</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0" w:type="dxa"/>
            <w:vAlign w:val="bottom"/>
          </w:tcPr>
          <w:p>
            <w:pPr>
              <w:ind w:left="20"/>
              <w:spacing w:after="0" w:line="143" w:lineRule="exact"/>
              <w:rPr>
                <w:sz w:val="20"/>
                <w:szCs w:val="20"/>
                <w:color w:val="auto"/>
              </w:rPr>
            </w:pPr>
            <w:r>
              <w:rPr>
                <w:rFonts w:ascii="Arial" w:cs="Arial" w:eastAsia="Arial" w:hAnsi="Arial"/>
                <w:sz w:val="13"/>
                <w:szCs w:val="13"/>
                <w:color w:val="auto"/>
              </w:rPr>
              <w:t>Balance at December 31, 2022</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28,268,389</w:t>
            </w:r>
          </w:p>
        </w:tc>
        <w:tc>
          <w:tcPr>
            <w:tcW w:w="2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28</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(95 )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32 )</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89,902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-1823085</wp:posOffset>
            </wp:positionV>
            <wp:extent cx="76835"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-1823085</wp:posOffset>
            </wp:positionV>
            <wp:extent cx="76835"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-1823085</wp:posOffset>
            </wp:positionV>
            <wp:extent cx="76835" cy="196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-1823085</wp:posOffset>
            </wp:positionV>
            <wp:extent cx="76835" cy="196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-1823085</wp:posOffset>
            </wp:positionV>
            <wp:extent cx="68580" cy="19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-1823085</wp:posOffset>
            </wp:positionV>
            <wp:extent cx="68580" cy="196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-1823085</wp:posOffset>
            </wp:positionV>
            <wp:extent cx="68580" cy="196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-1823085</wp:posOffset>
            </wp:positionV>
            <wp:extent cx="6858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-1823085</wp:posOffset>
            </wp:positionV>
            <wp:extent cx="68580"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-1823085</wp:posOffset>
            </wp:positionV>
            <wp:extent cx="68580"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-1823085</wp:posOffset>
            </wp:positionV>
            <wp:extent cx="68580"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-1823085</wp:posOffset>
            </wp:positionV>
            <wp:extent cx="6858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-222250</wp:posOffset>
            </wp:positionV>
            <wp:extent cx="76835" cy="222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-222250</wp:posOffset>
            </wp:positionV>
            <wp:extent cx="76835" cy="222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-222250</wp:posOffset>
            </wp:positionV>
            <wp:extent cx="76835"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-222250</wp:posOffset>
            </wp:positionV>
            <wp:extent cx="76835" cy="222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-222250</wp:posOffset>
            </wp:positionV>
            <wp:extent cx="68580" cy="2228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-222250</wp:posOffset>
            </wp:positionV>
            <wp:extent cx="6858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-222250</wp:posOffset>
            </wp:positionV>
            <wp:extent cx="6858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-222250</wp:posOffset>
            </wp:positionV>
            <wp:extent cx="68580"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-222250</wp:posOffset>
            </wp:positionV>
            <wp:extent cx="68580" cy="2228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-222250</wp:posOffset>
            </wp:positionV>
            <wp:extent cx="68580" cy="2228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-222250</wp:posOffset>
            </wp:positionV>
            <wp:extent cx="68580"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-222250</wp:posOffset>
            </wp:positionV>
            <wp:extent cx="6858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960" w:type="dxa"/>
            <w:vAlign w:val="bottom"/>
            <w:tcBorders>
              <w:top w:val="single" w:sz="8" w:color="auto"/>
            </w:tcBorders>
            <w:vMerge w:val="restart"/>
          </w:tcPr>
          <w:p>
            <w:pPr>
              <w:jc w:val="right"/>
              <w:ind w:right="59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4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(66,756 )</w:t>
            </w:r>
          </w:p>
        </w:tc>
        <w:tc>
          <w:tcPr>
            <w:tcW w:w="62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(48,688 )</w:t>
            </w: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Depreciation and amortization</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Amortization of right-of-use lease assets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debt issuance costs and premium</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Change in fair value of warrants</w:t>
            </w:r>
          </w:p>
        </w:tc>
        <w:tc>
          <w:tcPr>
            <w:tcW w:w="94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(2,717 )</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Gain on expiration of warrant</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(5,018 )</w:t>
            </w: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Amortization of discount on short-term investments</w:t>
            </w:r>
          </w:p>
        </w:tc>
        <w:tc>
          <w:tcPr>
            <w:tcW w:w="940" w:type="dxa"/>
            <w:vAlign w:val="bottom"/>
          </w:tcPr>
          <w:p>
            <w:pPr>
              <w:spacing w:after="0"/>
              <w:rPr>
                <w:sz w:val="13"/>
                <w:szCs w:val="13"/>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13"/>
                <w:szCs w:val="13"/>
                <w:color w:val="auto"/>
              </w:rPr>
              <w:t>(1,405 )</w:t>
            </w: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11,397</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Provision for excess and obsolete inventory</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752</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Change in operating assets and liabilities: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300"/>
              <w:spacing w:after="0"/>
              <w:rPr>
                <w:sz w:val="20"/>
                <w:szCs w:val="20"/>
                <w:color w:val="auto"/>
              </w:rPr>
            </w:pPr>
            <w:r>
              <w:rPr>
                <w:rFonts w:ascii="Arial" w:cs="Arial" w:eastAsia="Arial" w:hAnsi="Arial"/>
                <w:sz w:val="13"/>
                <w:szCs w:val="13"/>
                <w:color w:val="auto"/>
              </w:rPr>
              <w:t>Accounts receivable</w:t>
            </w:r>
          </w:p>
        </w:tc>
        <w:tc>
          <w:tcPr>
            <w:tcW w:w="940" w:type="dxa"/>
            <w:vAlign w:val="bottom"/>
          </w:tcPr>
          <w:p>
            <w:pPr>
              <w:spacing w:after="0"/>
              <w:rPr>
                <w:sz w:val="13"/>
                <w:szCs w:val="13"/>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13"/>
                <w:szCs w:val="13"/>
                <w:color w:val="auto"/>
              </w:rPr>
              <w:t>(6,094 )</w:t>
            </w: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(1,996 )</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Inventories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(7,555 )</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(2,111 )</w:t>
            </w:r>
          </w:p>
        </w:tc>
        <w:tc>
          <w:tcPr>
            <w:tcW w:w="0" w:type="dxa"/>
            <w:vAlign w:val="bottom"/>
          </w:tcPr>
          <w:p>
            <w:pPr>
              <w:spacing w:after="0"/>
              <w:rPr>
                <w:sz w:val="1"/>
                <w:szCs w:val="1"/>
                <w:color w:val="auto"/>
              </w:rPr>
            </w:pPr>
          </w:p>
        </w:tc>
      </w:tr>
      <w:tr>
        <w:trPr>
          <w:trHeight w:val="160"/>
        </w:trPr>
        <w:tc>
          <w:tcPr>
            <w:tcW w:w="7740" w:type="dxa"/>
            <w:vAlign w:val="bottom"/>
          </w:tcPr>
          <w:p>
            <w:pPr>
              <w:ind w:left="300"/>
              <w:spacing w:after="0"/>
              <w:rPr>
                <w:sz w:val="20"/>
                <w:szCs w:val="20"/>
                <w:color w:val="auto"/>
              </w:rPr>
            </w:pPr>
            <w:r>
              <w:rPr>
                <w:rFonts w:ascii="Arial" w:cs="Arial" w:eastAsia="Arial" w:hAnsi="Arial"/>
                <w:sz w:val="13"/>
                <w:szCs w:val="13"/>
                <w:color w:val="auto"/>
              </w:rPr>
              <w:t>Prepaid and other assets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789</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(2,809 )</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Accounts payable</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3"/>
                <w:szCs w:val="13"/>
                <w:color w:val="auto"/>
              </w:rPr>
              <w:t>Accrued expenses and other liabilities</w:t>
            </w: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4,813</w:t>
            </w: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3"/>
                <w:szCs w:val="13"/>
                <w:color w:val="auto"/>
              </w:rPr>
              <w:t>Net cash used in operating activities</w:t>
            </w:r>
          </w:p>
        </w:tc>
        <w:tc>
          <w:tcPr>
            <w:tcW w:w="9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(58,850</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(44,708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77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property and equipment</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(2,393 )</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(1,940 )</w:t>
            </w: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Maturity of short-term investments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255,000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short-term investments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(212,657 )</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(159,967 )</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40" w:type="dxa"/>
            <w:vAlign w:val="bottom"/>
          </w:tcPr>
          <w:p>
            <w:pPr>
              <w:ind w:left="460"/>
              <w:spacing w:after="0"/>
              <w:rPr>
                <w:sz w:val="20"/>
                <w:szCs w:val="20"/>
                <w:color w:val="auto"/>
              </w:rPr>
            </w:pPr>
            <w:r>
              <w:rPr>
                <w:rFonts w:ascii="Arial" w:cs="Arial" w:eastAsia="Arial" w:hAnsi="Arial"/>
                <w:sz w:val="13"/>
                <w:szCs w:val="13"/>
                <w:color w:val="auto"/>
              </w:rPr>
              <w:t>Net cash provided by (used in) investing activities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39,950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(81,907 )</w:t>
            </w:r>
          </w:p>
        </w:tc>
        <w:tc>
          <w:tcPr>
            <w:tcW w:w="0" w:type="dxa"/>
            <w:vAlign w:val="bottom"/>
          </w:tcPr>
          <w:p>
            <w:pPr>
              <w:spacing w:after="0"/>
              <w:rPr>
                <w:sz w:val="1"/>
                <w:szCs w:val="1"/>
                <w:color w:val="auto"/>
              </w:rPr>
            </w:pPr>
          </w:p>
        </w:tc>
      </w:tr>
      <w:tr>
        <w:trPr>
          <w:trHeight w:val="155"/>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Proceeds from term loan</w:t>
            </w:r>
          </w:p>
        </w:tc>
        <w:tc>
          <w:tcPr>
            <w:tcW w:w="94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of debt issuance costs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(145 )</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(132 )</w:t>
            </w: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Proceeds from exercise of preferred stock warrants</w:t>
            </w:r>
          </w:p>
        </w:tc>
        <w:tc>
          <w:tcPr>
            <w:tcW w:w="94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 and issuance of common stock under the employee stock purchase plan</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1,778</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Payments for employee taxes related to stock compensation</w:t>
            </w:r>
          </w:p>
        </w:tc>
        <w:tc>
          <w:tcPr>
            <w:tcW w:w="940" w:type="dxa"/>
            <w:vAlign w:val="bottom"/>
          </w:tcPr>
          <w:p>
            <w:pPr>
              <w:spacing w:after="0"/>
              <w:rPr>
                <w:sz w:val="13"/>
                <w:szCs w:val="13"/>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13"/>
                <w:szCs w:val="13"/>
                <w:color w:val="auto"/>
              </w:rPr>
              <w:t>(643 )</w:t>
            </w:r>
          </w:p>
        </w:tc>
        <w:tc>
          <w:tcPr>
            <w:tcW w:w="62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initial public offering, net of underwriting discounts and commissions and offering costs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Proceeds from issuance of common stock in at-the-market offerings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6,050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Principal payments on finance lease liabilities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(121 )</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60"/>
        </w:trPr>
        <w:tc>
          <w:tcPr>
            <w:tcW w:w="774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940" w:type="dxa"/>
            <w:vAlign w:val="bottom"/>
          </w:tcPr>
          <w:p>
            <w:pPr>
              <w:spacing w:after="0"/>
              <w:rPr>
                <w:sz w:val="13"/>
                <w:szCs w:val="13"/>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13"/>
                <w:szCs w:val="13"/>
                <w:color w:val="auto"/>
              </w:rPr>
              <w:t>(587 )</w:t>
            </w:r>
          </w:p>
        </w:tc>
        <w:tc>
          <w:tcPr>
            <w:tcW w:w="62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notes receivables for redeemable common stock issued</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940" w:type="dxa"/>
            <w:vAlign w:val="bottom"/>
          </w:tcPr>
          <w:p>
            <w:pPr>
              <w:spacing w:after="0"/>
              <w:rPr>
                <w:sz w:val="14"/>
                <w:szCs w:val="14"/>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3"/>
                <w:szCs w:val="13"/>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6,332</w:t>
            </w:r>
          </w:p>
        </w:tc>
        <w:tc>
          <w:tcPr>
            <w:tcW w:w="26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137,342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tcPr>
          <w:p>
            <w:pPr>
              <w:ind w:left="20"/>
              <w:spacing w:after="0"/>
              <w:rPr>
                <w:sz w:val="20"/>
                <w:szCs w:val="20"/>
                <w:color w:val="auto"/>
              </w:rPr>
            </w:pPr>
            <w:r>
              <w:rPr>
                <w:rFonts w:ascii="Arial" w:cs="Arial" w:eastAsia="Arial" w:hAnsi="Arial"/>
                <w:sz w:val="13"/>
                <w:szCs w:val="13"/>
                <w:b w:val="1"/>
                <w:bCs w:val="1"/>
                <w:color w:val="auto"/>
              </w:rPr>
              <w:t>Effect of foreign exchange rate on cash, cash equivalents and restricted cash</w:t>
            </w:r>
          </w:p>
        </w:tc>
        <w:tc>
          <w:tcPr>
            <w:tcW w:w="940" w:type="dxa"/>
            <w:vAlign w:val="bottom"/>
          </w:tcPr>
          <w:p>
            <w:pPr>
              <w:spacing w:after="0"/>
              <w:rPr>
                <w:sz w:val="13"/>
                <w:szCs w:val="13"/>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13"/>
                <w:szCs w:val="13"/>
                <w:color w:val="auto"/>
              </w:rPr>
              <w:t>(9 )</w:t>
            </w:r>
          </w:p>
        </w:tc>
        <w:tc>
          <w:tcPr>
            <w:tcW w:w="620" w:type="dxa"/>
            <w:vAlign w:val="bottom"/>
          </w:tcPr>
          <w:p>
            <w:pPr>
              <w:spacing w:after="0"/>
              <w:rPr>
                <w:sz w:val="13"/>
                <w:szCs w:val="13"/>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(12,577 )</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 beginning of period</w:t>
            </w: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25,172</w:t>
            </w: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4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Cash, cash equivalents and restricted cash - end of period</w:t>
            </w:r>
          </w:p>
        </w:tc>
        <w:tc>
          <w:tcPr>
            <w:tcW w:w="940" w:type="dxa"/>
            <w:vAlign w:val="bottom"/>
            <w:tcBorders>
              <w:bottom w:val="single" w:sz="8" w:color="auto"/>
            </w:tcBorders>
            <w:shd w:val="clear" w:color="auto" w:fill="CFF0FC"/>
          </w:tcPr>
          <w:p>
            <w:pPr>
              <w:jc w:val="right"/>
              <w:ind w:right="79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12,595</w:t>
            </w:r>
          </w:p>
        </w:tc>
        <w:tc>
          <w:tcPr>
            <w:tcW w:w="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7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25,172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4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300"/>
              <w:spacing w:after="0"/>
              <w:rPr>
                <w:sz w:val="20"/>
                <w:szCs w:val="20"/>
                <w:color w:val="auto"/>
              </w:rPr>
            </w:pPr>
            <w:r>
              <w:rPr>
                <w:rFonts w:ascii="Arial" w:cs="Arial" w:eastAsia="Arial" w:hAnsi="Arial"/>
                <w:sz w:val="13"/>
                <w:szCs w:val="13"/>
                <w:color w:val="auto"/>
              </w:rPr>
              <w:t>Operating cash flows from operating leases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2,187</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paid for income taxes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Cash paid for interest on financing leases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paid for interest on term loan</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4,239</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Right-of-use assets obtained in exchange for lease obligations: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300"/>
              <w:spacing w:after="0"/>
              <w:rPr>
                <w:sz w:val="20"/>
                <w:szCs w:val="20"/>
                <w:color w:val="auto"/>
              </w:rPr>
            </w:pPr>
            <w:r>
              <w:rPr>
                <w:rFonts w:ascii="Arial" w:cs="Arial" w:eastAsia="Arial" w:hAnsi="Arial"/>
                <w:sz w:val="13"/>
                <w:szCs w:val="13"/>
                <w:color w:val="auto"/>
              </w:rPr>
              <w:t>Operating lease</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Finance lease</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Lease obligations recorded for right-of-use assets:</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Operating lease</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300"/>
              <w:spacing w:after="0"/>
              <w:rPr>
                <w:sz w:val="20"/>
                <w:szCs w:val="20"/>
                <w:color w:val="auto"/>
              </w:rPr>
            </w:pPr>
            <w:r>
              <w:rPr>
                <w:rFonts w:ascii="Arial" w:cs="Arial" w:eastAsia="Arial" w:hAnsi="Arial"/>
                <w:sz w:val="13"/>
                <w:szCs w:val="13"/>
                <w:color w:val="auto"/>
              </w:rPr>
              <w:t>Finance lease</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311</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774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Acquisition of property and equipment included in accounts payable and accrued expenses</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and other current liabilities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Deferred offering costs included in accounts payable and accrued liabilities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Payment-in-kind interest income added to principal of notes receivable</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Reclassification from warrant liability to additional paid-in capital for warrants exercised</w:t>
            </w:r>
          </w:p>
        </w:tc>
        <w:tc>
          <w:tcPr>
            <w:tcW w:w="94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74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Reclassification of 4,093,995 shares of redeemable common stock to 4,093,995</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shares of common stock</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87,702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60"/>
              <w:spacing w:after="0"/>
              <w:rPr>
                <w:sz w:val="20"/>
                <w:szCs w:val="20"/>
                <w:color w:val="auto"/>
              </w:rPr>
            </w:pPr>
            <w:r>
              <w:rPr>
                <w:rFonts w:ascii="Arial" w:cs="Arial" w:eastAsia="Arial" w:hAnsi="Arial"/>
                <w:sz w:val="13"/>
                <w:szCs w:val="13"/>
                <w:color w:val="auto"/>
              </w:rPr>
              <w:t>Reclassification of redeemable common stock options to common stock options</w:t>
            </w:r>
          </w:p>
        </w:tc>
        <w:tc>
          <w:tcPr>
            <w:tcW w:w="94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47,370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Conversion of preferred stock to common stock upon initial public offering</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40" w:type="dxa"/>
            <w:vAlign w:val="bottom"/>
          </w:tcPr>
          <w:p>
            <w:pPr>
              <w:ind w:left="160"/>
              <w:spacing w:after="0"/>
              <w:rPr>
                <w:sz w:val="20"/>
                <w:szCs w:val="20"/>
                <w:color w:val="auto"/>
              </w:rPr>
            </w:pPr>
            <w:r>
              <w:rPr>
                <w:rFonts w:ascii="Arial" w:cs="Arial" w:eastAsia="Arial" w:hAnsi="Arial"/>
                <w:sz w:val="13"/>
                <w:szCs w:val="13"/>
                <w:color w:val="auto"/>
              </w:rPr>
              <w:t>Deferred offering costs reclassified to additional paid in capital</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-4663440</wp:posOffset>
            </wp:positionV>
            <wp:extent cx="68580" cy="111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-4663440</wp:posOffset>
            </wp:positionV>
            <wp:extent cx="68580" cy="1111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-4243705</wp:posOffset>
            </wp:positionV>
            <wp:extent cx="68580"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-4243705</wp:posOffset>
            </wp:positionV>
            <wp:extent cx="6858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-2780030</wp:posOffset>
            </wp:positionV>
            <wp:extent cx="68580" cy="1111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-2780030</wp:posOffset>
            </wp:positionV>
            <wp:extent cx="68580" cy="111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-2351405</wp:posOffset>
            </wp:positionV>
            <wp:extent cx="1233170"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3170" cy="12827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22" w:lineRule="exact"/>
        <w:rPr>
          <w:sz w:val="20"/>
          <w:szCs w:val="20"/>
          <w:color w:val="auto"/>
        </w:rPr>
      </w:pPr>
    </w:p>
    <w:p>
      <w:pPr>
        <w:ind w:right="200" w:firstLine="374"/>
        <w:spacing w:after="0" w:line="237" w:lineRule="auto"/>
        <w:rPr>
          <w:sz w:val="20"/>
          <w:szCs w:val="20"/>
          <w:color w:val="auto"/>
        </w:rPr>
      </w:pPr>
      <w:r>
        <w:rPr>
          <w:rFonts w:ascii="Arial" w:cs="Arial" w:eastAsia="Arial" w:hAnsi="Arial"/>
          <w:sz w:val="18"/>
          <w:szCs w:val="18"/>
          <w:color w:val="auto"/>
        </w:rPr>
        <w:t>RxSight</w:t>
      </w:r>
      <w:r>
        <w:rPr>
          <w:rFonts w:ascii="Arial" w:cs="Arial" w:eastAsia="Arial" w:hAnsi="Arial"/>
          <w:sz w:val="24"/>
          <w:szCs w:val="24"/>
          <w:color w:val="auto"/>
          <w:vertAlign w:val="superscript"/>
        </w:rPr>
        <w:t>®</w:t>
      </w:r>
      <w:r>
        <w:rPr>
          <w:rFonts w:ascii="Arial" w:cs="Arial" w:eastAsia="Arial" w:hAnsi="Arial"/>
          <w:sz w:val="18"/>
          <w:szCs w:val="18"/>
          <w:color w:val="auto"/>
        </w:rPr>
        <w:t>, Inc. (the “Company”) is a Delaware corporation headquartered in Aliso Viejo, California with one 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p>
    <w:p>
      <w:pPr>
        <w:spacing w:after="0" w:line="139" w:lineRule="exact"/>
        <w:rPr>
          <w:sz w:val="20"/>
          <w:szCs w:val="20"/>
          <w:color w:val="auto"/>
        </w:rPr>
      </w:pPr>
    </w:p>
    <w:p>
      <w:pPr>
        <w:ind w:right="80" w:firstLine="374"/>
        <w:spacing w:after="0" w:line="257" w:lineRule="auto"/>
        <w:rPr>
          <w:sz w:val="20"/>
          <w:szCs w:val="20"/>
          <w:color w:val="auto"/>
        </w:rPr>
      </w:pPr>
      <w:r>
        <w:rPr>
          <w:rFonts w:ascii="Arial" w:cs="Arial" w:eastAsia="Arial" w:hAnsi="Arial"/>
          <w:sz w:val="16"/>
          <w:szCs w:val="16"/>
          <w:color w:val="auto"/>
        </w:rPr>
        <w:t>The Company’s products, which include the light adjustable lens (“LAL</w:t>
      </w:r>
      <w:r>
        <w:rPr>
          <w:rFonts w:ascii="Arial" w:cs="Arial" w:eastAsia="Arial" w:hAnsi="Arial"/>
          <w:sz w:val="21"/>
          <w:szCs w:val="21"/>
          <w:color w:val="auto"/>
          <w:vertAlign w:val="superscript"/>
        </w:rPr>
        <w:t>®</w:t>
      </w:r>
      <w:r>
        <w:rPr>
          <w:rFonts w:ascii="Arial" w:cs="Arial" w:eastAsia="Arial" w:hAnsi="Arial"/>
          <w:sz w:val="16"/>
          <w:szCs w:val="16"/>
          <w:color w:val="auto"/>
        </w:rPr>
        <w:t>”) and a specially designed machine for delivering light to the eye, the Light Delivery Device (“LDD</w:t>
      </w:r>
      <w:r>
        <w:rPr>
          <w:rFonts w:ascii="Arial" w:cs="Arial" w:eastAsia="Arial" w:hAnsi="Arial"/>
          <w:sz w:val="21"/>
          <w:szCs w:val="21"/>
          <w:color w:val="auto"/>
          <w:vertAlign w:val="superscript"/>
        </w:rPr>
        <w:t>™</w:t>
      </w:r>
      <w:r>
        <w:rPr>
          <w:rFonts w:ascii="Arial" w:cs="Arial" w:eastAsia="Arial" w:hAnsi="Arial"/>
          <w:sz w:val="16"/>
          <w:szCs w:val="16"/>
          <w:color w:val="auto"/>
        </w:rPr>
        <w:t>”),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 in the U.S. and Europe.</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ind w:right="200" w:firstLine="37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RxSight, Inc. and its wholly-owned subsidiaries, RxSight, B.V., located in the Netherlands, and RxSight GmbH, located in Germany. The Company translates the financial statements of its foreign subsidiaries using end-of-period exchange rates for assets and liabilities and average exchange rates during each reporting period for results of operations. All significant inter-company balances and transactions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Segments</w:t>
      </w:r>
    </w:p>
    <w:p>
      <w:pPr>
        <w:spacing w:after="0" w:line="117" w:lineRule="exact"/>
        <w:rPr>
          <w:sz w:val="20"/>
          <w:szCs w:val="20"/>
          <w:color w:val="auto"/>
        </w:rPr>
      </w:pPr>
    </w:p>
    <w:p>
      <w:pPr>
        <w:jc w:val="both"/>
        <w:ind w:right="180" w:firstLine="374"/>
        <w:spacing w:after="0" w:line="263" w:lineRule="auto"/>
        <w:rPr>
          <w:sz w:val="20"/>
          <w:szCs w:val="20"/>
          <w:color w:val="auto"/>
        </w:rPr>
      </w:pPr>
      <w:r>
        <w:rPr>
          <w:rFonts w:ascii="Arial" w:cs="Arial" w:eastAsia="Arial" w:hAnsi="Arial"/>
          <w:sz w:val="18"/>
          <w:szCs w:val="18"/>
          <w:color w:val="auto"/>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w:t>
      </w:r>
    </w:p>
    <w:p>
      <w:pPr>
        <w:spacing w:after="0" w:line="115" w:lineRule="exact"/>
        <w:rPr>
          <w:sz w:val="20"/>
          <w:szCs w:val="20"/>
          <w:color w:val="auto"/>
        </w:rPr>
      </w:pPr>
    </w:p>
    <w:p>
      <w:pPr>
        <w:jc w:val="both"/>
        <w:ind w:right="200" w:firstLine="374"/>
        <w:spacing w:after="0" w:line="277" w:lineRule="auto"/>
        <w:rPr>
          <w:sz w:val="20"/>
          <w:szCs w:val="20"/>
          <w:color w:val="auto"/>
        </w:rPr>
      </w:pPr>
      <w:r>
        <w:rPr>
          <w:rFonts w:ascii="Arial" w:cs="Arial" w:eastAsia="Arial" w:hAnsi="Arial"/>
          <w:sz w:val="18"/>
          <w:szCs w:val="18"/>
          <w:color w:val="auto"/>
        </w:rPr>
        <w:t>The Company determined that it operates and manages its business (including its non-U.S. subsidiaries) in one reportable segment: the research and development, manufacture and sale of light adjustable lenses and related capital equipment.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w:t>
      </w: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On July 22, 2021, the Company’s Board of Directors (“Board”) approved an amendment to the Company’s certificate of incorporation to effect a reverse split of shares of the Company’s common stock, excluding Series G and Series W common stock, and convertible preferred stock on a 1-for-10.33 basis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July 29, 2021, the Company completed its IPO which resulted in the issuance and sale of 8,248,549 shares of its common stock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The aggregate net proceeds from the offering, which included 898,549 common shares sold upon the partial exercise of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after deducting underwriting discounts and commissions of $9.2 million and other offering costs of $3.2 million,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$119.6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9" w:name="page110"/>
    <w:bookmarkEnd w:id="109"/>
    <w:p>
      <w:pPr>
        <w:ind w:right="200" w:firstLine="374"/>
        <w:spacing w:after="0" w:line="263" w:lineRule="auto"/>
        <w:rPr>
          <w:sz w:val="20"/>
          <w:szCs w:val="20"/>
          <w:color w:val="auto"/>
        </w:rPr>
      </w:pPr>
      <w:r>
        <w:rPr>
          <w:rFonts w:ascii="Arial" w:cs="Arial" w:eastAsia="Arial" w:hAnsi="Arial"/>
          <w:sz w:val="18"/>
          <w:szCs w:val="18"/>
          <w:color w:val="auto"/>
        </w:rPr>
        <w:t>Immediately prior to the completion of the IPO, (i) 14,376,272 outstanding shares of the Company's convertible preferred stock were converted into an aggregate of 14,725,309 shares of common stock and (ii) 225,945 warrants to purchase Series H convertible preferred stock were exercised and converted into 100,261 shares of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On August 8, 2022, the Company filed a $200.0 million shelf registration statement on Form S-3 (“shelf registration statement”) which became effective on August 12, 2022. The shelf registration statement is effective for three years and permits the Company to sell, from time to time, up to $200.0 million in aggregate value of common stock, preferred stock, debt securities, warrants, and/or units. The shelf registration statement is intended to provide the Company with flexibility to access additional capital. Included in the $200.0 million shelf registration statement the Company also filed a prospectus supplement to sell up to an aggregate value of $50.0 million dollars of common stock through an “at-the-market” (“ATM”) offering. During the year ended December 31, 2022 the Company sold 475,875 common shares “at-the-market” for $6.0 million in proceeds after deducting underwriting discounts and commissions and other offering expenses.</w:t>
      </w:r>
    </w:p>
    <w:p>
      <w:pPr>
        <w:spacing w:after="0" w:line="112"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As of December 31, 2022 and 2021 the Company has cash, cash equivalents and short-term investments of $105.8 million and $159.3 million, respectively.</w:t>
      </w:r>
    </w:p>
    <w:p>
      <w:pPr>
        <w:spacing w:after="0" w:line="102" w:lineRule="exact"/>
        <w:rPr>
          <w:sz w:val="20"/>
          <w:szCs w:val="20"/>
          <w:color w:val="auto"/>
        </w:rPr>
      </w:pPr>
    </w:p>
    <w:p>
      <w:pPr>
        <w:ind w:right="260" w:firstLine="374"/>
        <w:spacing w:after="0" w:line="255" w:lineRule="auto"/>
        <w:rPr>
          <w:sz w:val="20"/>
          <w:szCs w:val="20"/>
          <w:color w:val="auto"/>
        </w:rPr>
      </w:pPr>
      <w:r>
        <w:rPr>
          <w:rFonts w:ascii="Arial" w:cs="Arial" w:eastAsia="Arial" w:hAnsi="Arial"/>
          <w:sz w:val="18"/>
          <w:szCs w:val="18"/>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years ended December 31, 2022 and 2021, the Company incurred losses from operations of $63.3 million and $52.8 million, respectively.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123"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December 31, 2022 and meet its future capital funding needs 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7" w:lineRule="exact"/>
        <w:rPr>
          <w:sz w:val="20"/>
          <w:szCs w:val="20"/>
          <w:color w:val="auto"/>
        </w:rPr>
      </w:pPr>
    </w:p>
    <w:p>
      <w:pPr>
        <w:ind w:right="380" w:firstLine="374"/>
        <w:spacing w:after="0" w:line="25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informed estimates, judgments and assumptions that affect the reported amounts in the consolidated financial</w:t>
      </w:r>
    </w:p>
    <w:p>
      <w:pPr>
        <w:spacing w:after="0" w:line="1" w:lineRule="exact"/>
        <w:rPr>
          <w:sz w:val="20"/>
          <w:szCs w:val="20"/>
          <w:color w:val="auto"/>
        </w:rPr>
      </w:pPr>
    </w:p>
    <w:p>
      <w:pPr>
        <w:ind w:firstLine="45"/>
        <w:spacing w:after="0" w:line="253" w:lineRule="auto"/>
        <w:rPr>
          <w:sz w:val="20"/>
          <w:szCs w:val="20"/>
          <w:color w:val="auto"/>
        </w:rPr>
      </w:pPr>
      <w:r>
        <w:rPr>
          <w:rFonts w:ascii="Arial" w:cs="Arial" w:eastAsia="Arial" w:hAnsi="Arial"/>
          <w:sz w:val="18"/>
          <w:szCs w:val="18"/>
          <w:color w:val="auto"/>
        </w:rPr>
        <w:t>statements and disclosures in the accompanying notes as of the date of the accompanying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consolidated financial statements under different assumptions or conditions.</w:t>
      </w:r>
    </w:p>
    <w:p>
      <w:pPr>
        <w:spacing w:after="0" w:line="124"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The Company’s consolidated financial statements as of and for the year ended December 31, 2022 reflect the Company’s estimates of the impact of the macroeconomic environment, including the impact of inflation, higher interest rates, foreign exchange rate fluctuations and the COVID-19 pandemic.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date of this filing.</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Cash Equivalents</w:t>
      </w:r>
    </w:p>
    <w:p>
      <w:pPr>
        <w:spacing w:after="0" w:line="157" w:lineRule="exact"/>
        <w:rPr>
          <w:sz w:val="20"/>
          <w:szCs w:val="20"/>
          <w:color w:val="auto"/>
        </w:rPr>
      </w:pPr>
    </w:p>
    <w:p>
      <w:pPr>
        <w:jc w:val="both"/>
        <w:ind w:right="160" w:firstLine="374"/>
        <w:spacing w:after="0" w:line="263"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44"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consolidated balance sheets. Realized gains and losses are included as other income (expense) in the accompanying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03" w:lineRule="exact"/>
        <w:rPr>
          <w:sz w:val="20"/>
          <w:szCs w:val="20"/>
          <w:color w:val="auto"/>
        </w:rPr>
      </w:pPr>
    </w:p>
    <w:p>
      <w:pPr>
        <w:ind w:left="1020" w:hanging="50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investment has been in a continuous loss position for over 12 months;</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duration to maturity of investments;</w:t>
      </w:r>
    </w:p>
    <w:p>
      <w:pPr>
        <w:spacing w:after="0" w:line="143" w:lineRule="exact"/>
        <w:rPr>
          <w:rFonts w:ascii="Arial" w:cs="Arial" w:eastAsia="Arial" w:hAnsi="Arial"/>
          <w:sz w:val="18"/>
          <w:szCs w:val="18"/>
          <w:color w:val="auto"/>
        </w:rPr>
      </w:pPr>
    </w:p>
    <w:p>
      <w:pPr>
        <w:ind w:left="1020" w:right="460" w:hanging="504"/>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102" w:lineRule="exact"/>
        <w:rPr>
          <w:rFonts w:ascii="Arial" w:cs="Arial" w:eastAsia="Arial" w:hAnsi="Arial"/>
          <w:sz w:val="18"/>
          <w:szCs w:val="18"/>
          <w:color w:val="auto"/>
        </w:rPr>
      </w:pPr>
    </w:p>
    <w:p>
      <w:pPr>
        <w:ind w:left="1020" w:hanging="50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credit rating, financial condition and near-term prospects of the issuer and</w:t>
      </w:r>
    </w:p>
    <w:p>
      <w:pPr>
        <w:spacing w:after="0" w:line="157" w:lineRule="exact"/>
        <w:rPr>
          <w:rFonts w:ascii="Arial" w:cs="Arial" w:eastAsia="Arial" w:hAnsi="Arial"/>
          <w:sz w:val="18"/>
          <w:szCs w:val="18"/>
          <w:color w:val="auto"/>
        </w:rPr>
      </w:pPr>
    </w:p>
    <w:p>
      <w:pPr>
        <w:ind w:left="1020" w:hanging="50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type of investments made.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recognized $75,000 and $9,000 of unrealized losses related to short-term investments as of December 31, 2022 and 2021, respectively.</w:t>
      </w:r>
    </w:p>
    <w:p>
      <w:pPr>
        <w:spacing w:after="0" w:line="180"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At each reporting date, the Company performs an evaluation of impairment to determine if any unrealized losses are the result of credit losses. The Company did not record an allowance for credit losses for these investments as of December 31, 2022 and December 31, 2021. For additional information see Note 3 – Short-Term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44" w:lineRule="exact"/>
        <w:rPr>
          <w:sz w:val="20"/>
          <w:szCs w:val="20"/>
          <w:color w:val="auto"/>
        </w:rPr>
      </w:pPr>
    </w:p>
    <w:p>
      <w:pPr>
        <w:ind w:right="280" w:firstLine="374"/>
        <w:spacing w:after="0" w:line="341" w:lineRule="auto"/>
        <w:rPr>
          <w:sz w:val="20"/>
          <w:szCs w:val="20"/>
          <w:color w:val="auto"/>
        </w:rPr>
      </w:pPr>
      <w:r>
        <w:rPr>
          <w:rFonts w:ascii="Arial" w:cs="Arial" w:eastAsia="Arial" w:hAnsi="Arial"/>
          <w:sz w:val="16"/>
          <w:szCs w:val="16"/>
          <w:color w:val="auto"/>
        </w:rPr>
        <w:t>Restricted cash consists of cash held as collateral for a letter of credit as security for future facility lease payments and corporate credit cards at the Company’s bank. Restricted cash decreased $50,000 during the year ended December 31, 2022 to $761,000 as required for these operating activities.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6" w:right="379" w:bottom="1440" w:gutter="0" w:footer="0" w:header="0"/>
        </w:sectPr>
      </w:pPr>
    </w:p>
    <w:bookmarkStart w:id="111" w:name="page112"/>
    <w:bookmarkEnd w:id="111"/>
    <w:p>
      <w:pPr>
        <w:ind w:right="260" w:firstLine="374"/>
        <w:spacing w:after="0" w:line="307" w:lineRule="auto"/>
        <w:rPr>
          <w:sz w:val="20"/>
          <w:szCs w:val="20"/>
          <w:color w:val="auto"/>
        </w:rPr>
      </w:pPr>
      <w:r>
        <w:rPr>
          <w:rFonts w:ascii="Arial" w:cs="Arial" w:eastAsia="Arial" w:hAnsi="Arial"/>
          <w:sz w:val="17"/>
          <w:szCs w:val="17"/>
          <w:color w:val="auto"/>
        </w:rPr>
        <w:t>The following table provides a reconciliation of cash and cash equivalents and restricted cash reported within the consolidated balance sheets to the amount reported in the Consolidated Statement of Cash Flows for the years ended December 31, 2022 and 2021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89"/>
              </w:rPr>
              <w:t>Year Ended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6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1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11,834</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24,361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5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20"/>
              <w:spacing w:after="0"/>
              <w:rPr>
                <w:sz w:val="20"/>
                <w:szCs w:val="20"/>
                <w:color w:val="auto"/>
              </w:rPr>
            </w:pPr>
            <w:r>
              <w:rPr>
                <w:rFonts w:ascii="Arial" w:cs="Arial" w:eastAsia="Arial" w:hAnsi="Arial"/>
                <w:sz w:val="18"/>
                <w:szCs w:val="18"/>
                <w:color w:val="auto"/>
                <w:w w:val="93"/>
              </w:rPr>
              <w:t>Cash, cash equivalents and restricted cash in the consolidated statements of cash</w:t>
            </w:r>
          </w:p>
        </w:tc>
        <w:tc>
          <w:tcPr>
            <w:tcW w:w="1500" w:type="dxa"/>
            <w:vAlign w:val="bottom"/>
            <w:vMerge w:val="restart"/>
          </w:tcPr>
          <w:p>
            <w:pPr>
              <w:jc w:val="right"/>
              <w:ind w:right="13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12,595</w:t>
            </w: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25,172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3" w:lineRule="exact"/>
              <w:rPr>
                <w:sz w:val="20"/>
                <w:szCs w:val="20"/>
                <w:color w:val="auto"/>
              </w:rPr>
            </w:pPr>
            <w:r>
              <w:rPr>
                <w:rFonts w:ascii="Arial" w:cs="Arial" w:eastAsia="Arial" w:hAnsi="Arial"/>
                <w:sz w:val="18"/>
                <w:szCs w:val="18"/>
                <w:color w:val="auto"/>
              </w:rPr>
              <w:t>flows</w:t>
            </w:r>
          </w:p>
        </w:tc>
        <w:tc>
          <w:tcPr>
            <w:tcW w:w="15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-299085</wp:posOffset>
            </wp:positionV>
            <wp:extent cx="68580" cy="2997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2997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5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23"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04" w:lineRule="exact"/>
        <w:rPr>
          <w:sz w:val="20"/>
          <w:szCs w:val="20"/>
          <w:color w:val="auto"/>
        </w:rPr>
      </w:pPr>
    </w:p>
    <w:p>
      <w:pPr>
        <w:jc w:val="both"/>
        <w:ind w:right="240" w:firstLine="374"/>
        <w:spacing w:after="0" w:line="311" w:lineRule="auto"/>
        <w:rPr>
          <w:sz w:val="20"/>
          <w:szCs w:val="20"/>
          <w:color w:val="auto"/>
        </w:rPr>
      </w:pPr>
      <w:r>
        <w:rPr>
          <w:rFonts w:ascii="Arial" w:cs="Arial" w:eastAsia="Arial" w:hAnsi="Arial"/>
          <w:sz w:val="16"/>
          <w:szCs w:val="16"/>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57"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Accounts receivable pertain to contracts with customers who are granted credit by the Company in the ordinary course of business and are presented net of allowances for credit losses. Accounts receivable are typically due between 30 and 90 days after invoicing.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Once a receivable is deemed uncollectible after collection efforts have been exhausted, it is written off against the allowance for credit losses. The Company closely monitors the credit quality of its customers and has yet to experience a write-off of a receivable or uncollected receivable. The Company does not generally require collateral or other security on receivables.</w:t>
      </w:r>
    </w:p>
    <w:p>
      <w:pPr>
        <w:spacing w:after="0" w:line="82" w:lineRule="exact"/>
        <w:rPr>
          <w:sz w:val="20"/>
          <w:szCs w:val="20"/>
          <w:color w:val="auto"/>
        </w:rPr>
      </w:pPr>
    </w:p>
    <w:p>
      <w:pPr>
        <w:ind w:right="560" w:firstLine="374"/>
        <w:spacing w:after="0" w:line="263" w:lineRule="auto"/>
        <w:rPr>
          <w:sz w:val="20"/>
          <w:szCs w:val="20"/>
          <w:color w:val="auto"/>
        </w:rPr>
      </w:pPr>
      <w:r>
        <w:rPr>
          <w:rFonts w:ascii="Arial" w:cs="Arial" w:eastAsia="Arial" w:hAnsi="Arial"/>
          <w:sz w:val="18"/>
          <w:szCs w:val="18"/>
          <w:color w:val="auto"/>
        </w:rPr>
        <w:t>The Company has a diverse customer base and as of December 31, 2022, and 2021 the Company did not have any customer who individually accounted for greater than 10% of accounts receivable. After evaluation of the collectability of accounts receivable, the Company did not record any significant allowance for credit losses as of December 31, 2022 or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7"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approach are used to measure fair value. The fair value hierarchy prioritizes the inputs to valuation techniques used to measure fair value into three levels:</w:t>
      </w:r>
    </w:p>
    <w:p>
      <w:pPr>
        <w:spacing w:after="0" w:line="140" w:lineRule="exact"/>
        <w:rPr>
          <w:sz w:val="20"/>
          <w:szCs w:val="20"/>
          <w:color w:val="auto"/>
        </w:rPr>
      </w:pPr>
    </w:p>
    <w:p>
      <w:pPr>
        <w:ind w:left="760" w:right="720"/>
        <w:spacing w:after="0" w:line="277"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89" w:lineRule="exact"/>
        <w:rPr>
          <w:sz w:val="20"/>
          <w:szCs w:val="20"/>
          <w:color w:val="auto"/>
        </w:rPr>
      </w:pPr>
    </w:p>
    <w:p>
      <w:pPr>
        <w:ind w:left="760"/>
        <w:spacing w:after="0" w:line="256"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23"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123"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04"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December 31, 2022 and 2021 approximated their carrying values, based on the borrowing rates that were available for loans with similar terms as of that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57"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57"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w:t>
      </w:r>
    </w:p>
    <w:p>
      <w:pPr>
        <w:spacing w:after="0" w:line="118"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All long-lived assets are reviewed for impairment whenever circumstances such as events or changes in the business indicate that an asset or asset group’s carrying value may not be recoverable based on undiscounted future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3" w:name="page114"/>
    <w:bookmarkEnd w:id="113"/>
    <w:p>
      <w:pPr>
        <w:ind w:right="160"/>
        <w:spacing w:after="0" w:line="270" w:lineRule="auto"/>
        <w:rPr>
          <w:sz w:val="20"/>
          <w:szCs w:val="20"/>
          <w:color w:val="auto"/>
        </w:rPr>
      </w:pPr>
      <w:r>
        <w:rPr>
          <w:rFonts w:ascii="Arial" w:cs="Arial" w:eastAsia="Arial" w:hAnsi="Arial"/>
          <w:sz w:val="17"/>
          <w:szCs w:val="17"/>
          <w:color w:val="auto"/>
        </w:rPr>
        <w:t>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 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7"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44"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123"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71"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gridSpan w:val="2"/>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2"/>
          </w:tcPr>
          <w:p>
            <w:pPr>
              <w:jc w:val="right"/>
              <w:ind w:right="8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3"/>
        </w:trPr>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2"/>
              </w:rPr>
              <w:t>Stock options issued and outstanding under the Calhoun Vision, Inc. 2006 Stock Plan,</w:t>
            </w: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960" w:type="dxa"/>
            <w:vAlign w:val="bottom"/>
            <w:gridSpan w:val="3"/>
          </w:tcPr>
          <w:p>
            <w:pPr>
              <w:ind w:left="200"/>
              <w:spacing w:after="0"/>
              <w:rPr>
                <w:sz w:val="20"/>
                <w:szCs w:val="20"/>
                <w:color w:val="auto"/>
              </w:rPr>
            </w:pPr>
            <w:r>
              <w:rPr>
                <w:rFonts w:ascii="Arial" w:cs="Arial" w:eastAsia="Arial" w:hAnsi="Arial"/>
                <w:sz w:val="18"/>
                <w:szCs w:val="18"/>
                <w:color w:val="auto"/>
              </w:rPr>
              <w:t>Calhoun Vision, Inc. 2015 Equity Incentive Plan and the 2021 Equity Incentive Plan</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1,926,226</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2,144,860</w:t>
            </w:r>
          </w:p>
        </w:tc>
        <w:tc>
          <w:tcPr>
            <w:tcW w:w="100" w:type="dxa"/>
            <w:vAlign w:val="bottom"/>
          </w:tcPr>
          <w:p>
            <w:pPr>
              <w:spacing w:after="0"/>
              <w:rPr>
                <w:sz w:val="20"/>
                <w:szCs w:val="20"/>
                <w:color w:val="auto"/>
              </w:rPr>
            </w:pPr>
          </w:p>
        </w:tc>
      </w:tr>
      <w:tr>
        <w:trPr>
          <w:trHeight w:val="249"/>
        </w:trPr>
        <w:tc>
          <w:tcPr>
            <w:tcW w:w="79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543,538</w:t>
            </w:r>
          </w:p>
        </w:tc>
        <w:tc>
          <w:tcPr>
            <w:tcW w:w="2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223,716</w:t>
            </w:r>
          </w:p>
        </w:tc>
        <w:tc>
          <w:tcPr>
            <w:tcW w:w="100" w:type="dxa"/>
            <w:vAlign w:val="bottom"/>
            <w:shd w:val="clear" w:color="auto" w:fill="CFF0FC"/>
          </w:tcPr>
          <w:p>
            <w:pPr>
              <w:spacing w:after="0"/>
              <w:rPr>
                <w:sz w:val="21"/>
                <w:szCs w:val="21"/>
                <w:color w:val="auto"/>
              </w:rPr>
            </w:pPr>
          </w:p>
        </w:tc>
      </w:tr>
      <w:tr>
        <w:trPr>
          <w:trHeight w:val="230"/>
        </w:trPr>
        <w:tc>
          <w:tcPr>
            <w:tcW w:w="7960" w:type="dxa"/>
            <w:vAlign w:val="bottom"/>
            <w:gridSpan w:val="3"/>
          </w:tcPr>
          <w:p>
            <w:pPr>
              <w:ind w:left="200"/>
              <w:spacing w:after="0"/>
              <w:rPr>
                <w:sz w:val="20"/>
                <w:szCs w:val="20"/>
                <w:color w:val="auto"/>
              </w:rPr>
            </w:pPr>
            <w:r>
              <w:rPr>
                <w:rFonts w:ascii="Arial" w:cs="Arial" w:eastAsia="Arial" w:hAnsi="Arial"/>
                <w:sz w:val="18"/>
                <w:szCs w:val="18"/>
                <w:color w:val="auto"/>
              </w:rPr>
              <w:t>Stock issuable in offering period under the 2021 Employee Stock Purchase Plan</w:t>
            </w:r>
          </w:p>
        </w:tc>
        <w:tc>
          <w:tcPr>
            <w:tcW w:w="780" w:type="dxa"/>
            <w:vAlign w:val="bottom"/>
          </w:tcPr>
          <w:p>
            <w:pPr>
              <w:jc w:val="right"/>
              <w:spacing w:after="0"/>
              <w:rPr>
                <w:sz w:val="20"/>
                <w:szCs w:val="20"/>
                <w:color w:val="auto"/>
              </w:rPr>
            </w:pPr>
            <w:r>
              <w:rPr>
                <w:rFonts w:ascii="Arial" w:cs="Arial" w:eastAsia="Arial" w:hAnsi="Arial"/>
                <w:sz w:val="18"/>
                <w:szCs w:val="18"/>
                <w:color w:val="auto"/>
              </w:rPr>
              <w:t>48,594</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8,248</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4" w:name="page115"/>
    <w:bookmarkEnd w:id="114"/>
    <w:p>
      <w:pPr>
        <w:ind w:right="40" w:firstLine="374"/>
        <w:spacing w:after="0" w:line="287" w:lineRule="auto"/>
        <w:rPr>
          <w:sz w:val="20"/>
          <w:szCs w:val="20"/>
          <w:color w:val="auto"/>
        </w:rPr>
      </w:pPr>
      <w:r>
        <w:rPr>
          <w:rFonts w:ascii="Arial" w:cs="Arial" w:eastAsia="Arial" w:hAnsi="Arial"/>
          <w:sz w:val="16"/>
          <w:szCs w:val="16"/>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spacing w:after="0" w:line="2" w:lineRule="exact"/>
        <w:rPr>
          <w:sz w:val="20"/>
          <w:szCs w:val="20"/>
          <w:color w:val="auto"/>
        </w:rPr>
      </w:pPr>
    </w:p>
    <w:p>
      <w:pPr>
        <w:ind w:firstLine="8"/>
        <w:spacing w:after="0" w:line="268" w:lineRule="auto"/>
        <w:tabs>
          <w:tab w:leader="none" w:pos="304"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98" w:lineRule="exact"/>
        <w:rPr>
          <w:sz w:val="20"/>
          <w:szCs w:val="20"/>
          <w:color w:val="auto"/>
        </w:rPr>
      </w:pPr>
    </w:p>
    <w:p>
      <w:pPr>
        <w:ind w:right="20" w:firstLine="374"/>
        <w:spacing w:after="0" w:line="285"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02"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LALs are generally held at customer sites on consignment. The single performance obligation is satisfied, and revenue is recognized for LALs upon customer notification that the LALs have been implanted in a patient. For the years ended December 31, 2022 and 2021, credits related to returns and rebates on list prices were not significant.</w:t>
      </w:r>
    </w:p>
    <w:p>
      <w:pPr>
        <w:spacing w:after="0" w:line="11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5" w:name="page116"/>
    <w:bookmarkEnd w:id="115"/>
    <w:p>
      <w:pPr>
        <w:ind w:right="40" w:firstLine="374"/>
        <w:spacing w:after="0" w:line="277" w:lineRule="auto"/>
        <w:rPr>
          <w:sz w:val="20"/>
          <w:szCs w:val="20"/>
          <w:color w:val="auto"/>
        </w:rPr>
      </w:pPr>
      <w:r>
        <w:rPr>
          <w:rFonts w:ascii="Arial" w:cs="Arial" w:eastAsia="Arial" w:hAnsi="Arial"/>
          <w:sz w:val="18"/>
          <w:szCs w:val="18"/>
          <w:color w:val="auto"/>
        </w:rPr>
        <w:t>For the years ended December 31, 2022 and 2021, contract liabilities from sales activity recorded as liabilities on the Company's consolidated balance sheets consisted of the following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76"/>
        </w:trPr>
        <w:tc>
          <w:tcPr>
            <w:tcW w:w="60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24"/>
                <w:szCs w:val="24"/>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during the period</w:t>
            </w:r>
          </w:p>
        </w:tc>
        <w:tc>
          <w:tcPr>
            <w:tcW w:w="62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620" w:type="dxa"/>
            <w:vAlign w:val="bottom"/>
          </w:tcPr>
          <w:p>
            <w:pPr>
              <w:spacing w:after="0"/>
              <w:rPr>
                <w:sz w:val="20"/>
                <w:szCs w:val="20"/>
                <w:color w:val="auto"/>
              </w:rPr>
            </w:pP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(1,405 )</w:t>
            </w:r>
          </w:p>
        </w:tc>
        <w:tc>
          <w:tcPr>
            <w:tcW w:w="7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(598 )</w:t>
            </w:r>
          </w:p>
        </w:tc>
      </w:tr>
      <w:tr>
        <w:trPr>
          <w:trHeight w:val="27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6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2"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For the year ended December 31, 2022 and 2021, the Company did not have any customers who individually accounted for greater than 10% of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Cost of sales consists of materials, labor and manufacturing overhead incurred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royalty and license fee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7"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 Company recognizes compensation expense for equity-based awards on the date of grant to employees, board of directors and consultants based on the estimated grant date fair value of the award Equity-based payments include stock options, restricted stock units and employee stock plan purchases. The fair value of the option awards are estimated using the Black-Scholes option-pricing model and recognized in expense in the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Compensation cost for stock options with performance conditions is recognized based upon the probability of that performance condition being met. Forfeitures of unvested stock option awards are recognized as reductions of expense as they occur.</w:t>
      </w:r>
    </w:p>
    <w:p>
      <w:pPr>
        <w:spacing w:after="0" w:line="113"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Black-Scholes option-pricing model requires the use of assumptions about a number of variables, such as the fair market value of the Company’s common stock, the risk-free interest rate, dividend yield, expected term and expected volatility:</w:t>
      </w:r>
    </w:p>
    <w:p>
      <w:pPr>
        <w:spacing w:after="0" w:line="62" w:lineRule="exact"/>
        <w:rPr>
          <w:sz w:val="20"/>
          <w:szCs w:val="20"/>
          <w:color w:val="auto"/>
        </w:rPr>
      </w:pPr>
    </w:p>
    <w:p>
      <w:pPr>
        <w:ind w:left="1260" w:right="60" w:hanging="503"/>
        <w:spacing w:after="0" w:line="256"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the Company's shares being traded on the Nasdaq Global Market, the fair value of the Company’s common stock was determined by the Company’s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116" w:name="page117"/>
    <w:bookmarkEnd w:id="116"/>
    <w:p>
      <w:pPr>
        <w:ind w:left="1260" w:right="20"/>
        <w:spacing w:after="0" w:line="256" w:lineRule="auto"/>
        <w:rPr>
          <w:sz w:val="20"/>
          <w:szCs w:val="20"/>
          <w:color w:val="auto"/>
        </w:rPr>
      </w:pPr>
      <w:r>
        <w:rPr>
          <w:rFonts w:ascii="Arial" w:cs="Arial" w:eastAsia="Arial" w:hAnsi="Arial"/>
          <w:sz w:val="18"/>
          <w:szCs w:val="18"/>
          <w:color w:val="auto"/>
        </w:rPr>
        <w:t>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the Company's shares being traded on the Nasdaq Global Market in July 2021, the fair value of common stock was determined by using the closing price per share of common stock as reported on the Nasdaq Global Market;</w:t>
      </w:r>
    </w:p>
    <w:p>
      <w:pPr>
        <w:spacing w:after="0" w:line="83" w:lineRule="exact"/>
        <w:rPr>
          <w:sz w:val="20"/>
          <w:szCs w:val="20"/>
          <w:color w:val="auto"/>
        </w:rPr>
      </w:pPr>
    </w:p>
    <w:p>
      <w:pPr>
        <w:ind w:left="1260" w:right="280" w:hanging="503"/>
        <w:spacing w:after="0" w:line="277" w:lineRule="auto"/>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risk-free interest rate used is based on the published U.S. Department of Treasury interest rates in effect at the time of stock option grant for zero coupon U.S. Treasury notes with maturities approximating each grant’s expected term;</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dividend yield is zero as the Company has not paid dividends and does not anticipate paying a cash dividend in the foreseeable future;</w:t>
      </w:r>
    </w:p>
    <w:p>
      <w:pPr>
        <w:spacing w:after="0" w:line="139" w:lineRule="exact"/>
        <w:rPr>
          <w:rFonts w:ascii="Arial" w:cs="Arial" w:eastAsia="Arial" w:hAnsi="Arial"/>
          <w:sz w:val="16"/>
          <w:szCs w:val="16"/>
          <w:color w:val="auto"/>
        </w:rPr>
      </w:pPr>
    </w:p>
    <w:p>
      <w:pPr>
        <w:ind w:left="1260" w:right="40" w:hanging="503"/>
        <w:spacing w:after="0" w:line="263" w:lineRule="auto"/>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Due to the lack of historical exercise history, the expected term for options granted is calculated using the “simplified method” and represents the average time that options are expected to be outstanding based on the mid-point between the vesting date and the end of the contractual term of the award;</w:t>
      </w:r>
    </w:p>
    <w:p>
      <w:pPr>
        <w:spacing w:after="0" w:line="74" w:lineRule="exact"/>
        <w:rPr>
          <w:rFonts w:ascii="Arial" w:cs="Arial" w:eastAsia="Arial" w:hAnsi="Arial"/>
          <w:sz w:val="18"/>
          <w:szCs w:val="18"/>
          <w:color w:val="auto"/>
        </w:rPr>
      </w:pPr>
    </w:p>
    <w:p>
      <w:pPr>
        <w:ind w:left="1260" w:right="520" w:hanging="503"/>
        <w:spacing w:after="0" w:line="341"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Expected volatility is derived from the historical volatilities of a select group of comparable peer companies, for a look-back period commensurate with the expected term of the stock options, as the Company has limited trading history of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in tax rates is recognized in the Consolidated Statements of Operations and Comprehensive Loss in the period that includes the enactment date.</w:t>
      </w:r>
    </w:p>
    <w:p>
      <w:pPr>
        <w:spacing w:after="0" w:line="111"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valuation allowance on deferred tax assets as of December 31, 2022 and 2021 after evaluating that it is more likely than not that deferred tax assets will not be realized as of those dates.</w:t>
      </w:r>
    </w:p>
    <w:p>
      <w:pPr>
        <w:spacing w:after="0" w:line="125"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2022 or 2021.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right="40" w:firstLine="374"/>
        <w:spacing w:after="0" w:line="270"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97" w:lineRule="exact"/>
        <w:rPr>
          <w:sz w:val="20"/>
          <w:szCs w:val="20"/>
          <w:color w:val="auto"/>
        </w:rPr>
      </w:pPr>
    </w:p>
    <w:p>
      <w:pPr>
        <w:ind w:right="200" w:firstLine="374"/>
        <w:spacing w:after="0" w:line="256" w:lineRule="auto"/>
        <w:rPr>
          <w:sz w:val="20"/>
          <w:szCs w:val="20"/>
          <w:color w:val="auto"/>
        </w:rPr>
      </w:pPr>
      <w:r>
        <w:rPr>
          <w:rFonts w:ascii="Arial" w:cs="Arial" w:eastAsia="Arial" w:hAnsi="Arial"/>
          <w:sz w:val="18"/>
          <w:szCs w:val="18"/>
          <w:color w:val="auto"/>
        </w:rPr>
        <w:t>The Company is required to file federal and state income tax returns in the United States, United Kingdom, Germany and Netherlands. The preparation of these income tax returns requires the Company to interpret the applicable tax laws and regulations in effect on such jurisdictions, which could impact the amount of tax paid. An amount is accrued for the estimate of additional tax liabilities, including interest and penalties, for any uncertain tax positions taken or expected to be taken in an income tax return. The accrual for uncertain tax positions is updated when more definitive information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57"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Segments</w:t>
      </w:r>
    </w:p>
    <w:p>
      <w:pPr>
        <w:spacing w:after="0" w:line="117"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Operating segments are defined as components for which discrete financial information is available for evaluation by the chief operating decision maker to make resource allocation decisions and conduct performance assessments. The Company determined that it operates and manages its business (including its non-U.S. subsidiaries) in one reportable segment: the research and development, manufacture and sale of light adjustable lenses and related capital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57" w:lineRule="exact"/>
        <w:rPr>
          <w:sz w:val="20"/>
          <w:szCs w:val="20"/>
          <w:color w:val="auto"/>
        </w:rPr>
      </w:pPr>
    </w:p>
    <w:p>
      <w:pPr>
        <w:ind w:right="220" w:firstLine="419"/>
        <w:spacing w:after="0" w:line="256"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ASUs not listed below were assessed and determined not to be applicable or are expected to have minimal impact on the Company’s consolidated financial statements.</w:t>
      </w:r>
    </w:p>
    <w:p>
      <w:pPr>
        <w:spacing w:after="0" w:line="115"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 xml:space="preserve">In June 2020, the FASB issued ASU No.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t>
      </w:r>
      <w:r>
        <w:rPr>
          <w:rFonts w:ascii="Arial" w:cs="Arial" w:eastAsia="Arial" w:hAnsi="Arial"/>
          <w:sz w:val="17"/>
          <w:szCs w:val="17"/>
          <w:i w:val="1"/>
          <w:iCs w:val="1"/>
          <w:color w:val="auto"/>
        </w:rPr>
        <w:t>“</w:t>
      </w:r>
      <w:r>
        <w:rPr>
          <w:rFonts w:ascii="Arial" w:cs="Arial" w:eastAsia="Arial" w:hAnsi="Arial"/>
          <w:sz w:val="17"/>
          <w:szCs w:val="17"/>
          <w:color w:val="auto"/>
        </w:rPr>
        <w:t>ASU No. 2020-06”)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118" w:name="page119"/>
    <w:bookmarkEnd w:id="118"/>
    <w:p>
      <w:pPr>
        <w:ind w:right="80"/>
        <w:spacing w:after="0" w:line="341" w:lineRule="auto"/>
        <w:rPr>
          <w:sz w:val="20"/>
          <w:szCs w:val="20"/>
          <w:color w:val="auto"/>
        </w:rPr>
      </w:pPr>
      <w:r>
        <w:rPr>
          <w:rFonts w:ascii="Arial" w:cs="Arial" w:eastAsia="Arial" w:hAnsi="Arial"/>
          <w:sz w:val="16"/>
          <w:szCs w:val="16"/>
          <w:color w:val="auto"/>
        </w:rPr>
        <w:t>fiscal years beginning after December 15, 2021, including interim periods within those fiscal years. The Company adopted ASU 2020-06 effective January 1, 2022 using the modified retrospective method and the adoption did not have a material impact on the Company’s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Short-term investments, principally U.S. Treasury bills, are available-for-sale and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 of December 31, 2022</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 Loss, Net</w:t>
            </w:r>
          </w:p>
        </w:tc>
        <w:tc>
          <w:tcPr>
            <w:tcW w:w="240" w:type="dxa"/>
            <w:vAlign w:val="bottom"/>
          </w:tcPr>
          <w:p>
            <w:pPr>
              <w:spacing w:after="0"/>
              <w:rPr>
                <w:sz w:val="20"/>
                <w:szCs w:val="20"/>
                <w:color w:val="auto"/>
              </w:rPr>
            </w:pPr>
          </w:p>
        </w:tc>
        <w:tc>
          <w:tcPr>
            <w:tcW w:w="212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c>
          <w:tcPr>
            <w:tcW w:w="100" w:type="dxa"/>
            <w:vAlign w:val="bottom"/>
          </w:tcPr>
          <w:p>
            <w:pPr>
              <w:spacing w:after="0"/>
              <w:rPr>
                <w:sz w:val="20"/>
                <w:szCs w:val="20"/>
                <w:color w:val="auto"/>
              </w:rPr>
            </w:pPr>
          </w:p>
        </w:tc>
      </w:tr>
      <w:tr>
        <w:trPr>
          <w:trHeight w:val="28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 Loss, Net</w:t>
            </w:r>
          </w:p>
        </w:tc>
        <w:tc>
          <w:tcPr>
            <w:tcW w:w="240" w:type="dxa"/>
            <w:vAlign w:val="bottom"/>
          </w:tcPr>
          <w:p>
            <w:pPr>
              <w:spacing w:after="0"/>
              <w:rPr>
                <w:sz w:val="20"/>
                <w:szCs w:val="20"/>
                <w:color w:val="auto"/>
              </w:rPr>
            </w:pPr>
          </w:p>
        </w:tc>
        <w:tc>
          <w:tcPr>
            <w:tcW w:w="212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c>
          <w:tcPr>
            <w:tcW w:w="100" w:type="dxa"/>
            <w:vAlign w:val="bottom"/>
          </w:tcPr>
          <w:p>
            <w:pPr>
              <w:spacing w:after="0"/>
              <w:rPr>
                <w:sz w:val="20"/>
                <w:szCs w:val="20"/>
                <w:color w:val="auto"/>
              </w:rPr>
            </w:pPr>
          </w:p>
        </w:tc>
      </w:tr>
      <w:tr>
        <w:trPr>
          <w:trHeight w:val="28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134,980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-684530</wp:posOffset>
            </wp:positionV>
            <wp:extent cx="3399155" cy="5054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99155" cy="50546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All available-for-sale securities held as of December 31, 2022 and 2021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115"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95"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credit-related portion of unrealized losses, and any subsequent improvements, are recorded in interest expense in the consolidated statements of operations through an allowance for credit losses. Unrealized gains and losses that are not credit-related are included in accumulated other comprehensive loss. Unrealized losses on available-for-sale debt securities as of December 31, 2022 and December 31, 2021 were not significant and were primarily due to changes in interest rates, including market credit spreads, and not due to increased credit risks associated with specific securities. Further, the Company does not intend to sell these investments and it is not more likely than not that the Company will be required to sell these investments before recovery of their amortized cost basis. Accordingly, the Company did not record an allowance for credit losses with these investments as of December 31, 2022 and December 31, 2021.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Inventories consisted of the following (in thousands):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2"/>
          </w:tcPr>
          <w:p>
            <w:pPr>
              <w:jc w:val="right"/>
              <w:ind w:right="192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6,408</w:t>
            </w: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6,494</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6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15,469</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Less: reserve for excess and obsolete inventory</w:t>
            </w:r>
          </w:p>
        </w:tc>
        <w:tc>
          <w:tcPr>
            <w:tcW w:w="200" w:type="dxa"/>
            <w:vAlign w:val="bottom"/>
            <w:shd w:val="clear" w:color="auto" w:fill="CFF0FC"/>
          </w:tcPr>
          <w:p>
            <w:pPr>
              <w:spacing w:after="0"/>
              <w:rPr>
                <w:sz w:val="21"/>
                <w:szCs w:val="21"/>
                <w:color w:val="auto"/>
              </w:rPr>
            </w:pPr>
          </w:p>
        </w:tc>
        <w:tc>
          <w:tcPr>
            <w:tcW w:w="3060" w:type="dxa"/>
            <w:vAlign w:val="bottom"/>
            <w:gridSpan w:val="2"/>
            <w:shd w:val="clear" w:color="auto" w:fill="CFF0FC"/>
          </w:tcPr>
          <w:p>
            <w:pPr>
              <w:jc w:val="right"/>
              <w:ind w:right="1540"/>
              <w:spacing w:after="0"/>
              <w:rPr>
                <w:sz w:val="20"/>
                <w:szCs w:val="20"/>
                <w:color w:val="auto"/>
              </w:rPr>
            </w:pPr>
            <w:r>
              <w:rPr>
                <w:rFonts w:ascii="Arial" w:cs="Arial" w:eastAsia="Arial" w:hAnsi="Arial"/>
                <w:sz w:val="18"/>
                <w:szCs w:val="18"/>
                <w:color w:val="auto"/>
              </w:rPr>
              <w:t>(634 )</w:t>
            </w: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r>
      <w:tr>
        <w:trPr>
          <w:trHeight w:val="236"/>
        </w:trPr>
        <w:tc>
          <w:tcPr>
            <w:tcW w:w="20" w:type="dxa"/>
            <w:vAlign w:val="bottom"/>
          </w:tcPr>
          <w:p>
            <w:pPr>
              <w:spacing w:after="0"/>
              <w:rPr>
                <w:sz w:val="20"/>
                <w:szCs w:val="20"/>
                <w:color w:val="auto"/>
              </w:rPr>
            </w:pPr>
          </w:p>
        </w:tc>
        <w:tc>
          <w:tcPr>
            <w:tcW w:w="6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14,835</w:t>
            </w:r>
          </w:p>
        </w:tc>
        <w:tc>
          <w:tcPr>
            <w:tcW w:w="16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-504825</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4"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color w:val="auto"/>
        </w:rPr>
        <w:t>At December 31, 2022 and 2021, finished goods included $2.8 million and $1.8 million of inventory held on consignment at customer sites, respectively.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and Equipment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Property and equipment consisted of the following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11,206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Production molds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Right-of-use equipment</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30,036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(19,898 )</w:t>
            </w: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(16,345 )</w:t>
            </w:r>
          </w:p>
        </w:tc>
      </w:tr>
      <w:tr>
        <w:trPr>
          <w:trHeight w:val="276"/>
        </w:trPr>
        <w:tc>
          <w:tcPr>
            <w:tcW w:w="20" w:type="dxa"/>
            <w:vAlign w:val="bottom"/>
          </w:tcPr>
          <w:p>
            <w:pPr>
              <w:spacing w:after="0"/>
              <w:rPr>
                <w:sz w:val="24"/>
                <w:szCs w:val="24"/>
                <w:color w:val="auto"/>
              </w:rPr>
            </w:pPr>
          </w:p>
        </w:tc>
        <w:tc>
          <w:tcPr>
            <w:tcW w:w="7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10,138</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3251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325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0"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Company recorded $3.9 million and $4.0 million in depreciation and amortization expense for the years ended December 31, 2022 and 2021,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161"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table and disclosures below (in thousands) present information about the Company’s assets and liabilities measured at fair value on a recurring basis and indicate the fair value hierarchy of the valuation techniques utilized by the Company to determine such fair value.</w:t>
      </w:r>
    </w:p>
    <w:p>
      <w:pPr>
        <w:spacing w:after="0" w:line="102" w:lineRule="exact"/>
        <w:rPr>
          <w:sz w:val="20"/>
          <w:szCs w:val="20"/>
          <w:color w:val="auto"/>
        </w:rPr>
      </w:pPr>
    </w:p>
    <w:p>
      <w:pPr>
        <w:ind w:right="180" w:firstLine="374"/>
        <w:spacing w:after="0" w:line="254" w:lineRule="auto"/>
        <w:rPr>
          <w:sz w:val="20"/>
          <w:szCs w:val="20"/>
          <w:color w:val="auto"/>
        </w:rPr>
      </w:pPr>
      <w:r>
        <w:rPr>
          <w:rFonts w:ascii="Arial" w:cs="Arial" w:eastAsia="Arial" w:hAnsi="Arial"/>
          <w:sz w:val="18"/>
          <w:szCs w:val="18"/>
          <w:color w:val="auto"/>
        </w:rPr>
        <w:t>Money market funds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U.S. Government securities are measured at fair value using Level 2 inputs. The Company reviews trading activity and pricing for these investments as of each measurement date. When sufficient quoted pricing for identical securities is not available, the Company uses market pricing and other observable market inputs for similar securities obtained from various third-party data providers. These inputs represent quoted prices for similar assets in active markets or these inputs have been derived from observable market data. This approach results in the classification of these securities as Level 2 of the fair value hierarchy.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of December 31, 2022</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Level II</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0"/>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8,909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0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93,968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0"/>
              <w:spacing w:after="0"/>
              <w:rPr>
                <w:sz w:val="20"/>
                <w:szCs w:val="20"/>
                <w:color w:val="auto"/>
              </w:rPr>
            </w:pPr>
            <w:r>
              <w:rPr>
                <w:rFonts w:ascii="Arial" w:cs="Arial" w:eastAsia="Arial" w:hAnsi="Arial"/>
                <w:sz w:val="18"/>
                <w:szCs w:val="18"/>
                <w:color w:val="auto"/>
              </w:rPr>
              <w:t>Total assets at fair value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8,909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93,968</w:t>
            </w:r>
          </w:p>
        </w:tc>
        <w:tc>
          <w:tcPr>
            <w:tcW w:w="2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102,877</w:t>
            </w:r>
          </w:p>
        </w:tc>
        <w:tc>
          <w:tcPr>
            <w:tcW w:w="10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-187960</wp:posOffset>
            </wp:positionV>
            <wp:extent cx="7683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of December 31, 2021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Level II</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0"/>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21,390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21,390</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21,390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134,971</w:t>
            </w:r>
          </w:p>
        </w:tc>
        <w:tc>
          <w:tcPr>
            <w:tcW w:w="2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156,361</w:t>
            </w:r>
          </w:p>
        </w:tc>
        <w:tc>
          <w:tcPr>
            <w:tcW w:w="10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-187960</wp:posOffset>
            </wp:positionV>
            <wp:extent cx="7683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both"/>
        <w:ind w:right="100" w:firstLine="374"/>
        <w:spacing w:after="0" w:line="277" w:lineRule="auto"/>
        <w:rPr>
          <w:sz w:val="20"/>
          <w:szCs w:val="20"/>
          <w:color w:val="auto"/>
        </w:rPr>
      </w:pPr>
      <w:r>
        <w:rPr>
          <w:rFonts w:ascii="Arial" w:cs="Arial" w:eastAsia="Arial" w:hAnsi="Arial"/>
          <w:sz w:val="18"/>
          <w:szCs w:val="18"/>
          <w:color w:val="auto"/>
        </w:rPr>
        <w:t>During the year ended December 31, 2021, the Series W warrant expired unexercised on March 31, 2021 and the remaining fair value of $5.0 million was recorded at that time in the Consolidated Statement of Operations and Comprehensive Loss.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20" w:name="page121"/>
    <w:bookmarkEnd w:id="120"/>
    <w:p>
      <w:pPr>
        <w:jc w:val="both"/>
        <w:ind w:right="120" w:firstLine="374"/>
        <w:spacing w:after="0" w:line="263" w:lineRule="auto"/>
        <w:rPr>
          <w:sz w:val="20"/>
          <w:szCs w:val="20"/>
          <w:color w:val="auto"/>
        </w:rPr>
      </w:pPr>
      <w:r>
        <w:rPr>
          <w:rFonts w:ascii="Arial" w:cs="Arial" w:eastAsia="Arial" w:hAnsi="Arial"/>
          <w:sz w:val="18"/>
          <w:szCs w:val="18"/>
          <w:color w:val="auto"/>
        </w:rPr>
        <w:t>Upon completion of the Company's IPO in July 2021 all of the 14,376,272 issued and outstanding shares of Convertible Preferred Stock outstanding were converted to common stock and 225,945 warrants to purchase Series H convertible preferred stock were exercised and converted into 100,261 shares of common stock.</w:t>
      </w:r>
    </w:p>
    <w:p>
      <w:pPr>
        <w:spacing w:after="0" w:line="102"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fair value of the preferred stock warrants was determined by management, with input and assistance from a third-party valuation specialist using a probability weighted expected return model/option pricing model (“PWERM/OPM”) hybrid valuation model.</w:t>
      </w:r>
    </w:p>
    <w:p>
      <w:pPr>
        <w:spacing w:after="0" w:line="318"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The Company did not have any assets or liabilities measured at fair value on a recurring basis within Level 3 fair value measurements as of December 31, 2022 and 2021.</w:t>
      </w:r>
    </w:p>
    <w:p>
      <w:pPr>
        <w:spacing w:after="0" w:line="102" w:lineRule="exact"/>
        <w:rPr>
          <w:sz w:val="20"/>
          <w:szCs w:val="20"/>
          <w:color w:val="auto"/>
        </w:rPr>
      </w:pPr>
    </w:p>
    <w:p>
      <w:pPr>
        <w:ind w:right="420" w:firstLine="410"/>
        <w:spacing w:after="0" w:line="277"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of period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of preferred stock warrants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Expiration of common stock warrant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in fair value of preferred stock warrants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94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rPr>
              <w:t>Year Ended</w:t>
            </w:r>
          </w:p>
        </w:tc>
      </w:tr>
      <w:tr>
        <w:trPr>
          <w:trHeight w:val="250"/>
        </w:trPr>
        <w:tc>
          <w:tcPr>
            <w:tcW w:w="560" w:type="dxa"/>
            <w:vAlign w:val="bottom"/>
          </w:tcPr>
          <w:p>
            <w:pPr>
              <w:spacing w:after="0"/>
              <w:rPr>
                <w:sz w:val="21"/>
                <w:szCs w:val="21"/>
                <w:color w:val="auto"/>
              </w:rPr>
            </w:pPr>
          </w:p>
        </w:tc>
        <w:tc>
          <w:tcPr>
            <w:tcW w:w="29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December 31, 2021</w:t>
            </w:r>
          </w:p>
        </w:tc>
      </w:tr>
      <w:tr>
        <w:trPr>
          <w:trHeight w:val="230"/>
        </w:trPr>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60" w:type="dxa"/>
            <w:vAlign w:val="bottom"/>
          </w:tcPr>
          <w:p>
            <w:pPr>
              <w:spacing w:after="0"/>
              <w:rPr>
                <w:sz w:val="20"/>
                <w:szCs w:val="20"/>
                <w:color w:val="auto"/>
              </w:rPr>
            </w:pPr>
          </w:p>
        </w:tc>
      </w:tr>
      <w:tr>
        <w:trPr>
          <w:trHeight w:val="242"/>
        </w:trPr>
        <w:tc>
          <w:tcPr>
            <w:tcW w:w="560" w:type="dxa"/>
            <w:vAlign w:val="bottom"/>
          </w:tcPr>
          <w:p>
            <w:pPr>
              <w:spacing w:after="0"/>
              <w:rPr>
                <w:sz w:val="21"/>
                <w:szCs w:val="21"/>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(1,111 )</w:t>
            </w:r>
          </w:p>
        </w:tc>
      </w:tr>
      <w:tr>
        <w:trPr>
          <w:trHeight w:val="243"/>
        </w:trPr>
        <w:tc>
          <w:tcPr>
            <w:tcW w:w="560" w:type="dxa"/>
            <w:vAlign w:val="bottom"/>
          </w:tcPr>
          <w:p>
            <w:pPr>
              <w:spacing w:after="0"/>
              <w:rPr>
                <w:sz w:val="21"/>
                <w:szCs w:val="21"/>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(5,018 )</w:t>
            </w:r>
          </w:p>
        </w:tc>
      </w:tr>
      <w:tr>
        <w:trPr>
          <w:trHeight w:val="250"/>
        </w:trPr>
        <w:tc>
          <w:tcPr>
            <w:tcW w:w="560" w:type="dxa"/>
            <w:vAlign w:val="bottom"/>
          </w:tcPr>
          <w:p>
            <w:pPr>
              <w:spacing w:after="0"/>
              <w:rPr>
                <w:sz w:val="21"/>
                <w:szCs w:val="21"/>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(2,717 )</w:t>
            </w:r>
          </w:p>
        </w:tc>
      </w:tr>
      <w:tr>
        <w:trPr>
          <w:trHeight w:val="236"/>
        </w:trPr>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-804545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-495935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-179070</wp:posOffset>
            </wp:positionV>
            <wp:extent cx="713232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540"/>
          </w:cols>
          <w:pgMar w:left="320" w:top="489" w:right="3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 and Other Current Liabilities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76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12,672</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Term Loan</w:t>
      </w:r>
    </w:p>
    <w:p>
      <w:pPr>
        <w:spacing w:after="0" w:line="161" w:lineRule="exact"/>
        <w:rPr>
          <w:sz w:val="20"/>
          <w:szCs w:val="20"/>
          <w:color w:val="auto"/>
        </w:rPr>
      </w:pPr>
    </w:p>
    <w:p>
      <w:pPr>
        <w:ind w:right="220" w:firstLine="374"/>
        <w:spacing w:after="0" w:line="255" w:lineRule="auto"/>
        <w:rPr>
          <w:sz w:val="20"/>
          <w:szCs w:val="20"/>
          <w:color w:val="auto"/>
        </w:rPr>
      </w:pPr>
      <w:r>
        <w:rPr>
          <w:rFonts w:ascii="Arial" w:cs="Arial" w:eastAsia="Arial" w:hAnsi="Arial"/>
          <w:sz w:val="18"/>
          <w:szCs w:val="18"/>
          <w:color w:val="auto"/>
        </w:rPr>
        <w:t>In October 2020, the Company entered into a loan facility (“Term Loan”) with an initial draw of $25.0 million. Proceeds were used to help fund the Company’s ongoing operations. As part of the Term Loan, Oxford Finance LLC, (“Oxford Finance”) committed to providing further loans of up to $35.0 million to the Company at its election (or for one specific draw, upon the occurrence of a revenue milestone) during various draw periods in the future, provided the Company is not in default at the time of the additional loan draws. In March 2021, the Company drew an additional $5.0 million from the facility for the purpose of funding ongoing operations. In June 2021, the Company drew an additional $10.0 million from the facility for the purpose of funding ongoing operations.</w:t>
      </w:r>
    </w:p>
    <w:p>
      <w:pPr>
        <w:spacing w:after="0" w:line="123"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On May 3, 2022, the Company entered into a Second Amendment to the Term Loan (as amended through the Second Amendment, the (the “Amended Term Loan”)). The Amended Term Loan increased the loan and security agreement to $60.0 million, of which $40.0 million was fully funded as of May 3, 2022 from the original term loan. Under the Amended Term Loan, the Company may borrow an additional amount of up to $10.0 million through June 30, 2023, upon satisfaction of the applicable drawdown conditions and achievement of sufficient trailing twelve-month sales as provided in the agreement for the measurement period ending March 31, 2023. Subject to the terms and conditions of the Amended Term Loan, the Company may also borrow an additional amount of up to $10.0 million through September 30, 2023, upon satisfaction of the applicable drawdown conditions and achievement of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21" w:name="page122"/>
    <w:bookmarkEnd w:id="121"/>
    <w:p>
      <w:pPr>
        <w:ind w:right="280"/>
        <w:spacing w:after="0" w:line="286" w:lineRule="auto"/>
        <w:rPr>
          <w:sz w:val="20"/>
          <w:szCs w:val="20"/>
          <w:color w:val="auto"/>
        </w:rPr>
      </w:pPr>
      <w:r>
        <w:rPr>
          <w:rFonts w:ascii="Arial" w:cs="Arial" w:eastAsia="Arial" w:hAnsi="Arial"/>
          <w:sz w:val="17"/>
          <w:szCs w:val="17"/>
          <w:color w:val="auto"/>
        </w:rPr>
        <w:t>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The Amended Term Loan was recorded as a debt modification.</w:t>
      </w:r>
    </w:p>
    <w:p>
      <w:pPr>
        <w:spacing w:after="0" w:line="83"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Amended Term Loan is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Amended Term Loan also includes certain customary representations and warranties, affirmative and negative covenants, and events of default, including a financial performance-to-plan covenant that requires the Company to achieve certain minimum net sales, measured on a trailing twelve-month basis. As of December 31, 2022 and 2021, the Company was in compliance with all covenants.</w:t>
      </w:r>
    </w:p>
    <w:p>
      <w:pPr>
        <w:spacing w:after="0" w:line="12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The Amended Term Loan requires 35 months of interest-only payments, followed by 22-months of principal and accrued interest payments. If the Company is in compliance with its performance-to-plan covenant through April 1, 2025 and has not provided an IP lien election notice before May 1, 2025, the interest-only period is extended by 12 months, and the amortization period is reduced to ten months. Payments are due on the first day of each month in arrears. All unpaid amounts under the Amended Term Loan mature on February 1, 2027. The Company may elect to prepay the loans under the credit facility at any time in full or in part; however, the Company may only elect to prepay the loans in part once, in an amount not less than $5.0 million. Any amounts prepaid may not be subsequently reborrowed. Under the Amended Term Loan, a final payment (“Final Payment”) will be due at the earlier of the maturity date, acceleration of the loans, or a voluntary or mandatory prepayment of the loans, in an amount equal to (a) if the Final Payment is paid on or after January 1, 2022 through and including October 31, 2022, three percent (3.00%) of the original principal amount of the loans (or, in the case of a partial prepayment, the amount of principal to be prepaid), (b) if the Final Payment is paid on or after November 1, 2022 through and including October 31, 2023, four percent (4.00%) of the original principal amount of the loans (or, in the case of a partial prepayment, the amount of principal to be prepaid) and (c) if the Final Payment is paid on or after November 1, 2023, five percent (5.00%) of the original principal amount of the loans (or, in the case of a partial prepayment, the amount of principal to be prepaid). The Final Payment is being accreted to the carrying value of the debt as a debt premium and interest expense over the life of the loan using the effective interest method.</w:t>
      </w:r>
    </w:p>
    <w:p>
      <w:pPr>
        <w:spacing w:after="0" w:line="115" w:lineRule="exact"/>
        <w:rPr>
          <w:sz w:val="20"/>
          <w:szCs w:val="20"/>
          <w:color w:val="auto"/>
        </w:rPr>
      </w:pPr>
    </w:p>
    <w:p>
      <w:pPr>
        <w:ind w:right="120" w:firstLine="374"/>
        <w:spacing w:after="0" w:line="279" w:lineRule="auto"/>
        <w:rPr>
          <w:sz w:val="20"/>
          <w:szCs w:val="20"/>
          <w:color w:val="auto"/>
        </w:rPr>
      </w:pPr>
      <w:r>
        <w:rPr>
          <w:rFonts w:ascii="Arial" w:cs="Arial" w:eastAsia="Arial" w:hAnsi="Arial"/>
          <w:sz w:val="17"/>
          <w:szCs w:val="17"/>
          <w:color w:val="auto"/>
        </w:rPr>
        <w:t>The Company paid $0.1 million in loan amendment fees and other closing costs that are directly attributable to execution of the Amended Term Loan transaction. These issuance costs are recorded as a discount to the carrying amount of the debt and are being amortized, along with the unaccreted portion of the Final Payment and unamortized debt issuance costs from the original Term Loan, to interest expense over the expected term of the debt using the effective interest method. The loans may be accelerated by Oxford Finance in the event of default.</w:t>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future annual principal payments due under the Amended Term Loan were as follows (in thousands):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80" w:type="dxa"/>
            <w:vAlign w:val="bottom"/>
            <w:tcBorders>
              <w:top w:val="single" w:sz="8" w:color="auto"/>
            </w:tcBorders>
            <w:shd w:val="clear" w:color="auto" w:fill="CFF0FC"/>
          </w:tcPr>
          <w:p>
            <w:pPr>
              <w:jc w:val="center"/>
              <w:ind w:right="7070"/>
              <w:spacing w:after="0"/>
              <w:rPr>
                <w:sz w:val="20"/>
                <w:szCs w:val="20"/>
                <w:color w:val="auto"/>
              </w:rPr>
            </w:pPr>
            <w:r>
              <w:rPr>
                <w:rFonts w:ascii="Arial" w:cs="Arial" w:eastAsia="Arial" w:hAnsi="Arial"/>
                <w:sz w:val="18"/>
                <w:szCs w:val="18"/>
                <w:color w:val="auto"/>
                <w:w w:val="89"/>
              </w:rPr>
              <w:t>2023</w:t>
            </w: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8280" w:type="dxa"/>
            <w:vAlign w:val="bottom"/>
          </w:tcPr>
          <w:p>
            <w:pPr>
              <w:jc w:val="center"/>
              <w:ind w:right="7070"/>
              <w:spacing w:after="0"/>
              <w:rPr>
                <w:sz w:val="20"/>
                <w:szCs w:val="20"/>
                <w:color w:val="auto"/>
              </w:rPr>
            </w:pPr>
            <w:r>
              <w:rPr>
                <w:rFonts w:ascii="Arial" w:cs="Arial" w:eastAsia="Arial" w:hAnsi="Arial"/>
                <w:sz w:val="18"/>
                <w:szCs w:val="18"/>
                <w:color w:val="auto"/>
                <w:w w:val="89"/>
              </w:rPr>
              <w:t>2024</w:t>
            </w:r>
          </w:p>
        </w:tc>
        <w:tc>
          <w:tcPr>
            <w:tcW w:w="1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8280" w:type="dxa"/>
            <w:vAlign w:val="bottom"/>
            <w:shd w:val="clear" w:color="auto" w:fill="CFF0FC"/>
          </w:tcPr>
          <w:p>
            <w:pPr>
              <w:jc w:val="center"/>
              <w:ind w:right="7070"/>
              <w:spacing w:after="0"/>
              <w:rPr>
                <w:sz w:val="20"/>
                <w:szCs w:val="20"/>
                <w:color w:val="auto"/>
              </w:rPr>
            </w:pPr>
            <w:r>
              <w:rPr>
                <w:rFonts w:ascii="Arial" w:cs="Arial" w:eastAsia="Arial" w:hAnsi="Arial"/>
                <w:sz w:val="18"/>
                <w:szCs w:val="18"/>
                <w:color w:val="auto"/>
                <w:w w:val="89"/>
              </w:rPr>
              <w:t>2025</w:t>
            </w:r>
          </w:p>
        </w:tc>
        <w:tc>
          <w:tcPr>
            <w:tcW w:w="1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shd w:val="clear" w:color="auto" w:fill="CFF0FC"/>
          </w:tcPr>
          <w:p>
            <w:pPr>
              <w:spacing w:after="0"/>
              <w:rPr>
                <w:sz w:val="21"/>
                <w:szCs w:val="21"/>
                <w:color w:val="auto"/>
              </w:rPr>
            </w:pPr>
          </w:p>
        </w:tc>
      </w:tr>
      <w:tr>
        <w:trPr>
          <w:trHeight w:val="236"/>
        </w:trPr>
        <w:tc>
          <w:tcPr>
            <w:tcW w:w="8280" w:type="dxa"/>
            <w:vAlign w:val="bottom"/>
          </w:tcPr>
          <w:p>
            <w:pPr>
              <w:jc w:val="center"/>
              <w:ind w:right="7070"/>
              <w:spacing w:after="0"/>
              <w:rPr>
                <w:sz w:val="20"/>
                <w:szCs w:val="20"/>
                <w:color w:val="auto"/>
              </w:rPr>
            </w:pPr>
            <w:r>
              <w:rPr>
                <w:rFonts w:ascii="Arial" w:cs="Arial" w:eastAsia="Arial" w:hAnsi="Arial"/>
                <w:sz w:val="18"/>
                <w:szCs w:val="18"/>
                <w:color w:val="auto"/>
                <w:w w:val="89"/>
              </w:rPr>
              <w:t>2026</w:t>
            </w:r>
          </w:p>
        </w:tc>
        <w:tc>
          <w:tcPr>
            <w:tcW w:w="1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21,818</w:t>
            </w:r>
          </w:p>
        </w:tc>
        <w:tc>
          <w:tcPr>
            <w:tcW w:w="100" w:type="dxa"/>
            <w:vAlign w:val="bottom"/>
          </w:tcPr>
          <w:p>
            <w:pPr>
              <w:spacing w:after="0"/>
              <w:rPr>
                <w:sz w:val="20"/>
                <w:szCs w:val="20"/>
                <w:color w:val="auto"/>
              </w:rPr>
            </w:pPr>
          </w:p>
        </w:tc>
      </w:tr>
      <w:tr>
        <w:trPr>
          <w:trHeight w:val="243"/>
        </w:trPr>
        <w:tc>
          <w:tcPr>
            <w:tcW w:w="8280" w:type="dxa"/>
            <w:vAlign w:val="bottom"/>
            <w:tcBorders>
              <w:bottom w:val="single" w:sz="8" w:color="CFF0FC"/>
            </w:tcBorders>
            <w:shd w:val="clear" w:color="auto" w:fill="CFF0FC"/>
          </w:tcPr>
          <w:p>
            <w:pPr>
              <w:jc w:val="center"/>
              <w:ind w:right="7070"/>
              <w:spacing w:after="0"/>
              <w:rPr>
                <w:sz w:val="20"/>
                <w:szCs w:val="20"/>
                <w:color w:val="auto"/>
              </w:rPr>
            </w:pPr>
            <w:r>
              <w:rPr>
                <w:rFonts w:ascii="Arial" w:cs="Arial" w:eastAsia="Arial" w:hAnsi="Arial"/>
                <w:sz w:val="18"/>
                <w:szCs w:val="18"/>
                <w:color w:val="auto"/>
                <w:w w:val="89"/>
              </w:rPr>
              <w:t>2027</w:t>
            </w:r>
          </w:p>
        </w:tc>
        <w:tc>
          <w:tcPr>
            <w:tcW w:w="1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r>
      <w:tr>
        <w:trPr>
          <w:trHeight w:val="243"/>
        </w:trPr>
        <w:tc>
          <w:tcPr>
            <w:tcW w:w="8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Plus: exit fee and unamortized issuance costs</w:t>
            </w:r>
          </w:p>
        </w:tc>
        <w:tc>
          <w:tcPr>
            <w:tcW w:w="1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80" w:type="dxa"/>
            <w:vAlign w:val="bottom"/>
          </w:tcPr>
          <w:p>
            <w:pPr>
              <w:jc w:val="center"/>
              <w:ind w:right="7110"/>
              <w:spacing w:after="0"/>
              <w:rPr>
                <w:sz w:val="20"/>
                <w:szCs w:val="20"/>
                <w:color w:val="auto"/>
              </w:rPr>
            </w:pPr>
            <w:r>
              <w:rPr>
                <w:rFonts w:ascii="Arial" w:cs="Arial" w:eastAsia="Arial" w:hAnsi="Arial"/>
                <w:sz w:val="18"/>
                <w:szCs w:val="18"/>
                <w:color w:val="auto"/>
                <w:w w:val="89"/>
              </w:rPr>
              <w:t>Term loan, net</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40,169</w:t>
            </w:r>
          </w:p>
        </w:tc>
        <w:tc>
          <w:tcPr>
            <w:tcW w:w="100" w:type="dxa"/>
            <w:vAlign w:val="bottom"/>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4" w:lineRule="exact"/>
        <w:rPr>
          <w:sz w:val="20"/>
          <w:szCs w:val="20"/>
          <w:color w:val="auto"/>
        </w:rPr>
      </w:pPr>
    </w:p>
    <w:p>
      <w:pPr>
        <w:jc w:val="both"/>
        <w:ind w:right="140" w:firstLine="374"/>
        <w:spacing w:after="0" w:line="277" w:lineRule="auto"/>
        <w:rPr>
          <w:sz w:val="20"/>
          <w:szCs w:val="20"/>
          <w:color w:val="auto"/>
        </w:rPr>
      </w:pPr>
      <w:r>
        <w:rPr>
          <w:rFonts w:ascii="Arial" w:cs="Arial" w:eastAsia="Arial" w:hAnsi="Arial"/>
          <w:sz w:val="18"/>
          <w:szCs w:val="18"/>
          <w:color w:val="auto"/>
        </w:rPr>
        <w:t>For the year ended December 31, 2022 and 2021 the cash interest paid and effective interest rate on the Amended Term Loan and Term Loan were as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22" w:name="page123"/>
    <w:bookmarkEnd w:id="122"/>
    <w:p>
      <w:pPr>
        <w:ind w:left="75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6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r>
      <w:tr>
        <w:trPr>
          <w:trHeight w:val="228"/>
        </w:trPr>
        <w:tc>
          <w:tcPr>
            <w:tcW w:w="6460" w:type="dxa"/>
            <w:vAlign w:val="bottom"/>
          </w:tcPr>
          <w:p>
            <w:pPr>
              <w:ind w:left="380"/>
              <w:spacing w:after="0"/>
              <w:rPr>
                <w:sz w:val="20"/>
                <w:szCs w:val="20"/>
                <w:color w:val="auto"/>
              </w:rPr>
            </w:pPr>
            <w:r>
              <w:rPr>
                <w:rFonts w:ascii="Arial" w:cs="Arial" w:eastAsia="Arial" w:hAnsi="Arial"/>
                <w:sz w:val="18"/>
                <w:szCs w:val="18"/>
                <w:color w:val="auto"/>
              </w:rPr>
              <w:t>Cash interest paid</w:t>
            </w: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8060" w:type="dxa"/>
            <w:vAlign w:val="bottom"/>
            <w:gridSpan w:val="2"/>
          </w:tcPr>
          <w:p>
            <w:pPr>
              <w:ind w:left="380"/>
              <w:spacing w:after="0"/>
              <w:rPr>
                <w:sz w:val="20"/>
                <w:szCs w:val="20"/>
                <w:color w:val="auto"/>
              </w:rPr>
            </w:pPr>
            <w:r>
              <w:rPr>
                <w:rFonts w:ascii="Arial" w:cs="Arial" w:eastAsia="Arial" w:hAnsi="Arial"/>
                <w:sz w:val="18"/>
                <w:szCs w:val="18"/>
                <w:color w:val="auto"/>
              </w:rPr>
              <w:t>Effective interest rate</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12.19 %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Expense</w:t>
      </w:r>
    </w:p>
    <w:p>
      <w:pPr>
        <w:spacing w:after="0" w:line="121" w:lineRule="exact"/>
        <w:rPr>
          <w:sz w:val="20"/>
          <w:szCs w:val="20"/>
          <w:color w:val="auto"/>
        </w:rPr>
      </w:pPr>
    </w:p>
    <w:p>
      <w:pPr>
        <w:ind w:right="700" w:firstLine="374"/>
        <w:spacing w:after="0" w:line="277" w:lineRule="auto"/>
        <w:rPr>
          <w:sz w:val="20"/>
          <w:szCs w:val="20"/>
          <w:color w:val="auto"/>
        </w:rPr>
      </w:pPr>
      <w:r>
        <w:rPr>
          <w:rFonts w:ascii="Arial" w:cs="Arial" w:eastAsia="Arial" w:hAnsi="Arial"/>
          <w:sz w:val="18"/>
          <w:szCs w:val="18"/>
          <w:color w:val="auto"/>
        </w:rPr>
        <w:t>The Company has three equity incentive compensation plans, the Calhoun Vision, Inc. 2006 Stock Plan, the Calhoun Vision, Inc. 2015 Equity Incentive Plan, and the 2021 Equity Incentive Plan (collectively the “Plans”).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Plan</w:t>
      </w:r>
    </w:p>
    <w:p>
      <w:pPr>
        <w:spacing w:after="0" w:line="117"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The Company’s 2006 Stock Plan (the “2006 Plan”) was originally adopted by the Company's Board and approved by the Company’s stockholders in 2006. The Company’s 2006 Plan was terminated in 2015 in connection with the adoption of the Company’s 2015 Plan and as a result no new awards may be issued under the 2006 Plan. However, the 2006 Plan will continue to govern the terms and conditions of the outstanding awards previously granted under the 2006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Company’s 2015 Equity Incentive Plan (the “2015 Plan”) was originally adopted by the Board and approved by the Company’s stockholders in 2015. The 2015 Plan was most recently amended in March 2021. In July 2021, upon completion of the IPO, the 2015 Plan terminated immediately prior to effectiveness of the 2021 Equity Incentive Plan with respect to the grant of future awards. However, the 2015 Plan will continue to govern the terms and conditions of the outstanding awards previously granted under the 2015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color w:val="auto"/>
        </w:rPr>
        <w:t>On July 28, 2021, the Company’s 2021 Equity Incentive Plan (the “2021 Plan”), was adopted and approved by the Company’s Board and stockholders prior to the IPO and became effective.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Evergreen provision</w:t>
      </w:r>
    </w:p>
    <w:p>
      <w:pPr>
        <w:spacing w:after="0" w:line="157" w:lineRule="exact"/>
        <w:rPr>
          <w:sz w:val="20"/>
          <w:szCs w:val="20"/>
          <w:color w:val="auto"/>
        </w:rPr>
      </w:pPr>
    </w:p>
    <w:p>
      <w:pPr>
        <w:ind w:right="100" w:firstLine="374"/>
        <w:spacing w:after="0" w:line="287" w:lineRule="auto"/>
        <w:rPr>
          <w:sz w:val="20"/>
          <w:szCs w:val="20"/>
          <w:color w:val="auto"/>
        </w:rPr>
      </w:pPr>
      <w:r>
        <w:rPr>
          <w:rFonts w:ascii="Arial" w:cs="Arial" w:eastAsia="Arial" w:hAnsi="Arial"/>
          <w:sz w:val="16"/>
          <w:szCs w:val="16"/>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our immediately preceding fiscal year; or</w:t>
      </w:r>
    </w:p>
    <w:p>
      <w:pPr>
        <w:spacing w:after="0" w:line="2" w:lineRule="exact"/>
        <w:rPr>
          <w:sz w:val="20"/>
          <w:szCs w:val="20"/>
          <w:color w:val="auto"/>
        </w:rPr>
      </w:pPr>
    </w:p>
    <w:p>
      <w:pPr>
        <w:jc w:val="both"/>
        <w:ind w:right="280" w:firstLine="8"/>
        <w:spacing w:after="0" w:line="322" w:lineRule="auto"/>
        <w:tabs>
          <w:tab w:leader="none" w:pos="314"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lesser number of shares of our common stock as the administrator may determine. The 2021 Plan is administered by the Company’s Board. On January 1, 2022, under the evergreen provision, an increase of 1,094,670 shares of common stock were reserved for future issuance under the 2021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7"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On July 28, 2021, the Company’s Board and stockholders adopted and approved the Company’s 2021 Employee Stock Purchase Plan (“2021 ESPP”). The number of shares of the Company’s common stock originally available for issuance under the 2021 ESPP was equal to 664,976 shares of common stock.</w:t>
      </w:r>
    </w:p>
    <w:p>
      <w:pPr>
        <w:spacing w:after="0" w:line="115"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0" w:right="279" w:bottom="1440" w:gutter="0" w:footer="0" w:header="0"/>
        </w:sectPr>
      </w:pPr>
    </w:p>
    <w:bookmarkStart w:id="123" w:name="page124"/>
    <w:bookmarkEnd w:id="123"/>
    <w:p>
      <w:pPr>
        <w:ind w:right="420"/>
        <w:spacing w:after="0" w:line="277" w:lineRule="auto"/>
        <w:rPr>
          <w:sz w:val="20"/>
          <w:szCs w:val="20"/>
          <w:color w:val="auto"/>
        </w:rPr>
      </w:pPr>
      <w:r>
        <w:rPr>
          <w:rFonts w:ascii="Arial" w:cs="Arial" w:eastAsia="Arial" w:hAnsi="Arial"/>
          <w:sz w:val="18"/>
          <w:szCs w:val="18"/>
          <w:color w:val="auto"/>
        </w:rPr>
        <w:t>generally provides for two six-month purchase periods every twelve months: May 1 through October 31 and November 1 through April 30. The initial purchase period began on November 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Evergreen provision</w:t>
      </w:r>
    </w:p>
    <w:p>
      <w:pPr>
        <w:spacing w:after="0" w:line="144" w:lineRule="exact"/>
        <w:rPr>
          <w:sz w:val="20"/>
          <w:szCs w:val="20"/>
          <w:color w:val="auto"/>
        </w:rPr>
      </w:pPr>
    </w:p>
    <w:p>
      <w:pPr>
        <w:ind w:right="180" w:firstLine="374"/>
        <w:spacing w:after="0" w:line="256" w:lineRule="auto"/>
        <w:rPr>
          <w:sz w:val="20"/>
          <w:szCs w:val="20"/>
          <w:color w:val="auto"/>
        </w:rPr>
      </w:pPr>
      <w:r>
        <w:rPr>
          <w:rFonts w:ascii="Arial" w:cs="Arial" w:eastAsia="Arial" w:hAnsi="Arial"/>
          <w:sz w:val="18"/>
          <w:szCs w:val="18"/>
          <w:color w:val="auto"/>
        </w:rPr>
        <w:t>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of Directors. On January 1, 2022, under the evergreen provision, an increase of 273,667 shares of common stock were reserved for future issuance under the 2021 ESPP.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7"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3" w:lineRule="exact"/>
        <w:rPr>
          <w:sz w:val="20"/>
          <w:szCs w:val="20"/>
          <w:color w:val="auto"/>
        </w:rPr>
      </w:pPr>
    </w:p>
    <w:p>
      <w:pPr>
        <w:jc w:val="both"/>
        <w:ind w:right="100" w:firstLine="374"/>
        <w:spacing w:after="0" w:line="311" w:lineRule="auto"/>
        <w:rPr>
          <w:sz w:val="20"/>
          <w:szCs w:val="20"/>
          <w:color w:val="auto"/>
        </w:rPr>
      </w:pPr>
      <w:r>
        <w:rPr>
          <w:rFonts w:ascii="Arial" w:cs="Arial" w:eastAsia="Arial" w:hAnsi="Arial"/>
          <w:sz w:val="16"/>
          <w:szCs w:val="16"/>
          <w:color w:val="auto"/>
        </w:rPr>
        <w:t>Stock 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three years.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stock option activities related to the Plans, as of and for the year ended December 31, 2022 and 2021 is presented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2"/>
              </w:rPr>
              <w:t>Weighted Avg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Options</w:t>
            </w:r>
          </w:p>
        </w:tc>
        <w:tc>
          <w:tcPr>
            <w:tcW w:w="1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outstanding as of December 31, 2021</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5,754,005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1,149,018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Exercised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(202,806 )</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100"/>
              <w:spacing w:after="0"/>
              <w:rPr>
                <w:sz w:val="20"/>
                <w:szCs w:val="20"/>
                <w:color w:val="auto"/>
              </w:rPr>
            </w:pPr>
            <w:r>
              <w:rPr>
                <w:rFonts w:ascii="Arial" w:cs="Arial" w:eastAsia="Arial" w:hAnsi="Arial"/>
                <w:sz w:val="16"/>
                <w:szCs w:val="16"/>
                <w:color w:val="auto"/>
              </w:rPr>
              <w:t>Forfeited</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(196,969 )</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Expired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(163,690 )</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Options outstanding as of December 31,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6,339,558</w:t>
            </w: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Exercisable as of December 31, 2022</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3,891,871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-350520</wp:posOffset>
            </wp:positionV>
            <wp:extent cx="76835"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restricted stock unit activities for the year ended December 31, 2022 and 2021 is presented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43"/>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6"/>
                <w:szCs w:val="16"/>
                <w:color w:val="auto"/>
              </w:rPr>
            </w:pPr>
          </w:p>
        </w:tc>
      </w:tr>
      <w:tr>
        <w:trPr>
          <w:trHeight w:val="243"/>
        </w:trPr>
        <w:tc>
          <w:tcPr>
            <w:tcW w:w="7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center"/>
              <w:ind w:right="243"/>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21"/>
                <w:szCs w:val="21"/>
                <w:color w:val="auto"/>
              </w:rPr>
            </w:pPr>
          </w:p>
        </w:tc>
      </w:tr>
      <w:tr>
        <w:trPr>
          <w:trHeight w:val="243"/>
        </w:trPr>
        <w:tc>
          <w:tcPr>
            <w:tcW w:w="7080" w:type="dxa"/>
            <w:vAlign w:val="bottom"/>
          </w:tcPr>
          <w:p>
            <w:pPr>
              <w:spacing w:after="0"/>
              <w:rPr>
                <w:sz w:val="21"/>
                <w:szCs w:val="21"/>
                <w:color w:val="auto"/>
              </w:rPr>
            </w:pPr>
          </w:p>
        </w:tc>
        <w:tc>
          <w:tcPr>
            <w:tcW w:w="22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21"/>
                <w:szCs w:val="21"/>
                <w:color w:val="auto"/>
              </w:rPr>
            </w:pPr>
          </w:p>
        </w:tc>
        <w:tc>
          <w:tcPr>
            <w:tcW w:w="1500" w:type="dxa"/>
            <w:vAlign w:val="bottom"/>
          </w:tcPr>
          <w:p>
            <w:pPr>
              <w:jc w:val="center"/>
              <w:ind w:right="243"/>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21"/>
                <w:szCs w:val="21"/>
                <w:color w:val="auto"/>
              </w:rPr>
            </w:pPr>
          </w:p>
        </w:tc>
      </w:tr>
      <w:tr>
        <w:trPr>
          <w:trHeight w:val="228"/>
        </w:trPr>
        <w:tc>
          <w:tcPr>
            <w:tcW w:w="7080" w:type="dxa"/>
            <w:vAlign w:val="bottom"/>
          </w:tcPr>
          <w:p>
            <w:pPr>
              <w:spacing w:after="0"/>
              <w:rPr>
                <w:sz w:val="19"/>
                <w:szCs w:val="19"/>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9"/>
                <w:szCs w:val="19"/>
                <w:color w:val="auto"/>
              </w:rPr>
            </w:pPr>
          </w:p>
        </w:tc>
        <w:tc>
          <w:tcPr>
            <w:tcW w:w="1500" w:type="dxa"/>
            <w:vAlign w:val="bottom"/>
          </w:tcPr>
          <w:p>
            <w:pPr>
              <w:jc w:val="center"/>
              <w:ind w:right="26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at December 31, 2021</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640,479</w:t>
            </w:r>
          </w:p>
        </w:tc>
        <w:tc>
          <w:tcPr>
            <w:tcW w:w="4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9"/>
                <w:szCs w:val="19"/>
                <w:color w:val="auto"/>
              </w:rPr>
            </w:pPr>
          </w:p>
        </w:tc>
      </w:tr>
      <w:tr>
        <w:trPr>
          <w:trHeight w:val="220"/>
        </w:trPr>
        <w:tc>
          <w:tcPr>
            <w:tcW w:w="7080" w:type="dxa"/>
            <w:vAlign w:val="bottom"/>
          </w:tcPr>
          <w:p>
            <w:pPr>
              <w:ind w:left="10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80,427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9"/>
                <w:szCs w:val="19"/>
                <w:color w:val="auto"/>
              </w:rPr>
            </w:pPr>
          </w:p>
        </w:tc>
      </w:tr>
      <w:tr>
        <w:trPr>
          <w:trHeight w:val="239"/>
        </w:trPr>
        <w:tc>
          <w:tcPr>
            <w:tcW w:w="70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Vested</w:t>
            </w:r>
          </w:p>
        </w:tc>
        <w:tc>
          <w:tcPr>
            <w:tcW w:w="22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(179,700 )</w:t>
            </w:r>
          </w:p>
        </w:tc>
        <w:tc>
          <w:tcPr>
            <w:tcW w:w="3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FF0FC"/>
          </w:tcPr>
          <w:p>
            <w:pPr>
              <w:spacing w:after="0"/>
              <w:rPr>
                <w:sz w:val="20"/>
                <w:szCs w:val="20"/>
                <w:color w:val="auto"/>
              </w:rPr>
            </w:pPr>
          </w:p>
        </w:tc>
      </w:tr>
      <w:tr>
        <w:trPr>
          <w:trHeight w:val="226"/>
        </w:trPr>
        <w:tc>
          <w:tcPr>
            <w:tcW w:w="7080" w:type="dxa"/>
            <w:vAlign w:val="bottom"/>
          </w:tcPr>
          <w:p>
            <w:pPr>
              <w:ind w:left="100"/>
              <w:spacing w:after="0"/>
              <w:rPr>
                <w:sz w:val="20"/>
                <w:szCs w:val="20"/>
                <w:color w:val="auto"/>
              </w:rPr>
            </w:pPr>
            <w:r>
              <w:rPr>
                <w:rFonts w:ascii="Arial" w:cs="Arial" w:eastAsia="Arial" w:hAnsi="Arial"/>
                <w:sz w:val="16"/>
                <w:szCs w:val="16"/>
                <w:color w:val="auto"/>
              </w:rPr>
              <w:t>Forfeited</w:t>
            </w:r>
          </w:p>
        </w:tc>
        <w:tc>
          <w:tcPr>
            <w:tcW w:w="2240" w:type="dxa"/>
            <w:vAlign w:val="bottom"/>
            <w:gridSpan w:val="2"/>
          </w:tcPr>
          <w:p>
            <w:pPr>
              <w:jc w:val="right"/>
              <w:ind w:right="340"/>
              <w:spacing w:after="0"/>
              <w:rPr>
                <w:sz w:val="20"/>
                <w:szCs w:val="20"/>
                <w:color w:val="auto"/>
              </w:rPr>
            </w:pPr>
            <w:r>
              <w:rPr>
                <w:rFonts w:ascii="Arial" w:cs="Arial" w:eastAsia="Arial" w:hAnsi="Arial"/>
                <w:sz w:val="16"/>
                <w:szCs w:val="16"/>
                <w:color w:val="auto"/>
              </w:rPr>
              <w:t>(48,344 )</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9"/>
                <w:szCs w:val="19"/>
                <w:color w:val="auto"/>
              </w:rPr>
            </w:pPr>
          </w:p>
        </w:tc>
      </w:tr>
      <w:tr>
        <w:trPr>
          <w:trHeight w:val="266"/>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December 31, 2022</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492,862</w:t>
            </w:r>
          </w:p>
        </w:tc>
        <w:tc>
          <w:tcPr>
            <w:tcW w:w="4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color w:val="auto"/>
        </w:rPr>
        <w:t>As of December 31, 2022 and 2021, the intrinsic value of options vested was $15.9 million and $14.7 million, respectively, and of all options outstanding was $16.4 million and $14.7 million, respectively. During the year ended December 31, 2022 and 2021, the total cash received from the exercise of stock options was $0.8 million and $1.6 million, respectively. The total fair value less strike price of these options was $1.8 million and $4.0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ind w:right="320" w:firstLine="374"/>
        <w:spacing w:after="0" w:line="277" w:lineRule="auto"/>
        <w:rPr>
          <w:sz w:val="20"/>
          <w:szCs w:val="20"/>
          <w:color w:val="auto"/>
        </w:rPr>
      </w:pPr>
      <w:r>
        <w:rPr>
          <w:rFonts w:ascii="Arial" w:cs="Arial" w:eastAsia="Arial" w:hAnsi="Arial"/>
          <w:sz w:val="18"/>
          <w:szCs w:val="18"/>
          <w:color w:val="auto"/>
        </w:rPr>
        <w:t>Stock-based compensation expense was classified in the accompanying consolidated statements of operations and comprehensive income (loss)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7"/>
              </w:rPr>
              <w:t>Twelve Months Ended December 31,</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jc w:val="right"/>
              <w:ind w:right="13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w:t>
            </w: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FF0FC"/>
          </w:tcPr>
          <w:p>
            <w:pPr>
              <w:spacing w:after="0"/>
              <w:rPr>
                <w:sz w:val="20"/>
                <w:szCs w:val="20"/>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7,399</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3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5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11,397</w:t>
            </w:r>
          </w:p>
        </w:tc>
        <w:tc>
          <w:tcPr>
            <w:tcW w:w="146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6858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ind w:right="260" w:firstLine="419"/>
        <w:spacing w:after="0" w:line="286" w:lineRule="auto"/>
        <w:rPr>
          <w:sz w:val="20"/>
          <w:szCs w:val="20"/>
          <w:color w:val="auto"/>
        </w:rPr>
      </w:pPr>
      <w:r>
        <w:rPr>
          <w:rFonts w:ascii="Arial" w:cs="Arial" w:eastAsia="Arial" w:hAnsi="Arial"/>
          <w:sz w:val="17"/>
          <w:szCs w:val="17"/>
          <w:color w:val="auto"/>
        </w:rPr>
        <w:t>As of December 31, 2022 and 2021, there were 2,447,687 and 2,437,649 unvested options, respectively. Total unrecognized expense related to unvested stock options was approximately $19.1 million and $20.1 million as of December 31, 2022 and 2021, respectively. Amounts are expected to be recognized over a weighted average period of approximately 2.6 years and 3.0 years, respectively.</w:t>
      </w:r>
    </w:p>
    <w:p>
      <w:pPr>
        <w:spacing w:after="0" w:line="83"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As of December 31, 2022 and 2021, total unrecognized expense related to unvested restricted stock units was approximately $6.1 million and $8.8 million as of December 31, 2022 and 2021, respectively. Amounts are expected to be recognized over a weighted average period of approximately 2.3 years and 3.5 years, respectively.</w:t>
      </w:r>
    </w:p>
    <w:p>
      <w:pPr>
        <w:spacing w:after="0" w:line="115" w:lineRule="exact"/>
        <w:rPr>
          <w:sz w:val="20"/>
          <w:szCs w:val="20"/>
          <w:color w:val="auto"/>
        </w:rPr>
      </w:pPr>
    </w:p>
    <w:p>
      <w:pPr>
        <w:ind w:right="40" w:firstLine="419"/>
        <w:spacing w:after="0" w:line="277"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Twelve Months Ended December 31,</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1816"/>
              <w:spacing w:after="0"/>
              <w:rPr>
                <w:sz w:val="20"/>
                <w:szCs w:val="20"/>
                <w:color w:val="auto"/>
              </w:rPr>
            </w:pPr>
            <w:r>
              <w:rPr>
                <w:rFonts w:ascii="Arial" w:cs="Arial" w:eastAsia="Arial" w:hAnsi="Arial"/>
                <w:sz w:val="14"/>
                <w:szCs w:val="14"/>
                <w:b w:val="1"/>
                <w:bCs w:val="1"/>
                <w:color w:val="auto"/>
              </w:rPr>
              <w:t>2021</w:t>
            </w:r>
          </w:p>
        </w:tc>
      </w:tr>
      <w:tr>
        <w:trPr>
          <w:trHeight w:val="169"/>
        </w:trPr>
        <w:tc>
          <w:tcPr>
            <w:tcW w:w="2880" w:type="dxa"/>
            <w:vAlign w:val="bottom"/>
          </w:tcPr>
          <w:p>
            <w:pPr>
              <w:spacing w:after="0"/>
              <w:rPr>
                <w:sz w:val="14"/>
                <w:szCs w:val="14"/>
                <w:color w:val="auto"/>
              </w:rPr>
            </w:pPr>
          </w:p>
        </w:tc>
        <w:tc>
          <w:tcPr>
            <w:tcW w:w="2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Range</w:t>
            </w: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740" w:type="dxa"/>
            <w:vAlign w:val="bottom"/>
          </w:tcPr>
          <w:p>
            <w:pPr>
              <w:jc w:val="center"/>
              <w:ind w:left="114"/>
              <w:spacing w:after="0"/>
              <w:rPr>
                <w:sz w:val="20"/>
                <w:szCs w:val="20"/>
                <w:color w:val="auto"/>
              </w:rPr>
            </w:pPr>
            <w:r>
              <w:rPr>
                <w:rFonts w:ascii="Arial" w:cs="Arial" w:eastAsia="Arial" w:hAnsi="Arial"/>
                <w:sz w:val="14"/>
                <w:szCs w:val="14"/>
                <w:b w:val="1"/>
                <w:bCs w:val="1"/>
                <w:color w:val="auto"/>
                <w:w w:val="88"/>
              </w:rPr>
              <w:t>Range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3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62.4% to 64.9%</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center"/>
              <w:ind w:right="155"/>
              <w:spacing w:after="0"/>
              <w:rPr>
                <w:sz w:val="20"/>
                <w:szCs w:val="20"/>
                <w:color w:val="auto"/>
              </w:rPr>
            </w:pPr>
            <w:r>
              <w:rPr>
                <w:rFonts w:ascii="Arial" w:cs="Arial" w:eastAsia="Arial" w:hAnsi="Arial"/>
                <w:sz w:val="18"/>
                <w:szCs w:val="18"/>
                <w:color w:val="auto"/>
                <w:w w:val="93"/>
              </w:rPr>
              <w:t>63.1%</w:t>
            </w:r>
          </w:p>
        </w:tc>
        <w:tc>
          <w:tcPr>
            <w:tcW w:w="1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91"/>
              </w:rPr>
              <w:t>61.6% to 63.7%</w:t>
            </w:r>
          </w:p>
        </w:tc>
        <w:tc>
          <w:tcPr>
            <w:tcW w:w="2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63.2%</w:t>
            </w: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2.0% to 3.8%</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7"/>
              </w:rPr>
              <w:t>2.7%</w:t>
            </w:r>
          </w:p>
        </w:tc>
        <w:tc>
          <w:tcPr>
            <w:tcW w:w="180" w:type="dxa"/>
            <w:vAlign w:val="bottom"/>
          </w:tcPr>
          <w:p>
            <w:pPr>
              <w:spacing w:after="0"/>
              <w:rPr>
                <w:sz w:val="20"/>
                <w:szCs w:val="20"/>
                <w:color w:val="auto"/>
              </w:rPr>
            </w:pPr>
          </w:p>
        </w:tc>
        <w:tc>
          <w:tcPr>
            <w:tcW w:w="1740" w:type="dxa"/>
            <w:vAlign w:val="bottom"/>
          </w:tcPr>
          <w:p>
            <w:pPr>
              <w:jc w:val="center"/>
              <w:ind w:left="114"/>
              <w:spacing w:after="0"/>
              <w:rPr>
                <w:sz w:val="20"/>
                <w:szCs w:val="20"/>
                <w:color w:val="auto"/>
              </w:rPr>
            </w:pPr>
            <w:r>
              <w:rPr>
                <w:rFonts w:ascii="Arial" w:cs="Arial" w:eastAsia="Arial" w:hAnsi="Arial"/>
                <w:sz w:val="18"/>
                <w:szCs w:val="18"/>
                <w:color w:val="auto"/>
                <w:w w:val="91"/>
              </w:rPr>
              <w:t>0.6% to 1.7%</w:t>
            </w:r>
          </w:p>
        </w:tc>
        <w:tc>
          <w:tcPr>
            <w:tcW w:w="2340" w:type="dxa"/>
            <w:vAlign w:val="bottom"/>
            <w:gridSpan w:val="3"/>
          </w:tcPr>
          <w:p>
            <w:pPr>
              <w:jc w:val="center"/>
              <w:ind w:left="295"/>
              <w:spacing w:after="0"/>
              <w:rPr>
                <w:sz w:val="20"/>
                <w:szCs w:val="20"/>
                <w:color w:val="auto"/>
              </w:rPr>
            </w:pPr>
            <w:r>
              <w:rPr>
                <w:rFonts w:ascii="Arial" w:cs="Arial" w:eastAsia="Arial" w:hAnsi="Arial"/>
                <w:sz w:val="18"/>
                <w:szCs w:val="18"/>
                <w:color w:val="auto"/>
                <w:w w:val="87"/>
              </w:rPr>
              <w:t>1.0%</w:t>
            </w:r>
          </w:p>
        </w:tc>
      </w:tr>
      <w:tr>
        <w:trPr>
          <w:trHeight w:val="24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2380" w:type="dxa"/>
            <w:vAlign w:val="bottom"/>
            <w:gridSpan w:val="3"/>
            <w:shd w:val="clear" w:color="auto" w:fill="CFF0FC"/>
          </w:tcPr>
          <w:p>
            <w:pPr>
              <w:jc w:val="center"/>
              <w:ind w:right="420"/>
              <w:spacing w:after="0"/>
              <w:rPr>
                <w:sz w:val="20"/>
                <w:szCs w:val="20"/>
                <w:color w:val="auto"/>
              </w:rPr>
            </w:pPr>
            <w:r>
              <w:rPr>
                <w:rFonts w:ascii="Arial" w:cs="Arial" w:eastAsia="Arial" w:hAnsi="Arial"/>
                <w:sz w:val="18"/>
                <w:szCs w:val="18"/>
                <w:color w:val="auto"/>
                <w:w w:val="89"/>
              </w:rPr>
              <w:t>6.0 to 10.0 years</w:t>
            </w:r>
          </w:p>
        </w:tc>
        <w:tc>
          <w:tcPr>
            <w:tcW w:w="1720" w:type="dxa"/>
            <w:vAlign w:val="bottom"/>
            <w:shd w:val="clear" w:color="auto" w:fill="CFF0FC"/>
          </w:tcPr>
          <w:p>
            <w:pPr>
              <w:jc w:val="center"/>
              <w:ind w:right="155"/>
              <w:spacing w:after="0"/>
              <w:rPr>
                <w:sz w:val="20"/>
                <w:szCs w:val="20"/>
                <w:color w:val="auto"/>
              </w:rPr>
            </w:pPr>
            <w:r>
              <w:rPr>
                <w:rFonts w:ascii="Arial" w:cs="Arial" w:eastAsia="Arial" w:hAnsi="Arial"/>
                <w:sz w:val="18"/>
                <w:szCs w:val="18"/>
                <w:color w:val="auto"/>
                <w:w w:val="86"/>
              </w:rPr>
              <w:t>6.1 years</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ind w:left="114"/>
              <w:spacing w:after="0"/>
              <w:rPr>
                <w:sz w:val="20"/>
                <w:szCs w:val="20"/>
                <w:color w:val="auto"/>
              </w:rPr>
            </w:pPr>
            <w:r>
              <w:rPr>
                <w:rFonts w:ascii="Arial" w:cs="Arial" w:eastAsia="Arial" w:hAnsi="Arial"/>
                <w:sz w:val="18"/>
                <w:szCs w:val="18"/>
                <w:color w:val="auto"/>
                <w:w w:val="87"/>
              </w:rPr>
              <w:t>5.5 to 10.0 years</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6.1 years</w:t>
            </w: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7"/>
              </w:rPr>
              <w:t>0.0%</w:t>
            </w:r>
          </w:p>
        </w:tc>
        <w:tc>
          <w:tcPr>
            <w:tcW w:w="192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0.0%</w:t>
            </w:r>
          </w:p>
        </w:tc>
        <w:tc>
          <w:tcPr>
            <w:tcW w:w="2340" w:type="dxa"/>
            <w:vAlign w:val="bottom"/>
            <w:gridSpan w:val="3"/>
          </w:tcPr>
          <w:p>
            <w:pPr>
              <w:jc w:val="center"/>
              <w:ind w:left="295"/>
              <w:spacing w:after="0"/>
              <w:rPr>
                <w:sz w:val="20"/>
                <w:szCs w:val="20"/>
                <w:color w:val="auto"/>
              </w:rPr>
            </w:pPr>
            <w:r>
              <w:rPr>
                <w:rFonts w:ascii="Arial" w:cs="Arial" w:eastAsia="Arial" w:hAnsi="Arial"/>
                <w:sz w:val="18"/>
                <w:szCs w:val="18"/>
                <w:color w:val="auto"/>
                <w:w w:val="87"/>
              </w:rPr>
              <w:t>0.0%</w:t>
            </w:r>
          </w:p>
        </w:tc>
      </w:tr>
      <w:tr>
        <w:trPr>
          <w:trHeight w:val="24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w:t>
            </w:r>
          </w:p>
        </w:tc>
        <w:tc>
          <w:tcPr>
            <w:tcW w:w="2380" w:type="dxa"/>
            <w:vAlign w:val="bottom"/>
            <w:gridSpan w:val="3"/>
            <w:shd w:val="clear" w:color="auto" w:fill="CFF0FC"/>
          </w:tcPr>
          <w:p>
            <w:pPr>
              <w:jc w:val="center"/>
              <w:ind w:right="400"/>
              <w:spacing w:after="0"/>
              <w:rPr>
                <w:sz w:val="20"/>
                <w:szCs w:val="20"/>
                <w:color w:val="auto"/>
              </w:rPr>
            </w:pPr>
            <w:r>
              <w:rPr>
                <w:rFonts w:ascii="Arial" w:cs="Arial" w:eastAsia="Arial" w:hAnsi="Arial"/>
                <w:sz w:val="18"/>
                <w:szCs w:val="18"/>
                <w:color w:val="auto"/>
                <w:w w:val="90"/>
              </w:rPr>
              <w:t>$10.74 to $15.52</w:t>
            </w:r>
          </w:p>
        </w:tc>
        <w:tc>
          <w:tcPr>
            <w:tcW w:w="1720" w:type="dxa"/>
            <w:vAlign w:val="bottom"/>
            <w:shd w:val="clear" w:color="auto" w:fill="CFF0FC"/>
          </w:tcPr>
          <w:p>
            <w:pPr>
              <w:jc w:val="center"/>
              <w:ind w:right="155"/>
              <w:spacing w:after="0"/>
              <w:rPr>
                <w:sz w:val="20"/>
                <w:szCs w:val="20"/>
                <w:color w:val="auto"/>
              </w:rPr>
            </w:pPr>
            <w:r>
              <w:rPr>
                <w:rFonts w:ascii="Arial" w:cs="Arial" w:eastAsia="Arial" w:hAnsi="Arial"/>
                <w:sz w:val="18"/>
                <w:szCs w:val="18"/>
                <w:color w:val="auto"/>
                <w:w w:val="87"/>
              </w:rPr>
              <w:t>$12.73</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ind w:left="114"/>
              <w:spacing w:after="0"/>
              <w:rPr>
                <w:sz w:val="20"/>
                <w:szCs w:val="20"/>
                <w:color w:val="auto"/>
              </w:rPr>
            </w:pPr>
            <w:r>
              <w:rPr>
                <w:rFonts w:ascii="Arial" w:cs="Arial" w:eastAsia="Arial" w:hAnsi="Arial"/>
                <w:sz w:val="18"/>
                <w:szCs w:val="18"/>
                <w:color w:val="auto"/>
                <w:w w:val="90"/>
              </w:rPr>
              <w:t>$12.08 to $19.94</w:t>
            </w:r>
          </w:p>
        </w:tc>
        <w:tc>
          <w:tcPr>
            <w:tcW w:w="2340" w:type="dxa"/>
            <w:vAlign w:val="bottom"/>
            <w:gridSpan w:val="3"/>
            <w:shd w:val="clear" w:color="auto" w:fill="CFF0FC"/>
          </w:tcPr>
          <w:p>
            <w:pPr>
              <w:jc w:val="center"/>
              <w:ind w:left="295"/>
              <w:spacing w:after="0"/>
              <w:rPr>
                <w:sz w:val="20"/>
                <w:szCs w:val="20"/>
                <w:color w:val="auto"/>
              </w:rPr>
            </w:pPr>
            <w:r>
              <w:rPr>
                <w:rFonts w:ascii="Arial" w:cs="Arial" w:eastAsia="Arial" w:hAnsi="Arial"/>
                <w:sz w:val="18"/>
                <w:szCs w:val="18"/>
                <w:color w:val="auto"/>
                <w:w w:val="87"/>
              </w:rPr>
              <w:t>$15.02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7"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On August 8, 2022, the Company filed a $200.0 million shelf registration statement which became effective on August 12, 2022. The shelf registration statement is effective for three years and permits the Company to sell, from time to time, up to $200.0 million in aggregate value of our common stock, preferred stock, debt securities, warrants, and/or units. The shelf registration statement is intended to provide the Company with flexibility to access additional capital when market conditions are appropriate. Included in the $200.0 million shelf registration statement, the Company also filed a prospectus supplement to sell up to an aggregate value of $50.0 million dollars of our common stock through an ATM offering. During the year ended December 31, 2022 the Company sold 475,875 common shares for $6.0 million after deducting underwriting discounts and commissions and other offering expenses.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Common stock reserved for future issuance consisted of the following:</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7700" w:type="dxa"/>
            <w:vAlign w:val="bottom"/>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December 31, 2022</w:t>
            </w:r>
          </w:p>
        </w:tc>
        <w:tc>
          <w:tcPr>
            <w:tcW w:w="2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100" w:type="dxa"/>
            <w:vAlign w:val="bottom"/>
          </w:tcPr>
          <w:p>
            <w:pPr>
              <w:spacing w:after="0"/>
              <w:rPr>
                <w:sz w:val="24"/>
                <w:szCs w:val="2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 under the Equity Plans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6,339,558</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5,754,005</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20" w:type="dxa"/>
            <w:vAlign w:val="bottom"/>
          </w:tcPr>
          <w:p>
            <w:pPr>
              <w:jc w:val="right"/>
              <w:spacing w:after="0"/>
              <w:rPr>
                <w:sz w:val="20"/>
                <w:szCs w:val="20"/>
                <w:color w:val="auto"/>
              </w:rPr>
            </w:pPr>
            <w:r>
              <w:rPr>
                <w:rFonts w:ascii="Arial" w:cs="Arial" w:eastAsia="Arial" w:hAnsi="Arial"/>
                <w:sz w:val="18"/>
                <w:szCs w:val="18"/>
                <w:color w:val="auto"/>
              </w:rPr>
              <w:t>492,862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640,479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664,976</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484,027</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Shares available for future sale under the at-the-market offering </w:t>
            </w:r>
            <w:r>
              <w:rPr>
                <w:rFonts w:ascii="Arial" w:cs="Arial" w:eastAsia="Arial" w:hAnsi="Arial"/>
                <w:sz w:val="24"/>
                <w:szCs w:val="24"/>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3,454,064</w:t>
            </w:r>
          </w:p>
        </w:tc>
        <w:tc>
          <w:tcPr>
            <w:tcW w:w="22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shares of common stock reserved</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10,951,460</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6,878,511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23"/>
          <w:szCs w:val="23"/>
          <w:color w:val="auto"/>
          <w:vertAlign w:val="superscript"/>
        </w:rPr>
      </w:pPr>
      <w:r>
        <w:rPr>
          <w:rFonts w:ascii="Arial" w:cs="Arial" w:eastAsia="Arial" w:hAnsi="Arial"/>
          <w:sz w:val="17"/>
          <w:szCs w:val="17"/>
          <w:color w:val="auto"/>
        </w:rPr>
        <w:t>Based on the closing stock price of $12.67 as reported on the Nasdaq Global Market on December 30, 2022.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loss before income taxes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20"/>
                <w:szCs w:val="20"/>
                <w:color w:val="auto"/>
              </w:rPr>
            </w:pPr>
          </w:p>
        </w:tc>
        <w:tc>
          <w:tcPr>
            <w:tcW w:w="174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loss before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960" w:type="dxa"/>
            <w:vAlign w:val="bottom"/>
          </w:tcPr>
          <w:p>
            <w:pPr>
              <w:ind w:left="20"/>
              <w:spacing w:after="0"/>
              <w:rPr>
                <w:sz w:val="20"/>
                <w:szCs w:val="20"/>
                <w:color w:val="auto"/>
              </w:rPr>
            </w:pPr>
            <w:r>
              <w:rPr>
                <w:rFonts w:ascii="Arial" w:cs="Arial" w:eastAsia="Arial" w:hAnsi="Arial"/>
                <w:sz w:val="18"/>
                <w:szCs w:val="18"/>
                <w:color w:val="auto"/>
              </w:rPr>
              <w:t>Foreign income before taxes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76"/>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10"/>
        </w:trPr>
        <w:tc>
          <w:tcPr>
            <w:tcW w:w="8880" w:type="dxa"/>
            <w:vAlign w:val="bottom"/>
            <w:gridSpan w:val="4"/>
          </w:tcPr>
          <w:p>
            <w:pPr>
              <w:ind w:left="380"/>
              <w:spacing w:after="0"/>
              <w:rPr>
                <w:sz w:val="20"/>
                <w:szCs w:val="20"/>
                <w:color w:val="auto"/>
              </w:rPr>
            </w:pPr>
            <w:r>
              <w:rPr>
                <w:rFonts w:ascii="Arial" w:cs="Arial" w:eastAsia="Arial" w:hAnsi="Arial"/>
                <w:sz w:val="18"/>
                <w:szCs w:val="18"/>
                <w:color w:val="auto"/>
                <w:w w:val="95"/>
              </w:rPr>
              <w:t>Income tax expense for the years ended December 31, 2022 and 2021 consists of the following (in thousands):</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-230505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-213360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gridSpan w:val="5"/>
          </w:tcPr>
          <w:p>
            <w:pPr>
              <w:jc w:val="right"/>
              <w:ind w:right="1101"/>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39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36"/>
        </w:trPr>
        <w:tc>
          <w:tcPr>
            <w:tcW w:w="3960" w:type="dxa"/>
            <w:vAlign w:val="bottom"/>
          </w:tcPr>
          <w:p>
            <w:pPr>
              <w:ind w:left="20"/>
              <w:spacing w:after="0"/>
              <w:rPr>
                <w:sz w:val="20"/>
                <w:szCs w:val="20"/>
                <w:color w:val="auto"/>
              </w:rPr>
            </w:pPr>
            <w:r>
              <w:rPr>
                <w:rFonts w:ascii="Arial" w:cs="Arial" w:eastAsia="Arial" w:hAnsi="Arial"/>
                <w:sz w:val="18"/>
                <w:szCs w:val="18"/>
                <w:color w:val="auto"/>
              </w:rPr>
              <w:t>Current:</w:t>
            </w:r>
          </w:p>
        </w:tc>
        <w:tc>
          <w:tcPr>
            <w:tcW w:w="3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34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3960" w:type="dxa"/>
            <w:vAlign w:val="bottom"/>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43"/>
        </w:trPr>
        <w:tc>
          <w:tcPr>
            <w:tcW w:w="3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30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42"/>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w:t>
            </w:r>
          </w:p>
        </w:tc>
        <w:tc>
          <w:tcPr>
            <w:tcW w:w="3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96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(11,366 )</w:t>
            </w:r>
          </w:p>
        </w:tc>
        <w:tc>
          <w:tcPr>
            <w:tcW w:w="7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(9,950 )</w:t>
            </w:r>
          </w:p>
        </w:tc>
      </w:tr>
      <w:tr>
        <w:trPr>
          <w:trHeight w:val="249"/>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(3,542 )</w:t>
            </w:r>
          </w:p>
        </w:tc>
        <w:tc>
          <w:tcPr>
            <w:tcW w:w="7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(3,241 )</w:t>
            </w:r>
          </w:p>
        </w:tc>
      </w:tr>
      <w:tr>
        <w:trPr>
          <w:trHeight w:val="236"/>
        </w:trPr>
        <w:tc>
          <w:tcPr>
            <w:tcW w:w="3960" w:type="dxa"/>
            <w:vAlign w:val="bottom"/>
          </w:tcPr>
          <w:p>
            <w:pPr>
              <w:ind w:left="200"/>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5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3960" w:type="dxa"/>
            <w:vAlign w:val="bottom"/>
            <w:tcBorders>
              <w:bottom w:val="single" w:sz="8" w:color="CFF0FC"/>
            </w:tcBorders>
            <w:shd w:val="clear" w:color="auto" w:fill="CFF0FC"/>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396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30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13,191</w:t>
            </w:r>
          </w:p>
        </w:tc>
        <w:tc>
          <w:tcPr>
            <w:tcW w:w="100" w:type="dxa"/>
            <w:vAlign w:val="bottom"/>
          </w:tcPr>
          <w:p>
            <w:pPr>
              <w:spacing w:after="0"/>
              <w:rPr>
                <w:sz w:val="21"/>
                <w:szCs w:val="21"/>
                <w:color w:val="auto"/>
              </w:rPr>
            </w:pPr>
          </w:p>
        </w:tc>
      </w:tr>
      <w:tr>
        <w:trPr>
          <w:trHeight w:val="270"/>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0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24"/>
        </w:trPr>
        <w:tc>
          <w:tcPr>
            <w:tcW w:w="3960" w:type="dxa"/>
            <w:vAlign w:val="bottom"/>
          </w:tcPr>
          <w:p>
            <w:pPr>
              <w:spacing w:after="0"/>
              <w:rPr>
                <w:sz w:val="24"/>
                <w:szCs w:val="24"/>
                <w:color w:val="auto"/>
              </w:rPr>
            </w:pPr>
          </w:p>
        </w:tc>
        <w:tc>
          <w:tcPr>
            <w:tcW w:w="3060" w:type="dxa"/>
            <w:vAlign w:val="bottom"/>
          </w:tcPr>
          <w:p>
            <w:pPr>
              <w:jc w:val="right"/>
              <w:ind w:right="117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-1591945</wp:posOffset>
            </wp:positionV>
            <wp:extent cx="685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-641350</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-316230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-299085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26" w:name="page127"/>
    <w:bookmarkEnd w:id="126"/>
    <w:p>
      <w:pPr>
        <w:ind w:left="380"/>
        <w:spacing w:after="0"/>
        <w:rPr>
          <w:sz w:val="20"/>
          <w:szCs w:val="20"/>
          <w:color w:val="auto"/>
        </w:rPr>
      </w:pPr>
      <w:r>
        <w:rPr>
          <w:rFonts w:ascii="Arial" w:cs="Arial" w:eastAsia="Arial" w:hAnsi="Arial"/>
          <w:sz w:val="18"/>
          <w:szCs w:val="18"/>
          <w:color w:val="auto"/>
        </w:rPr>
        <w:t>The significant components that comprised the Company’s net deferred taxes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gridSpan w:val="5"/>
          </w:tcPr>
          <w:p>
            <w:pPr>
              <w:jc w:val="right"/>
              <w:ind w:right="1101"/>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36"/>
        </w:trPr>
        <w:tc>
          <w:tcPr>
            <w:tcW w:w="7020" w:type="dxa"/>
            <w:vAlign w:val="bottom"/>
          </w:tcPr>
          <w:p>
            <w:pPr>
              <w:ind w:left="120"/>
              <w:spacing w:after="0"/>
              <w:rPr>
                <w:sz w:val="20"/>
                <w:szCs w:val="20"/>
                <w:color w:val="auto"/>
              </w:rPr>
            </w:pPr>
            <w:r>
              <w:rPr>
                <w:rFonts w:ascii="Arial" w:cs="Arial" w:eastAsia="Arial" w:hAnsi="Arial"/>
                <w:sz w:val="18"/>
                <w:szCs w:val="18"/>
                <w:color w:val="auto"/>
              </w:rPr>
              <w:t>Net operating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70,179</w:t>
            </w:r>
          </w:p>
        </w:tc>
        <w:tc>
          <w:tcPr>
            <w:tcW w:w="1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62,347</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120"/>
              <w:spacing w:after="0"/>
              <w:rPr>
                <w:sz w:val="20"/>
                <w:szCs w:val="20"/>
                <w:color w:val="auto"/>
              </w:rPr>
            </w:pPr>
            <w:r>
              <w:rPr>
                <w:rFonts w:ascii="Arial" w:cs="Arial" w:eastAsia="Arial" w:hAnsi="Arial"/>
                <w:sz w:val="18"/>
                <w:szCs w:val="18"/>
                <w:color w:val="auto"/>
              </w:rPr>
              <w:t>R&amp;D expenditures capitalization</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120"/>
              <w:spacing w:after="0"/>
              <w:rPr>
                <w:sz w:val="20"/>
                <w:szCs w:val="20"/>
                <w:color w:val="auto"/>
              </w:rPr>
            </w:pPr>
            <w:r>
              <w:rPr>
                <w:rFonts w:ascii="Arial" w:cs="Arial" w:eastAsia="Arial" w:hAnsi="Arial"/>
                <w:sz w:val="18"/>
                <w:szCs w:val="18"/>
                <w:color w:val="auto"/>
              </w:rPr>
              <w:t>Research and development credit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7,902</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liability</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r>
      <w:tr>
        <w:trPr>
          <w:trHeight w:val="243"/>
        </w:trPr>
        <w:tc>
          <w:tcPr>
            <w:tcW w:w="7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7020" w:type="dxa"/>
            <w:vAlign w:val="bottom"/>
          </w:tcPr>
          <w:p>
            <w:pPr>
              <w:ind w:left="20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91,634</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76,766</w:t>
            </w:r>
          </w:p>
        </w:tc>
        <w:tc>
          <w:tcPr>
            <w:tcW w:w="100" w:type="dxa"/>
            <w:vAlign w:val="bottom"/>
          </w:tcPr>
          <w:p>
            <w:pPr>
              <w:spacing w:after="0"/>
              <w:rPr>
                <w:sz w:val="21"/>
                <w:szCs w:val="21"/>
                <w:color w:val="auto"/>
              </w:rPr>
            </w:pPr>
          </w:p>
        </w:tc>
      </w:tr>
      <w:tr>
        <w:trPr>
          <w:trHeight w:val="230"/>
        </w:trPr>
        <w:tc>
          <w:tcPr>
            <w:tcW w:w="7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Total net deferred tax assets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120"/>
              <w:spacing w:after="0"/>
              <w:rPr>
                <w:sz w:val="20"/>
                <w:szCs w:val="20"/>
                <w:color w:val="auto"/>
              </w:rPr>
            </w:pPr>
            <w:r>
              <w:rPr>
                <w:rFonts w:ascii="Arial" w:cs="Arial" w:eastAsia="Arial" w:hAnsi="Arial"/>
                <w:sz w:val="18"/>
                <w:szCs w:val="18"/>
                <w:color w:val="auto"/>
              </w:rPr>
              <w:t>Right-of-use asset</w:t>
            </w:r>
          </w:p>
        </w:tc>
        <w:tc>
          <w:tcPr>
            <w:tcW w:w="4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(1,163 )</w:t>
            </w:r>
          </w:p>
        </w:tc>
        <w:tc>
          <w:tcPr>
            <w:tcW w:w="7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(1,220 )</w:t>
            </w:r>
          </w:p>
        </w:tc>
      </w:tr>
      <w:tr>
        <w:trPr>
          <w:trHeight w:val="242"/>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-1146810</wp:posOffset>
            </wp:positionV>
            <wp:extent cx="685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-821055</wp:posOffset>
            </wp:positionV>
            <wp:extent cx="6858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A reconciliation of the provision for income taxes with the expected income tax computed by applying the federal statutory income tax rate to loss before provision for income taxes was calculated as follows (amounts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324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December 31, 2022</w:t>
            </w:r>
          </w:p>
        </w:tc>
        <w:tc>
          <w:tcPr>
            <w:tcW w:w="278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rPr>
              <w:t>December 31, 2021</w:t>
            </w:r>
          </w:p>
        </w:tc>
      </w:tr>
      <w:tr>
        <w:trPr>
          <w:trHeight w:val="250"/>
        </w:trPr>
        <w:tc>
          <w:tcPr>
            <w:tcW w:w="5100" w:type="dxa"/>
            <w:vAlign w:val="bottom"/>
          </w:tcPr>
          <w:p>
            <w:pPr>
              <w:spacing w:after="0"/>
              <w:rPr>
                <w:sz w:val="21"/>
                <w:szCs w:val="21"/>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Rate</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1"/>
                <w:szCs w:val="21"/>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 at the federal statutory tax rate</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w w:val="73"/>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State taxes, net of federal benefit</w:t>
            </w:r>
          </w:p>
        </w:tc>
        <w:tc>
          <w:tcPr>
            <w:tcW w:w="10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3.5 %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(2,358 )</w:t>
            </w:r>
          </w:p>
        </w:tc>
        <w:tc>
          <w:tcPr>
            <w:tcW w:w="1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4.1 %</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(1,989 )</w:t>
            </w:r>
          </w:p>
        </w:tc>
      </w:tr>
      <w:tr>
        <w:trPr>
          <w:trHeight w:val="23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credits</w:t>
            </w: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1.9 %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(1,269 )</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2.6 %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(1,241 )</w:t>
            </w:r>
          </w:p>
        </w:tc>
      </w:tr>
      <w:tr>
        <w:trPr>
          <w:trHeight w:val="249"/>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(2.4 )%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(1.4 )%</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21"/>
                <w:szCs w:val="21"/>
                <w:color w:val="auto"/>
              </w:rPr>
            </w:pPr>
          </w:p>
        </w:tc>
      </w:tr>
      <w:tr>
        <w:trPr>
          <w:trHeight w:val="23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non-deductible permanent items</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(0.2 )%</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2.6 %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(1,252 )</w:t>
            </w:r>
          </w:p>
        </w:tc>
      </w:tr>
      <w:tr>
        <w:trPr>
          <w:trHeight w:val="249"/>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Expired tax attributes</w:t>
            </w:r>
          </w:p>
        </w:tc>
        <w:tc>
          <w:tcPr>
            <w:tcW w:w="108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(1.5 )%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21"/>
                <w:szCs w:val="21"/>
                <w:color w:val="auto"/>
              </w:rPr>
            </w:pPr>
          </w:p>
        </w:tc>
      </w:tr>
      <w:tr>
        <w:trPr>
          <w:trHeight w:val="23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0.0 %</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0.2 %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4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92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w w:val="94"/>
              </w:rPr>
              <w:t>(22.3 )%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w:t>
            </w:r>
          </w:p>
        </w:tc>
        <w:tc>
          <w:tcPr>
            <w:tcW w:w="10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(27.1 )%</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shd w:val="clear" w:color="auto" w:fill="CFF0FC"/>
          </w:tcPr>
          <w:p>
            <w:pPr>
              <w:spacing w:after="0"/>
              <w:rPr>
                <w:sz w:val="21"/>
                <w:szCs w:val="2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7060565</wp:posOffset>
            </wp:positionH>
            <wp:positionV relativeFrom="paragraph">
              <wp:posOffset>-1429385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-187960</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-187960</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The tax effects of items that give rise to significant portions of deferred tax assets are primarily net operating loss carryforwards. The Company evaluates the recoverability of deferred tax assets and assesses all available positive and negative evidence to estimate if sufficient future taxable income will be generated to use the existing deferred tax assets. Based on the weight of all the evidence, including a history of operating losses and the Company’s ability to generate future taxable income to realize these assets, a full valuation allowance has been recorded to offset the net deferred tax asset as realization of such asset is uncertain. The Company’s valuation allowance increased by $14.9 million and $13.2 million in 2022 and 2021, respectively.</w:t>
      </w:r>
    </w:p>
    <w:p>
      <w:pPr>
        <w:spacing w:after="0" w:line="9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As of December 31, 2022, the Company had federal net operating loss carryforwards of $300.4 million and state net operating loss carryforwards of $128.8 million which will not expire and will be able to offset 80% of taxable income in future years. Of the $300.4 million in federal NOLs, $188.9 million will not expire and will be able to offset 80% of taxable income in future years. Of the $128.8 million in state NOLs, $17.6 million will not expire and will be able to offset 80% of taxable income in future years. The remaining federal NOL carryforwards will expire between 2023 and 2037, and the remaining state NOL carryforwards will expire between 2025 and 2042. In addition, the Company also had federal credit carry forwards of $8.2 million and state credit carry forwards of $8.0 million as of December 31, 2022, which may be available to offset future tax liabilities. The federal credits will expire between 2037 and 2042, and the state credits do not expire.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p>
      <w:pPr>
        <w:ind w:right="240" w:firstLine="374"/>
        <w:spacing w:after="0" w:line="256" w:lineRule="auto"/>
        <w:rPr>
          <w:sz w:val="20"/>
          <w:szCs w:val="20"/>
          <w:color w:val="auto"/>
        </w:rPr>
      </w:pPr>
      <w:r>
        <w:rPr>
          <w:rFonts w:ascii="Arial" w:cs="Arial" w:eastAsia="Arial" w:hAnsi="Arial"/>
          <w:sz w:val="18"/>
          <w:szCs w:val="18"/>
          <w:color w:val="auto"/>
        </w:rPr>
        <w:t>The Inflation Reduction Act 2022 which incorporates a Corporate Alternative Minimum Tax (“CAMT”) was signed on August 16, 2022. The changes will affect tax years beginning after December 31, 2022. The new tax will require companies to compute two separate calculations for federal income tax purposes and pay the greater of the new minimum tax or their regular tax liability. The Company will be monitoring the impacts of the act to determine if this will have an impact for the Company for years beginning after December 31, 2022. The CAMT act is not expected to have a material impact on the Company's consolidated financial statements.</w:t>
      </w:r>
    </w:p>
    <w:p>
      <w:pPr>
        <w:spacing w:after="0" w:line="12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Creating Helpful Incentives to Produce Semiconductors (“CHIPS”) Act of 2022 was signed into law on August 9, 2022 to boost domestic semiconductor manufacturing and encourage US research activities. The act provided a 25% investment credit intended to promote domestic production of semiconductors. This act is not expected to have a material impact for the Company. The CHIPS act is not expected to have a material impact on the Company's consolidated financial statements.</w:t>
      </w:r>
    </w:p>
    <w:p>
      <w:pPr>
        <w:spacing w:after="0" w:line="104"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23"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R&amp;D credit carryforwards may be limited in the event a cumulative change in ownership of more than 50% occurs within a three-year period. The Company has not completed an IRC Sections 382 and 383 analysis regarding the limitation of net operating loss and R&amp;D credit carryforwards as of December 31, 2022. The Company has not completed a formal R&amp;D study but has estimated the federal and California credit for purposes of the tax footnote as of December 31, 2022. However, the Company has not reflected a benefit in the consolidated financial statements due to the recorded valuation allowance.</w:t>
      </w:r>
    </w:p>
    <w:p>
      <w:pPr>
        <w:spacing w:after="0" w:line="92"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The following reconciliation of the beginning and ending amount of gross unrecognized tax benefits, excluding interest and penalties,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8"/>
              </w:rPr>
              <w:t>Year ended December 31,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0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1"/>
                <w:szCs w:val="21"/>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Beginning balance of unrecognized tax benefits</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0"/>
                <w:szCs w:val="20"/>
                <w:color w:val="auto"/>
              </w:rPr>
            </w:pPr>
          </w:p>
        </w:tc>
        <w:tc>
          <w:tcPr>
            <w:tcW w:w="1640" w:type="dxa"/>
            <w:vAlign w:val="bottom"/>
            <w:tcBorders>
              <w:top w:val="single" w:sz="8" w:color="auto"/>
            </w:tcBorders>
            <w:gridSpan w:val="2"/>
          </w:tcPr>
          <w:p>
            <w:pPr>
              <w:jc w:val="right"/>
              <w:ind w:right="10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0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21"/>
                <w:szCs w:val="2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3,494</w:t>
            </w:r>
          </w:p>
        </w:tc>
        <w:tc>
          <w:tcPr>
            <w:tcW w:w="480" w:type="dxa"/>
            <w:vAlign w:val="bottom"/>
            <w:gridSpan w:val="2"/>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374"/>
        <w:spacing w:after="0" w:line="256" w:lineRule="auto"/>
        <w:rPr>
          <w:sz w:val="20"/>
          <w:szCs w:val="20"/>
          <w:color w:val="auto"/>
        </w:rPr>
      </w:pPr>
      <w:r>
        <w:rPr>
          <w:rFonts w:ascii="Arial" w:cs="Arial" w:eastAsia="Arial" w:hAnsi="Arial"/>
          <w:sz w:val="18"/>
          <w:szCs w:val="18"/>
          <w:color w:val="auto"/>
        </w:rPr>
        <w:t>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 Due to the existence of the valuation allowance, future changes in the Company's unrecognized tax benefits will not impact the Company's effective tax rate. The Company has not incurred any material interest or penalties as of the current reporting date with respect to income tax matters.</w:t>
      </w:r>
    </w:p>
    <w:p>
      <w:pPr>
        <w:spacing w:after="0" w:line="123" w:lineRule="exact"/>
        <w:rPr>
          <w:sz w:val="20"/>
          <w:szCs w:val="20"/>
          <w:color w:val="auto"/>
        </w:rPr>
      </w:pPr>
    </w:p>
    <w:p>
      <w:pPr>
        <w:ind w:right="140" w:firstLine="374"/>
        <w:spacing w:after="0" w:line="296" w:lineRule="auto"/>
        <w:rPr>
          <w:sz w:val="20"/>
          <w:szCs w:val="20"/>
          <w:color w:val="auto"/>
        </w:rPr>
      </w:pPr>
      <w:r>
        <w:rPr>
          <w:rFonts w:ascii="Arial" w:cs="Arial" w:eastAsia="Arial" w:hAnsi="Arial"/>
          <w:sz w:val="16"/>
          <w:szCs w:val="16"/>
          <w:color w:val="auto"/>
        </w:rPr>
        <w:t>The Company is subject to U.S. federal and various states' income taxes. The federal returns for tax years 2019 through 2022 remain open to examination and the state returns remain subject to examination for tax years 2018 through 2022. Carryforward attributes that were generated in years where the statute of limitations is closed may still be adjusted upon examination by the Internal Revenue Service or other respective tax authorities. All other state jurisdictions remain open to examination. There are no cumulative earnings in our foreign subsidiaries as of December 31, 2022 and 2021 that would be subject to U.S. income tax or foreign withholding tax. The Company plans to indefinitely reinvest any future earnings of its foreign subsidiaries.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115"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Company’s leases have remaining non-cancelable lease terms of up to 3 years, some of which include options to extend the leases for up to 15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w:t>
      </w:r>
    </w:p>
    <w:p>
      <w:pPr>
        <w:spacing w:after="0" w:line="104"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As of December 31, 2022, the Company held four leases for office, manufacturing and warehouse facilities in Aliso Viejo, California. The four leases are for approximately 121,000 square feet in the aggregate and expire between March 31, 2023 and January 31, 2026. For one of the facilities operating leases, the lessor provided $900,000 in tenant allowances.</w:t>
      </w:r>
    </w:p>
    <w:p>
      <w:pPr>
        <w:spacing w:after="0" w:line="115"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On April 4, 2022, the Company entered into a thirty-four-month sublease agreement for a portion of the 5 Columbia Building, in Aliso Viejo, CA. The sublease commencement date was June 13, 2022 and will expire on March 31, 2025. The base rent receivable is $11,410 per month. On January 4, 2023, the Company amended the base rent of sublease agreement to $5,319 per month beginning on March 1, 2023.</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lease balances within the consolidated balance sheets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December 31,</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25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180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3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right-of-use assets</w:t>
            </w:r>
          </w:p>
        </w:tc>
        <w:tc>
          <w:tcPr>
            <w:tcW w:w="32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FF0FC"/>
          </w:tcPr>
          <w:p>
            <w:pPr>
              <w:spacing w:after="0"/>
              <w:rPr>
                <w:sz w:val="21"/>
                <w:szCs w:val="2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r>
      <w:tr>
        <w:trPr>
          <w:trHeight w:val="276"/>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assets</w:t>
            </w:r>
          </w:p>
        </w:tc>
        <w:tc>
          <w:tcPr>
            <w:tcW w:w="200" w:type="dxa"/>
            <w:vAlign w:val="bottom"/>
            <w:tcBorders>
              <w:bottom w:val="single" w:sz="8" w:color="CFF0FC"/>
            </w:tcBorders>
            <w:shd w:val="clear" w:color="auto" w:fill="CFF0FC"/>
          </w:tcPr>
          <w:p>
            <w:pPr>
              <w:spacing w:after="0"/>
              <w:rPr>
                <w:sz w:val="24"/>
                <w:szCs w:val="24"/>
                <w:color w:val="auto"/>
              </w:rPr>
            </w:pPr>
          </w:p>
        </w:tc>
        <w:tc>
          <w:tcPr>
            <w:tcW w:w="3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1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21"/>
                <w:szCs w:val="21"/>
                <w:color w:val="auto"/>
              </w:rPr>
            </w:pPr>
          </w:p>
        </w:tc>
        <w:tc>
          <w:tcPr>
            <w:tcW w:w="3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180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r>
      <w:tr>
        <w:trPr>
          <w:trHeight w:val="249"/>
        </w:trPr>
        <w:tc>
          <w:tcPr>
            <w:tcW w:w="1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r>
      <w:tr>
        <w:trPr>
          <w:trHeight w:val="236"/>
        </w:trPr>
        <w:tc>
          <w:tcPr>
            <w:tcW w:w="18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1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32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FF0FC"/>
          </w:tcPr>
          <w:p>
            <w:pPr>
              <w:spacing w:after="0"/>
              <w:rPr>
                <w:sz w:val="21"/>
                <w:szCs w:val="21"/>
                <w:color w:val="auto"/>
              </w:rPr>
            </w:pPr>
          </w:p>
        </w:tc>
      </w:tr>
      <w:tr>
        <w:trPr>
          <w:trHeight w:val="243"/>
        </w:trPr>
        <w:tc>
          <w:tcPr>
            <w:tcW w:w="1800" w:type="dxa"/>
            <w:vAlign w:val="bottom"/>
          </w:tcPr>
          <w:p>
            <w:pPr>
              <w:ind w:left="20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32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76"/>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24"/>
                <w:szCs w:val="24"/>
                <w:color w:val="auto"/>
              </w:rPr>
            </w:pPr>
          </w:p>
        </w:tc>
        <w:tc>
          <w:tcPr>
            <w:tcW w:w="3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auto"/>
            </w:tcBorders>
            <w:shd w:val="clear" w:color="auto" w:fill="CFF0FC"/>
          </w:tcPr>
          <w:p>
            <w:pPr>
              <w:jc w:val="right"/>
              <w:ind w:right="20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-1292225</wp:posOffset>
            </wp:positionV>
            <wp:extent cx="169545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95450" cy="1797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As the implicit rates in the Company’s leases were not readily available, the incremental borrowing rate was determined based upon information available at the lease commencement date in determining the present value of future lease payments.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ind w:left="420"/>
        <w:spacing w:after="0"/>
        <w:rPr>
          <w:sz w:val="20"/>
          <w:szCs w:val="20"/>
          <w:color w:val="auto"/>
        </w:rPr>
      </w:pPr>
      <w:r>
        <w:rPr>
          <w:rFonts w:ascii="Arial" w:cs="Arial" w:eastAsia="Arial" w:hAnsi="Arial"/>
          <w:sz w:val="17"/>
          <w:szCs w:val="17"/>
          <w:color w:val="auto"/>
        </w:rPr>
        <w:t>For the years ended December 31, 2022 and 2021, the components of operating and finance lease expenses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Year Ended December 31,</w:t>
            </w:r>
          </w:p>
        </w:tc>
      </w:tr>
      <w:tr>
        <w:trPr>
          <w:trHeight w:val="238"/>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220" w:type="dxa"/>
            <w:vAlign w:val="bottom"/>
          </w:tcPr>
          <w:p>
            <w:pPr>
              <w:spacing w:after="0"/>
              <w:rPr>
                <w:sz w:val="20"/>
                <w:szCs w:val="20"/>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0"/>
        </w:trPr>
        <w:tc>
          <w:tcPr>
            <w:tcW w:w="2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20"/>
                <w:szCs w:val="20"/>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49"/>
        </w:trPr>
        <w:tc>
          <w:tcPr>
            <w:tcW w:w="2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9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21"/>
                <w:szCs w:val="21"/>
                <w:color w:val="auto"/>
              </w:rPr>
            </w:pPr>
          </w:p>
        </w:tc>
      </w:tr>
      <w:tr>
        <w:trPr>
          <w:trHeight w:val="230"/>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r>
      <w:tr>
        <w:trPr>
          <w:trHeight w:val="255"/>
        </w:trPr>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spacing w:after="0"/>
              <w:rPr>
                <w:sz w:val="22"/>
                <w:szCs w:val="22"/>
                <w:color w:val="auto"/>
              </w:rPr>
            </w:pPr>
          </w:p>
        </w:tc>
      </w:tr>
      <w:tr>
        <w:trPr>
          <w:trHeight w:val="243"/>
        </w:trPr>
        <w:tc>
          <w:tcPr>
            <w:tcW w:w="2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220" w:type="dxa"/>
            <w:vAlign w:val="bottom"/>
            <w:shd w:val="clear" w:color="auto" w:fill="CFF0FC"/>
          </w:tcPr>
          <w:p>
            <w:pPr>
              <w:spacing w:after="0"/>
              <w:rPr>
                <w:sz w:val="21"/>
                <w:szCs w:val="21"/>
                <w:color w:val="auto"/>
              </w:rPr>
            </w:pPr>
          </w:p>
        </w:tc>
        <w:tc>
          <w:tcPr>
            <w:tcW w:w="49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49"/>
        </w:trPr>
        <w:tc>
          <w:tcPr>
            <w:tcW w:w="2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20"/>
                <w:szCs w:val="20"/>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336"/>
        </w:trPr>
        <w:tc>
          <w:tcPr>
            <w:tcW w:w="9400" w:type="dxa"/>
            <w:vAlign w:val="bottom"/>
            <w:gridSpan w:val="10"/>
          </w:tcPr>
          <w:p>
            <w:pPr>
              <w:ind w:left="380"/>
              <w:spacing w:after="0"/>
              <w:rPr>
                <w:sz w:val="20"/>
                <w:szCs w:val="20"/>
                <w:color w:val="auto"/>
              </w:rPr>
            </w:pPr>
            <w:r>
              <w:rPr>
                <w:rFonts w:ascii="Arial" w:cs="Arial" w:eastAsia="Arial" w:hAnsi="Arial"/>
                <w:sz w:val="18"/>
                <w:szCs w:val="18"/>
                <w:color w:val="auto"/>
                <w:w w:val="91"/>
              </w:rPr>
              <w:t>Maturities of the Company’s operating and finance lease liabilities as of December 31, 2022, were as follows (in thousands):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Operating</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Finance</w:t>
            </w:r>
          </w:p>
        </w:tc>
      </w:tr>
      <w:tr>
        <w:trPr>
          <w:trHeight w:val="250"/>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Leases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Leases</w:t>
            </w:r>
          </w:p>
        </w:tc>
      </w:tr>
      <w:tr>
        <w:trPr>
          <w:trHeight w:val="243"/>
        </w:trPr>
        <w:tc>
          <w:tcPr>
            <w:tcW w:w="23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shd w:val="clear" w:color="auto" w:fill="CFF0FC"/>
          </w:tcPr>
          <w:p>
            <w:pPr>
              <w:spacing w:after="0"/>
              <w:rPr>
                <w:sz w:val="21"/>
                <w:szCs w:val="21"/>
                <w:color w:val="auto"/>
              </w:rPr>
            </w:pPr>
          </w:p>
        </w:tc>
        <w:tc>
          <w:tcPr>
            <w:tcW w:w="47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21"/>
                <w:szCs w:val="21"/>
                <w:color w:val="auto"/>
              </w:rPr>
            </w:pPr>
          </w:p>
        </w:tc>
      </w:tr>
      <w:tr>
        <w:trPr>
          <w:trHeight w:val="236"/>
        </w:trPr>
        <w:tc>
          <w:tcPr>
            <w:tcW w:w="2360" w:type="dxa"/>
            <w:vAlign w:val="bottom"/>
          </w:tcPr>
          <w:p>
            <w:pPr>
              <w:ind w:left="38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249"/>
        </w:trPr>
        <w:tc>
          <w:tcPr>
            <w:tcW w:w="2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4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6"/>
        </w:trPr>
        <w:tc>
          <w:tcPr>
            <w:tcW w:w="2360" w:type="dxa"/>
            <w:vAlign w:val="bottom"/>
          </w:tcPr>
          <w:p>
            <w:pPr>
              <w:ind w:left="38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4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CFF0FC"/>
            </w:tcBorders>
          </w:tcPr>
          <w:p>
            <w:pPr>
              <w:spacing w:after="0"/>
              <w:rPr>
                <w:sz w:val="19"/>
                <w:szCs w:val="19"/>
                <w:color w:val="auto"/>
              </w:rPr>
            </w:pPr>
          </w:p>
        </w:tc>
        <w:tc>
          <w:tcPr>
            <w:tcW w:w="47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5,107</w:t>
            </w: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FF0FC"/>
            </w:tcBorders>
          </w:tcPr>
          <w:p>
            <w:pPr>
              <w:spacing w:after="0"/>
              <w:rPr>
                <w:sz w:val="19"/>
                <w:szCs w:val="19"/>
                <w:color w:val="auto"/>
              </w:rPr>
            </w:pPr>
          </w:p>
        </w:tc>
      </w:tr>
      <w:tr>
        <w:trPr>
          <w:trHeight w:val="249"/>
        </w:trPr>
        <w:tc>
          <w:tcPr>
            <w:tcW w:w="2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FF0FC"/>
          </w:tcPr>
          <w:p>
            <w:pPr>
              <w:spacing w:after="0"/>
              <w:rPr>
                <w:sz w:val="21"/>
                <w:szCs w:val="21"/>
                <w:color w:val="auto"/>
              </w:rPr>
            </w:pPr>
          </w:p>
        </w:tc>
        <w:tc>
          <w:tcPr>
            <w:tcW w:w="4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(476 )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r>
      <w:tr>
        <w:trPr>
          <w:trHeight w:val="236"/>
        </w:trPr>
        <w:tc>
          <w:tcPr>
            <w:tcW w:w="2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CFF0FC"/>
            </w:tcBorders>
          </w:tcPr>
          <w:p>
            <w:pPr>
              <w:spacing w:after="0"/>
              <w:rPr>
                <w:sz w:val="20"/>
                <w:szCs w:val="20"/>
                <w:color w:val="auto"/>
              </w:rPr>
            </w:pPr>
          </w:p>
        </w:tc>
        <w:tc>
          <w:tcPr>
            <w:tcW w:w="4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4,631</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FF0FC"/>
            </w:tcBorders>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-504825</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December 31, 2022 and 2021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3"/>
          </w:tcPr>
          <w:p>
            <w:pPr>
              <w:ind w:left="66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ind w:left="10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2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3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0"/>
                <w:szCs w:val="20"/>
                <w:color w:val="auto"/>
              </w:rPr>
            </w:pPr>
          </w:p>
        </w:tc>
        <w:tc>
          <w:tcPr>
            <w:tcW w:w="2380" w:type="dxa"/>
            <w:vAlign w:val="bottom"/>
          </w:tcPr>
          <w:p>
            <w:pPr>
              <w:ind w:left="2040"/>
              <w:spacing w:after="0"/>
              <w:rPr>
                <w:sz w:val="20"/>
                <w:szCs w:val="20"/>
                <w:color w:val="auto"/>
              </w:rPr>
            </w:pPr>
            <w:r>
              <w:rPr>
                <w:rFonts w:ascii="Arial" w:cs="Arial" w:eastAsia="Arial" w:hAnsi="Arial"/>
                <w:sz w:val="18"/>
                <w:szCs w:val="18"/>
                <w:color w:val="auto"/>
                <w:w w:val="91"/>
              </w:rPr>
              <w:t>3.30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21"/>
                <w:szCs w:val="21"/>
                <w:color w:val="auto"/>
              </w:rPr>
            </w:pPr>
          </w:p>
        </w:tc>
        <w:tc>
          <w:tcPr>
            <w:tcW w:w="2380" w:type="dxa"/>
            <w:vAlign w:val="bottom"/>
            <w:shd w:val="clear" w:color="auto" w:fill="CFF0FC"/>
          </w:tcPr>
          <w:p>
            <w:pPr>
              <w:ind w:left="2040"/>
              <w:spacing w:after="0"/>
              <w:rPr>
                <w:sz w:val="20"/>
                <w:szCs w:val="20"/>
                <w:color w:val="auto"/>
              </w:rPr>
            </w:pPr>
            <w:r>
              <w:rPr>
                <w:rFonts w:ascii="Arial" w:cs="Arial" w:eastAsia="Arial" w:hAnsi="Arial"/>
                <w:sz w:val="18"/>
                <w:szCs w:val="18"/>
                <w:color w:val="auto"/>
                <w:w w:val="91"/>
              </w:rPr>
              <w:t>1.72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61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10.3 %</w:t>
            </w:r>
          </w:p>
        </w:tc>
        <w:tc>
          <w:tcPr>
            <w:tcW w:w="2540" w:type="dxa"/>
            <w:vAlign w:val="bottom"/>
            <w:gridSpan w:val="3"/>
          </w:tcPr>
          <w:p>
            <w:pPr>
              <w:ind w:left="2040"/>
              <w:spacing w:after="0"/>
              <w:rPr>
                <w:sz w:val="20"/>
                <w:szCs w:val="20"/>
                <w:color w:val="auto"/>
              </w:rPr>
            </w:pPr>
            <w:r>
              <w:rPr>
                <w:rFonts w:ascii="Arial" w:cs="Arial" w:eastAsia="Arial" w:hAnsi="Arial"/>
                <w:sz w:val="18"/>
                <w:szCs w:val="18"/>
                <w:color w:val="auto"/>
                <w:w w:val="85"/>
              </w:rPr>
              <w:t>10.5 %</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2540" w:type="dxa"/>
            <w:vAlign w:val="bottom"/>
            <w:gridSpan w:val="3"/>
          </w:tcPr>
          <w:p>
            <w:pPr>
              <w:ind w:left="2040"/>
              <w:spacing w:after="0"/>
              <w:rPr>
                <w:sz w:val="20"/>
                <w:szCs w:val="20"/>
                <w:color w:val="auto"/>
              </w:rPr>
            </w:pPr>
            <w:r>
              <w:rPr>
                <w:rFonts w:ascii="Arial" w:cs="Arial" w:eastAsia="Arial" w:hAnsi="Arial"/>
                <w:sz w:val="18"/>
                <w:szCs w:val="18"/>
                <w:color w:val="auto"/>
                <w:w w:val="85"/>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a standby letter of credit, expiring September 30, 2024, issued by a financial institution as required security for one operating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$260,000 and $310,000 as of December 31, 2022 and 2021, respectively.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240" w:firstLine="374"/>
        <w:spacing w:after="0" w:line="256" w:lineRule="auto"/>
        <w:rPr>
          <w:sz w:val="20"/>
          <w:szCs w:val="20"/>
          <w:color w:val="auto"/>
        </w:rPr>
      </w:pPr>
      <w:r>
        <w:rPr>
          <w:rFonts w:ascii="Arial" w:cs="Arial" w:eastAsia="Arial" w:hAnsi="Arial"/>
          <w:sz w:val="18"/>
          <w:szCs w:val="18"/>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w:t>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30" w:name="page131"/>
    <w:bookmarkEnd w:id="130"/>
    <w:p>
      <w:pPr>
        <w:spacing w:after="0" w:line="255" w:lineRule="auto"/>
        <w:rPr>
          <w:sz w:val="20"/>
          <w:szCs w:val="20"/>
          <w:color w:val="auto"/>
        </w:rPr>
      </w:pPr>
      <w:r>
        <w:rPr>
          <w:rFonts w:ascii="Arial" w:cs="Arial" w:eastAsia="Arial" w:hAnsi="Arial"/>
          <w:sz w:val="18"/>
          <w:szCs w:val="18"/>
          <w:color w:val="auto"/>
        </w:rPr>
        <w:t>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2022 and 2021,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17"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The Company maintains a defined contribution 401(k) retirement savings plan for the benefit of its employees, including its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In July 2021, the Company began making matching contributions of up to 2% of eligible compensation, as contributed by eligible participating employees. Employer matching contributions vest 25% per year over four years. The Company contributed $688,000 and $228,000, net of forfeitures, to the 401(k) plan for the year ended December 31, 2022 and 2021,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117"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On February 7, 2023, the Company entered into an underwriting agreement with BofA Securities, Inc., in which the Company agreed to issue and sell 4,000,000 shares of the Company's common stock in a Public Offering (“Public Offering”), pursuant to the Company's $200.0 million in aggregate value shelf registration statement, which was declared effective on August 12, 2022. The shares of common stock were sold at a price to the public of $12.50 per share. Under the terms of the underwriting agreement, the Company also granted the underwriters an option exercisable for 30 days from the date of the underwriting agreement to purchase up to an additional 600,000 shares of common stock on the same terms and conditions. The underwriters' option was exercised in full on February 10, 2023 and closed on February 14, 2023. The Company received net proceeds of approximately $53.7 million from the Public Offering, after deducting underwriters' discounts and commissions of $3.5 million and offering expenses of $0.3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11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As of the date of this Annual Report on Form 10-K, through the ATM offering, a total of 1,355,216 shares of the Company's common stock, for total net proceeds of $17.1 million, have been issued and sold, of which 879,341 shares of the Company's common stock, for net proceeds of $11.1 million, were sold subsequent to December 31, 2022.</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44"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As of December 31, 2022,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7"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44"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5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Because of its inherent limitations, internal control over financial reporting may not prevent or detect misstatements. Therefore, even those systems determined to be effective can provide only reasonable assurance of achieving their control objectives. With the participation of our Chief Executive and Financial Officer, our management conducted an evaluation of the effectiveness of our internal control over financial reporting as of December 31, 2022, based on the criteria set forth by the Committee of Sponsoring Organizations of the Treadway Commission (“COSO”) 2013 Framework in Internal Control – Integrated Framework. Based upon such evaluation, our management concluded that we did maintain effective internal control over financial reporting as of December 31, 2022, based on the COSO framework criteria.</w:t>
      </w:r>
    </w:p>
    <w:p>
      <w:pPr>
        <w:spacing w:after="0" w:line="111" w:lineRule="exact"/>
        <w:rPr>
          <w:sz w:val="20"/>
          <w:szCs w:val="20"/>
          <w:color w:val="auto"/>
        </w:rPr>
      </w:pPr>
    </w:p>
    <w:p>
      <w:pPr>
        <w:ind w:right="500" w:firstLine="374"/>
        <w:spacing w:after="0" w:line="286" w:lineRule="auto"/>
        <w:rPr>
          <w:sz w:val="20"/>
          <w:szCs w:val="20"/>
          <w:color w:val="auto"/>
        </w:rPr>
      </w:pPr>
      <w:r>
        <w:rPr>
          <w:rFonts w:ascii="Arial" w:cs="Arial" w:eastAsia="Arial" w:hAnsi="Arial"/>
          <w:sz w:val="17"/>
          <w:szCs w:val="17"/>
          <w:color w:val="auto"/>
        </w:rPr>
        <w:t>This Annual Report on Form 10-K does not include an attestation report of our registered public accounting firm regarding internal control over financial reporting. Management’s report was not subject to attestation by our registered public accounting firm pursuant to an exemption for non-accelerated filers from the internal control audit requirements of Section 404(b) of the Sarbanes-Oxley Act of 2002.</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Item 9B. Other Information.</w:t>
      </w:r>
    </w:p>
    <w:p>
      <w:pPr>
        <w:spacing w:after="0" w:line="161" w:lineRule="exact"/>
        <w:rPr>
          <w:sz w:val="20"/>
          <w:szCs w:val="20"/>
          <w:color w:val="auto"/>
        </w:rPr>
      </w:pPr>
    </w:p>
    <w:p>
      <w:pPr>
        <w:ind w:right="120" w:firstLine="374"/>
        <w:spacing w:after="0" w:line="290" w:lineRule="auto"/>
        <w:rPr>
          <w:sz w:val="20"/>
          <w:szCs w:val="20"/>
          <w:color w:val="auto"/>
        </w:rPr>
      </w:pPr>
      <w:r>
        <w:rPr>
          <w:rFonts w:ascii="Arial" w:cs="Arial" w:eastAsia="Arial" w:hAnsi="Arial"/>
          <w:sz w:val="16"/>
          <w:szCs w:val="16"/>
          <w:color w:val="auto"/>
        </w:rPr>
        <w:t>On March 2, 2023, our Board of Directors (the “Board”), acting upon a recommendation from our Compensation Committee, approved increases in the base salaries for each of our named executive officers for the fiscal year 2023, effective March 1, 2023. The Board approved, effective March 1, 2023,</w:t>
      </w:r>
    </w:p>
    <w:p>
      <w:pPr>
        <w:spacing w:after="0" w:line="1" w:lineRule="exact"/>
        <w:rPr>
          <w:sz w:val="20"/>
          <w:szCs w:val="20"/>
          <w:color w:val="auto"/>
        </w:rPr>
      </w:pPr>
    </w:p>
    <w:p>
      <w:pPr>
        <w:ind w:right="60" w:firstLine="8"/>
        <w:spacing w:after="0" w:line="260" w:lineRule="auto"/>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in the base salary of each of Eric Weinberg, Ilya Goldshleger and Shelley Thunen from $425,000 to $460,000 and (ii) an increase in the base salary of our Chief Executive Officer, Ron Kurtz, from $575,000 to $645,000.</w:t>
      </w:r>
    </w:p>
    <w:p>
      <w:pPr>
        <w:spacing w:after="0" w:line="76"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On March 2, 2023, our Board, acting upon a recommendation from our Compensation Committee, also approved annual target cash incentive payments (“2022 Cash Bonuses”) for each of our named executive officers. The 2022 Cash Bonuses were awarded pursuant to our Executive Incentive Compensation Plan (the “Master Bonus Plan”) which allows our Board or a committee appointed by our Board to provide awards to our “officers” as defined in Rule 16a-1(f) of the Exchange Act. Such Master Bonus Plan provides executive officers with the opportunity to earn cash bonuses based upon the achievement of pre-established performance metrics determined by the Board. The Board set the target award for each participating executive as a percentage of annual base salary, in accordance with each such executive’s confirmatory offer letter or employment letter, as applicable. Following the end of 2022, the Board reviewed our attainment of the metrics and determined actual payouts, subject to upward or downward adjustment in its discretion. Pursuant to the Master Bonus Plan, the Board approved the following 2022 Cash Bonuses for the named executive officers: (i) Ron Kurtz received a 2022 Cash Bonus of $457,566, based on a bonus target of 85% of annual base salary and 95.7% achievement of target; (ii) Eric Weinberg received a 2022 Cash Bonus of $214,042, based on a bonus target of 55% of annual base salary and 93.4% achievement of target; (iii) Ilya Goldshleger received a 2022 Cash Bonus of $219,313, based on a bonus target of 55% of annual base salary and 95.7% achievement of target; and (iv) Shelley Thunen received a 2022 Cash Bonus of $223,667, based on a bonus target of 55% of annual base salary and 97.6% achievement of target. The Board also approved of Messrs. Weinberg and Goldshleger and Ms. Thunen also receiving an increase in the annual target cash incentive payment from 55% of their base salaries to 65% of their base salaries and an increase in the annual target cash incentive payment for Dr. Kurtz from 85% of his base salary to 90% of his base salary.</w:t>
      </w:r>
    </w:p>
    <w:p>
      <w:pPr>
        <w:spacing w:after="0" w:line="59"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auto"/>
        </w:rPr>
        <w:t>Our Master Bonus Plan allows our Board or Compensation Committee to grant incentive awards, generally payable in cash, to employees selected by our Board or Compensation Committee, including our executive officers, based upon performance goals established by our Board or Compensation Committee. Under our Master Bonus Plan, our Board or Compensation Committee determines the performance goals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specific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 Our Board or Compensation Committee administers our Master Bonus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 Actual awards generally will be paid in cash (or its equivalent) only after they are earned, and, unless otherwise determined by the administrator, to earn an actual award a participant must be employed by us through the date the actual award is paid. Our Board or Compensation Committee may reserve the right to settle an actual award with a grant of an equity award under our then-current equity compensation plan, which equity award may have such terms and conditions, including vesting, as our Board or Compensation Committee determines. Payment of awards will occur as soon as practicable after they are earned, but no later than the dates set forth in our Master Bonus Plan. Our Board and our Compensation Committee have the authority to amend, suspend or terminate our Master Bonus Plan, provided such action does not impair the existing rights of any participant with respect to any earned awards.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disclosure is provided in this Part II, Item 9B in lieu of disclosure under Item 5.02(e) of Form 8-K.</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661" w:right="1440" w:bottom="1440" w:gutter="0" w:footer="0" w:header="0"/>
        </w:sectPr>
      </w:pP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340" w:firstLine="509"/>
        <w:spacing w:after="0" w:line="307" w:lineRule="auto"/>
        <w:rPr>
          <w:sz w:val="20"/>
          <w:szCs w:val="20"/>
          <w:color w:val="auto"/>
        </w:rPr>
      </w:pPr>
      <w:r>
        <w:rPr>
          <w:rFonts w:ascii="Arial" w:cs="Arial" w:eastAsia="Arial" w:hAnsi="Arial"/>
          <w:sz w:val="17"/>
          <w:szCs w:val="17"/>
          <w:color w:val="auto"/>
        </w:rPr>
        <w:t>The information called for by this item will be set forth in our Proxy Statement for the Annual Meeting of Stockholders to be filed with the SEC within 120 days of the fiscal year ended December 31, 2022 (the “Proxy Statement”) and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57" w:lineRule="exact"/>
        <w:rPr>
          <w:sz w:val="20"/>
          <w:szCs w:val="20"/>
          <w:color w:val="auto"/>
        </w:rPr>
      </w:pPr>
    </w:p>
    <w:p>
      <w:pPr>
        <w:ind w:right="340" w:firstLine="509"/>
        <w:spacing w:after="0" w:line="307" w:lineRule="auto"/>
        <w:rPr>
          <w:sz w:val="20"/>
          <w:szCs w:val="20"/>
          <w:color w:val="auto"/>
        </w:rPr>
      </w:pPr>
      <w:r>
        <w:rPr>
          <w:rFonts w:ascii="Arial" w:cs="Arial" w:eastAsia="Arial" w:hAnsi="Arial"/>
          <w:sz w:val="17"/>
          <w:szCs w:val="17"/>
          <w:color w:val="auto"/>
        </w:rPr>
        <w:t>The information called for by this item will be set forth in our Proxy Statement for the Annual Meeting of Stockholders to be filed with the SEC within 120 days of the fiscal year ended December 31, 2022 (the “Proxy Statement”) and is incorporated herein by reference.</w:t>
      </w:r>
    </w:p>
    <w:p>
      <w:pPr>
        <w:spacing w:after="0" w:line="39"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Our Board of Directors has adopted a Code of Business Conduct and Ethics applicable to all employees, officers and directors of the Company. The full text of our Code of Business Conduct and Ethics is posted on our investor relations website at https://investors.rxsight.com/corporate-governance/governance-overview. We will post any amendments to our code of business conduct and ethics or waivers of its requirements, on its website.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Bylaws</w:t>
      </w:r>
    </w:p>
    <w:p>
      <w:pPr>
        <w:spacing w:after="0" w:line="144"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As disclosed under Item 5.03 of our Current Report on Form 8-K filed with the SEC on December 9, 2022, on December 9, 2022, our Board of Directors, upon recommendation of the Corporate Governance and Nominating Committee, amended and restated our amended and restated bylaws, effective immediately. The bylaws were amended and restated, among other things, to:</w:t>
      </w:r>
    </w:p>
    <w:p>
      <w:pPr>
        <w:spacing w:after="0" w:line="75" w:lineRule="exact"/>
        <w:rPr>
          <w:sz w:val="20"/>
          <w:szCs w:val="20"/>
          <w:color w:val="auto"/>
        </w:rPr>
      </w:pPr>
    </w:p>
    <w:p>
      <w:pPr>
        <w:ind w:left="1020" w:hanging="504"/>
        <w:spacing w:after="0" w:line="259"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revise the procedures and requirements for the nomination of directors and the submission of proposals for consideration at meetings of stockholders, including by adding a requirement that a stockholder seeking to nominate director(s) at a meeting of stockholders deliver to the Company reasonable evidence that it has complied with the requirements of Rule 14a-19 of the Exchange Act no later than five business days before the meeting;</w:t>
      </w:r>
    </w:p>
    <w:p>
      <w:pPr>
        <w:spacing w:after="0" w:line="77"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revise certain additional procedures related to stockholder meetings to conform to the provisions of the Delaware General Corporation Law, as recently amended (the “DGCL”);</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revise the provision regarding Board action by unanimous written consent in lieu of a meeting to conform to the provisions of the DGCL;</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update various provisions regarding directors, Board committees and officers; and</w:t>
      </w:r>
    </w:p>
    <w:p>
      <w:pPr>
        <w:spacing w:after="0" w:line="116" w:lineRule="exact"/>
        <w:rPr>
          <w:rFonts w:ascii="Arial" w:cs="Arial" w:eastAsia="Arial" w:hAnsi="Arial"/>
          <w:sz w:val="18"/>
          <w:szCs w:val="18"/>
          <w:color w:val="auto"/>
        </w:rPr>
      </w:pPr>
    </w:p>
    <w:p>
      <w:pPr>
        <w:ind w:left="1020" w:right="740" w:hanging="504"/>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various updates throughout to conform to current Delaware law (including the recent amendments to the DGCL) and to make ministerial changes, clarifications, and other conforming revisions.</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Amended and Restated Bylaws, a copy of which was filed as Exhibit 3.1 to our Form 8-K filed on December 9, 2022 and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“Board of Directors and Corporate Governance”, and “Executive Compensation” which will be included in our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“Security Ownership of Certain Beneficial Owners and Management” which will be included in our Proxy Statement.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“Certain Relationships and Related Party Transactions” and “Board of Directors and Corporate Governance” which will be included in our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“Ratification of Independent Registered Public Accounting Firm” which will be included in our Proxy Statement.</w:t>
      </w:r>
    </w:p>
    <w:p>
      <w:pPr>
        <w:spacing w:after="0" w:line="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PART IV</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this Annual Report on Form 10-K:</w:t>
      </w:r>
    </w:p>
    <w:p>
      <w:pPr>
        <w:spacing w:after="0" w:line="224" w:lineRule="exact"/>
        <w:rPr>
          <w:rFonts w:ascii="Arial" w:cs="Arial" w:eastAsia="Arial" w:hAnsi="Arial"/>
          <w:sz w:val="18"/>
          <w:szCs w:val="18"/>
          <w:color w:val="auto"/>
        </w:rPr>
      </w:pPr>
    </w:p>
    <w:p>
      <w:pPr>
        <w:ind w:left="1020" w:right="240" w:hanging="504"/>
        <w:spacing w:after="0" w:line="277" w:lineRule="auto"/>
        <w:tabs>
          <w:tab w:leader="none" w:pos="1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Financial Statements: The financial statements included in Part II, Item 8 of this document are filed as part of this Annual Report on Form 10-K.</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Financial Statement Schedules: Schedule II – Valuation and Qualifying Accounts and Reserves.</w:t>
      </w:r>
    </w:p>
    <w:p>
      <w:pPr>
        <w:spacing w:after="0" w:line="116" w:lineRule="exact"/>
        <w:rPr>
          <w:rFonts w:ascii="Arial" w:cs="Arial" w:eastAsia="Arial" w:hAnsi="Arial"/>
          <w:sz w:val="18"/>
          <w:szCs w:val="18"/>
          <w:color w:val="auto"/>
        </w:rPr>
      </w:pPr>
    </w:p>
    <w:p>
      <w:pPr>
        <w:ind w:left="1020" w:right="28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the information either has been shown in the financial statements or notes thereto, or is not applicable or required under this section.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exhibits listed in the following Exhibit Index are filed or incorporated by reference as part of this Annual Report on Form 10-K.</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vMerge w:val="restart"/>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4"/>
              </w:rPr>
              <w:t>Exhibit Index</w:t>
            </w:r>
          </w:p>
        </w:tc>
        <w:tc>
          <w:tcPr>
            <w:tcW w:w="400" w:type="dxa"/>
            <w:vAlign w:val="bottom"/>
          </w:tcPr>
          <w:p>
            <w:pPr>
              <w:spacing w:after="0"/>
              <w:rPr>
                <w:sz w:val="20"/>
                <w:szCs w:val="20"/>
                <w:color w:val="auto"/>
              </w:rPr>
            </w:pPr>
          </w:p>
        </w:tc>
        <w:tc>
          <w:tcPr>
            <w:tcW w:w="380" w:type="dxa"/>
            <w:vAlign w:val="bottom"/>
            <w:vMerge w:val="restart"/>
          </w:tcPr>
          <w:p>
            <w:pPr>
              <w:spacing w:after="0"/>
              <w:rPr>
                <w:sz w:val="20"/>
                <w:szCs w:val="20"/>
                <w:color w:val="auto"/>
              </w:rPr>
            </w:pPr>
          </w:p>
        </w:tc>
        <w:tc>
          <w:tcPr>
            <w:tcW w:w="21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1"/>
              </w:rPr>
              <w:t>Incorporated by Reference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20" w:type="dxa"/>
            <w:vAlign w:val="bottom"/>
            <w:gridSpan w:val="15"/>
          </w:tcPr>
          <w:p>
            <w:pPr>
              <w:ind w:left="640"/>
              <w:spacing w:after="0"/>
              <w:rPr>
                <w:sz w:val="20"/>
                <w:szCs w:val="20"/>
                <w:color w:val="auto"/>
              </w:rPr>
            </w:pPr>
            <w:r>
              <w:rPr>
                <w:rFonts w:ascii="Arial" w:cs="Arial" w:eastAsia="Arial" w:hAnsi="Arial"/>
                <w:sz w:val="18"/>
                <w:szCs w:val="18"/>
                <w:b w:val="1"/>
                <w:bCs w:val="1"/>
                <w:color w:val="auto"/>
              </w:rPr>
              <w:t>Description</w:t>
            </w:r>
          </w:p>
        </w:tc>
        <w:tc>
          <w:tcPr>
            <w:tcW w:w="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Form</w:t>
            </w:r>
          </w:p>
        </w:tc>
        <w:tc>
          <w:tcPr>
            <w:tcW w:w="40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File No.</w:t>
            </w:r>
          </w:p>
        </w:tc>
        <w:tc>
          <w:tcPr>
            <w:tcW w:w="146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w:t>
            </w: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80" w:type="dxa"/>
            <w:vAlign w:val="bottom"/>
          </w:tcPr>
          <w:p>
            <w:pPr>
              <w:ind w:left="20"/>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rPr>
            </w:pPr>
            <w:hyperlink r:id="rId314">
              <w:r>
                <w:rPr>
                  <w:rFonts w:ascii="Arial" w:cs="Arial" w:eastAsia="Arial" w:hAnsi="Arial"/>
                  <w:sz w:val="18"/>
                  <w:szCs w:val="18"/>
                  <w:color w:val="0000FF"/>
                </w:rPr>
                <w:t>Amended and Restated Certificate of Incorporation of the</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10,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14">
              <w:r>
                <w:rPr>
                  <w:rFonts w:ascii="Arial" w:cs="Arial" w:eastAsia="Arial" w:hAnsi="Arial"/>
                  <w:sz w:val="18"/>
                  <w:szCs w:val="18"/>
                  <w:color w:val="0000FF"/>
                </w:rPr>
                <w:t>Registrant.</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tcPr>
          <w:p>
            <w:pPr>
              <w:ind w:left="20"/>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720" w:type="dxa"/>
            <w:vAlign w:val="bottom"/>
            <w:gridSpan w:val="17"/>
          </w:tcPr>
          <w:p>
            <w:pPr>
              <w:spacing w:after="0"/>
              <w:rPr>
                <w:rFonts w:ascii="Arial" w:cs="Arial" w:eastAsia="Arial" w:hAnsi="Arial"/>
                <w:sz w:val="18"/>
                <w:szCs w:val="18"/>
                <w:color w:val="0000FF"/>
              </w:rPr>
            </w:pPr>
            <w:hyperlink r:id="rId315">
              <w:r>
                <w:rPr>
                  <w:rFonts w:ascii="Arial" w:cs="Arial" w:eastAsia="Arial" w:hAnsi="Arial"/>
                  <w:sz w:val="18"/>
                  <w:szCs w:val="18"/>
                  <w:color w:val="0000FF"/>
                </w:rPr>
                <w:t>Amended and Restated Bylaws of the Registrant.</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8-K</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3.1</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December 12, 2022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ind w:left="20"/>
              <w:spacing w:after="0"/>
              <w:rPr>
                <w:sz w:val="20"/>
                <w:szCs w:val="20"/>
                <w:color w:val="auto"/>
              </w:rPr>
            </w:pPr>
            <w:r>
              <w:rPr>
                <w:rFonts w:ascii="Arial" w:cs="Arial" w:eastAsia="Arial" w:hAnsi="Arial"/>
                <w:sz w:val="18"/>
                <w:szCs w:val="18"/>
                <w:color w:val="auto"/>
                <w:w w:val="87"/>
              </w:rPr>
              <w:t>4.1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rPr>
            </w:pPr>
            <w:hyperlink r:id="rId316">
              <w:r>
                <w:rPr>
                  <w:rFonts w:ascii="Arial" w:cs="Arial" w:eastAsia="Arial" w:hAnsi="Arial"/>
                  <w:sz w:val="18"/>
                  <w:szCs w:val="18"/>
                  <w:color w:val="0000FF"/>
                </w:rPr>
                <w:t>Specimen stock certificate of the Registrant.</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S-1/A</w:t>
            </w:r>
          </w:p>
        </w:tc>
        <w:tc>
          <w:tcPr>
            <w:tcW w:w="14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333-257790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ind w:left="20"/>
              <w:spacing w:after="0"/>
              <w:rPr>
                <w:sz w:val="20"/>
                <w:szCs w:val="20"/>
                <w:color w:val="auto"/>
              </w:rPr>
            </w:pPr>
            <w:r>
              <w:rPr>
                <w:rFonts w:ascii="Arial" w:cs="Arial" w:eastAsia="Arial" w:hAnsi="Arial"/>
                <w:sz w:val="18"/>
                <w:szCs w:val="18"/>
                <w:color w:val="auto"/>
                <w:w w:val="87"/>
              </w:rPr>
              <w:t>4.2</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rPr>
            </w:pPr>
            <w:hyperlink r:id="rId317">
              <w:r>
                <w:rPr>
                  <w:rFonts w:ascii="Arial" w:cs="Arial" w:eastAsia="Arial" w:hAnsi="Arial"/>
                  <w:sz w:val="18"/>
                  <w:szCs w:val="18"/>
                  <w:color w:val="0000FF"/>
                </w:rPr>
                <w:t>Description of common stock.</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10-K</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March 8, 2022</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4720" w:type="dxa"/>
            <w:vAlign w:val="bottom"/>
            <w:gridSpan w:val="17"/>
          </w:tcPr>
          <w:p>
            <w:pPr>
              <w:spacing w:after="0"/>
              <w:rPr>
                <w:rFonts w:ascii="Arial" w:cs="Arial" w:eastAsia="Arial" w:hAnsi="Arial"/>
                <w:sz w:val="18"/>
                <w:szCs w:val="18"/>
                <w:color w:val="0000FF"/>
                <w:w w:val="99"/>
              </w:rPr>
            </w:pPr>
            <w:hyperlink r:id="rId318">
              <w:r>
                <w:rPr>
                  <w:rFonts w:ascii="Arial" w:cs="Arial" w:eastAsia="Arial" w:hAnsi="Arial"/>
                  <w:sz w:val="18"/>
                  <w:szCs w:val="18"/>
                  <w:color w:val="0000FF"/>
                  <w:w w:val="99"/>
                </w:rPr>
                <w:t>Form of Indemnification Agreement between the Registrant</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S-1</w:t>
            </w:r>
          </w:p>
        </w:tc>
        <w:tc>
          <w:tcPr>
            <w:tcW w:w="14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333-257790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18">
              <w:r>
                <w:rPr>
                  <w:rFonts w:ascii="Arial" w:cs="Arial" w:eastAsia="Arial" w:hAnsi="Arial"/>
                  <w:sz w:val="18"/>
                  <w:szCs w:val="18"/>
                  <w:color w:val="0000FF"/>
                </w:rPr>
                <w:t>and each of its directors and executive officers.</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rPr>
            </w:pPr>
            <w:hyperlink r:id="rId319">
              <w:r>
                <w:rPr>
                  <w:rFonts w:ascii="Arial" w:cs="Arial" w:eastAsia="Arial" w:hAnsi="Arial"/>
                  <w:sz w:val="18"/>
                  <w:szCs w:val="18"/>
                  <w:color w:val="0000FF"/>
                </w:rPr>
                <w:t>2015 Equity Incentive Plan of the registrant, as amended,</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S-1/A</w:t>
            </w:r>
          </w:p>
        </w:tc>
        <w:tc>
          <w:tcPr>
            <w:tcW w:w="14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333-257790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19">
              <w:r>
                <w:rPr>
                  <w:rFonts w:ascii="Arial" w:cs="Arial" w:eastAsia="Arial" w:hAnsi="Arial"/>
                  <w:sz w:val="18"/>
                  <w:szCs w:val="18"/>
                  <w:color w:val="0000FF"/>
                </w:rPr>
                <w:t>and forms of agreement thereunder.</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1"/>
                <w:szCs w:val="21"/>
                <w:color w:val="auto"/>
              </w:rPr>
            </w:pPr>
          </w:p>
        </w:tc>
        <w:tc>
          <w:tcPr>
            <w:tcW w:w="4720" w:type="dxa"/>
            <w:vAlign w:val="bottom"/>
            <w:gridSpan w:val="17"/>
          </w:tcPr>
          <w:p>
            <w:pPr>
              <w:spacing w:after="0"/>
              <w:rPr>
                <w:rFonts w:ascii="Arial" w:cs="Arial" w:eastAsia="Arial" w:hAnsi="Arial"/>
                <w:sz w:val="18"/>
                <w:szCs w:val="18"/>
                <w:color w:val="0000FF"/>
              </w:rPr>
            </w:pPr>
            <w:hyperlink r:id="rId320">
              <w:r>
                <w:rPr>
                  <w:rFonts w:ascii="Arial" w:cs="Arial" w:eastAsia="Arial" w:hAnsi="Arial"/>
                  <w:sz w:val="18"/>
                  <w:szCs w:val="18"/>
                  <w:color w:val="0000FF"/>
                </w:rPr>
                <w:t>2021 Equity Incentive Plan of the registrant, as amended,</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10,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20">
              <w:r>
                <w:rPr>
                  <w:rFonts w:ascii="Arial" w:cs="Arial" w:eastAsia="Arial" w:hAnsi="Arial"/>
                  <w:sz w:val="18"/>
                  <w:szCs w:val="18"/>
                  <w:color w:val="0000FF"/>
                </w:rPr>
                <w:t>and forms of agreement thereunder.</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1"/>
                <w:szCs w:val="21"/>
                <w:color w:val="auto"/>
              </w:rPr>
            </w:pPr>
          </w:p>
        </w:tc>
        <w:tc>
          <w:tcPr>
            <w:tcW w:w="4720" w:type="dxa"/>
            <w:vAlign w:val="bottom"/>
            <w:gridSpan w:val="17"/>
          </w:tcPr>
          <w:p>
            <w:pPr>
              <w:spacing w:after="0"/>
              <w:rPr>
                <w:rFonts w:ascii="Arial" w:cs="Arial" w:eastAsia="Arial" w:hAnsi="Arial"/>
                <w:sz w:val="18"/>
                <w:szCs w:val="18"/>
                <w:color w:val="0000FF"/>
              </w:rPr>
            </w:pPr>
            <w:hyperlink r:id="rId321">
              <w:r>
                <w:rPr>
                  <w:rFonts w:ascii="Arial" w:cs="Arial" w:eastAsia="Arial" w:hAnsi="Arial"/>
                  <w:sz w:val="18"/>
                  <w:szCs w:val="18"/>
                  <w:color w:val="0000FF"/>
                </w:rPr>
                <w:t>2021 Employee Stock Purchase Plan of the registrant.</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10,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w w:val="97"/>
              </w:rPr>
            </w:pPr>
            <w:hyperlink r:id="rId322">
              <w:r>
                <w:rPr>
                  <w:rFonts w:ascii="Arial" w:cs="Arial" w:eastAsia="Arial" w:hAnsi="Arial"/>
                  <w:sz w:val="18"/>
                  <w:szCs w:val="18"/>
                  <w:color w:val="0000FF"/>
                  <w:w w:val="97"/>
                </w:rPr>
                <w:t>Loan and Security Agreement, by and among the Registrant,</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S-1</w:t>
            </w:r>
          </w:p>
        </w:tc>
        <w:tc>
          <w:tcPr>
            <w:tcW w:w="14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333-257790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w w:val="99"/>
              </w:rPr>
            </w:pPr>
            <w:hyperlink r:id="rId322">
              <w:r>
                <w:rPr>
                  <w:rFonts w:ascii="Arial" w:cs="Arial" w:eastAsia="Arial" w:hAnsi="Arial"/>
                  <w:sz w:val="18"/>
                  <w:szCs w:val="18"/>
                  <w:color w:val="0000FF"/>
                  <w:w w:val="99"/>
                </w:rPr>
                <w:t>Oxford Finance LLC and the lenders listed on Schedule 1.1</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22">
              <w:r>
                <w:rPr>
                  <w:rFonts w:ascii="Arial" w:cs="Arial" w:eastAsia="Arial" w:hAnsi="Arial"/>
                  <w:sz w:val="18"/>
                  <w:szCs w:val="18"/>
                  <w:color w:val="0000FF"/>
                </w:rPr>
                <w:t>thereto, dated as of October 29, 2020.</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4720" w:type="dxa"/>
            <w:vAlign w:val="bottom"/>
            <w:gridSpan w:val="17"/>
          </w:tcPr>
          <w:p>
            <w:pPr>
              <w:spacing w:after="0"/>
              <w:rPr>
                <w:rFonts w:ascii="Arial" w:cs="Arial" w:eastAsia="Arial" w:hAnsi="Arial"/>
                <w:sz w:val="18"/>
                <w:szCs w:val="18"/>
                <w:color w:val="0000FF"/>
              </w:rPr>
            </w:pPr>
            <w:hyperlink r:id="rId323">
              <w:r>
                <w:rPr>
                  <w:rFonts w:ascii="Arial" w:cs="Arial" w:eastAsia="Arial" w:hAnsi="Arial"/>
                  <w:sz w:val="18"/>
                  <w:szCs w:val="18"/>
                  <w:color w:val="0000FF"/>
                </w:rPr>
                <w:t>Consent and First Amendment to Loan and Security</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S-1/A</w:t>
            </w:r>
          </w:p>
        </w:tc>
        <w:tc>
          <w:tcPr>
            <w:tcW w:w="14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333-257790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10.6</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23">
              <w:r>
                <w:rPr>
                  <w:rFonts w:ascii="Arial" w:cs="Arial" w:eastAsia="Arial" w:hAnsi="Arial"/>
                  <w:sz w:val="18"/>
                  <w:szCs w:val="18"/>
                  <w:color w:val="0000FF"/>
                </w:rPr>
                <w:t>Agreement, by and among the Registrant, Oxford Finance</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0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w w:val="97"/>
              </w:rPr>
            </w:pPr>
            <w:hyperlink r:id="rId323">
              <w:r>
                <w:rPr>
                  <w:rFonts w:ascii="Arial" w:cs="Arial" w:eastAsia="Arial" w:hAnsi="Arial"/>
                  <w:sz w:val="18"/>
                  <w:szCs w:val="18"/>
                  <w:color w:val="0000FF"/>
                  <w:w w:val="97"/>
                </w:rPr>
                <w:t>LLC and the lenders listed on Schedule 1.1 thereto, dated as</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0" w:type="dxa"/>
            <w:vAlign w:val="bottom"/>
            <w:gridSpan w:val="1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23">
              <w:r>
                <w:rPr>
                  <w:rFonts w:ascii="Arial" w:cs="Arial" w:eastAsia="Arial" w:hAnsi="Arial"/>
                  <w:sz w:val="18"/>
                  <w:szCs w:val="18"/>
                  <w:color w:val="0000FF"/>
                </w:rPr>
                <w:t>of July 6, 2021.</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4720" w:type="dxa"/>
            <w:vAlign w:val="bottom"/>
            <w:gridSpan w:val="17"/>
          </w:tcPr>
          <w:p>
            <w:pPr>
              <w:spacing w:after="0"/>
              <w:rPr>
                <w:rFonts w:ascii="Arial" w:cs="Arial" w:eastAsia="Arial" w:hAnsi="Arial"/>
                <w:sz w:val="18"/>
                <w:szCs w:val="18"/>
                <w:color w:val="0000FF"/>
              </w:rPr>
            </w:pPr>
            <w:hyperlink r:id="rId324">
              <w:r>
                <w:rPr>
                  <w:rFonts w:ascii="Arial" w:cs="Arial" w:eastAsia="Arial" w:hAnsi="Arial"/>
                  <w:sz w:val="18"/>
                  <w:szCs w:val="18"/>
                  <w:color w:val="0000FF"/>
                </w:rPr>
                <w:t>Second Amendment to Loan and Security Agreement, by</w:t>
              </w:r>
            </w:hyperlink>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001-40690</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May 5, 2022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gridSpan w:val="11"/>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w w:val="97"/>
              </w:rPr>
            </w:pPr>
            <w:hyperlink r:id="rId324">
              <w:r>
                <w:rPr>
                  <w:rFonts w:ascii="Arial" w:cs="Arial" w:eastAsia="Arial" w:hAnsi="Arial"/>
                  <w:sz w:val="18"/>
                  <w:szCs w:val="18"/>
                  <w:color w:val="0000FF"/>
                  <w:w w:val="97"/>
                </w:rPr>
                <w:t>and among the Registrant, Oxford Finance LLC, as collateral</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1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7"/>
          </w:tcPr>
          <w:p>
            <w:pPr>
              <w:spacing w:after="0" w:line="195" w:lineRule="exact"/>
              <w:rPr>
                <w:rFonts w:ascii="Arial" w:cs="Arial" w:eastAsia="Arial" w:hAnsi="Arial"/>
                <w:sz w:val="18"/>
                <w:szCs w:val="18"/>
                <w:color w:val="0000FF"/>
              </w:rPr>
            </w:pPr>
            <w:hyperlink r:id="rId324">
              <w:r>
                <w:rPr>
                  <w:rFonts w:ascii="Arial" w:cs="Arial" w:eastAsia="Arial" w:hAnsi="Arial"/>
                  <w:sz w:val="18"/>
                  <w:szCs w:val="18"/>
                  <w:color w:val="0000FF"/>
                </w:rPr>
                <w:t>agent, and</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940" w:type="dxa"/>
            <w:vAlign w:val="bottom"/>
            <w:gridSpan w:val="16"/>
          </w:tcPr>
          <w:p>
            <w:pPr>
              <w:jc w:val="right"/>
              <w:ind w:right="140"/>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400" w:type="dxa"/>
            <w:vAlign w:val="bottom"/>
            <w:gridSpan w:val="10"/>
          </w:tcPr>
          <w:p>
            <w:pPr>
              <w:spacing w:after="0"/>
              <w:rPr>
                <w:rFonts w:ascii="Arial" w:cs="Arial" w:eastAsia="Arial" w:hAnsi="Arial"/>
                <w:sz w:val="18"/>
                <w:szCs w:val="18"/>
                <w:color w:val="0000FF"/>
              </w:rPr>
            </w:pPr>
            <w:hyperlink r:id="rId324">
              <w:r>
                <w:rPr>
                  <w:rFonts w:ascii="Arial" w:cs="Arial" w:eastAsia="Arial" w:hAnsi="Arial"/>
                  <w:sz w:val="18"/>
                  <w:szCs w:val="18"/>
                  <w:color w:val="0000FF"/>
                </w:rPr>
                <w:t>the lenders party thereto, dated as of May 3,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4400" w:type="dxa"/>
            <w:vAlign w:val="bottom"/>
            <w:gridSpan w:val="10"/>
          </w:tcPr>
          <w:p>
            <w:pPr>
              <w:spacing w:after="0"/>
              <w:rPr>
                <w:rFonts w:ascii="Arial" w:cs="Arial" w:eastAsia="Arial" w:hAnsi="Arial"/>
                <w:sz w:val="18"/>
                <w:szCs w:val="18"/>
                <w:color w:val="0000FF"/>
                <w:w w:val="93"/>
              </w:rPr>
            </w:pPr>
            <w:hyperlink r:id="rId327">
              <w:r>
                <w:rPr>
                  <w:rFonts w:ascii="Arial" w:cs="Arial" w:eastAsia="Arial" w:hAnsi="Arial"/>
                  <w:sz w:val="18"/>
                  <w:szCs w:val="18"/>
                  <w:color w:val="0000FF"/>
                  <w:w w:val="93"/>
                </w:rPr>
                <w:t>License Agreement by and between the Registrant and the</w:t>
              </w:r>
            </w:hyperlink>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1"/>
              </w:rPr>
            </w:pPr>
            <w:hyperlink r:id="rId327">
              <w:r>
                <w:rPr>
                  <w:rFonts w:ascii="Arial" w:cs="Arial" w:eastAsia="Arial" w:hAnsi="Arial"/>
                  <w:sz w:val="18"/>
                  <w:szCs w:val="18"/>
                  <w:color w:val="0000FF"/>
                  <w:w w:val="91"/>
                </w:rPr>
                <w:t>California Institute of Technology, dated as of July 28, 2015.</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4400" w:type="dxa"/>
            <w:vAlign w:val="bottom"/>
            <w:gridSpan w:val="10"/>
          </w:tcPr>
          <w:p>
            <w:pPr>
              <w:spacing w:after="0"/>
              <w:rPr>
                <w:rFonts w:ascii="Arial" w:cs="Arial" w:eastAsia="Arial" w:hAnsi="Arial"/>
                <w:sz w:val="18"/>
                <w:szCs w:val="18"/>
                <w:color w:val="0000FF"/>
                <w:w w:val="96"/>
              </w:rPr>
            </w:pPr>
            <w:hyperlink r:id="rId328">
              <w:r>
                <w:rPr>
                  <w:rFonts w:ascii="Arial" w:cs="Arial" w:eastAsia="Arial" w:hAnsi="Arial"/>
                  <w:sz w:val="18"/>
                  <w:szCs w:val="18"/>
                  <w:color w:val="0000FF"/>
                  <w:w w:val="96"/>
                </w:rPr>
                <w:t>License and Maintenance Agreement between QAD, Inc.</w:t>
              </w:r>
            </w:hyperlink>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2"/>
              </w:rPr>
            </w:pPr>
            <w:hyperlink r:id="rId328">
              <w:r>
                <w:rPr>
                  <w:rFonts w:ascii="Arial" w:cs="Arial" w:eastAsia="Arial" w:hAnsi="Arial"/>
                  <w:sz w:val="18"/>
                  <w:szCs w:val="18"/>
                  <w:color w:val="0000FF"/>
                  <w:w w:val="92"/>
                </w:rPr>
                <w:t>and its subsidiaries and the Registrant, dated as of October</w:t>
              </w:r>
            </w:hyperlink>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line="195" w:lineRule="exact"/>
              <w:rPr>
                <w:rFonts w:ascii="Arial" w:cs="Arial" w:eastAsia="Arial" w:hAnsi="Arial"/>
                <w:sz w:val="18"/>
                <w:szCs w:val="18"/>
                <w:color w:val="0000FF"/>
                <w:w w:val="82"/>
              </w:rPr>
            </w:pPr>
            <w:hyperlink r:id="rId328">
              <w:r>
                <w:rPr>
                  <w:rFonts w:ascii="Arial" w:cs="Arial" w:eastAsia="Arial" w:hAnsi="Arial"/>
                  <w:sz w:val="18"/>
                  <w:szCs w:val="18"/>
                  <w:color w:val="0000FF"/>
                  <w:w w:val="82"/>
                </w:rPr>
                <w:t>29, 2015.</w:t>
              </w:r>
            </w:hyperlink>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4400" w:type="dxa"/>
            <w:vAlign w:val="bottom"/>
            <w:gridSpan w:val="10"/>
          </w:tcPr>
          <w:p>
            <w:pPr>
              <w:spacing w:after="0"/>
              <w:rPr>
                <w:rFonts w:ascii="Arial" w:cs="Arial" w:eastAsia="Arial" w:hAnsi="Arial"/>
                <w:sz w:val="18"/>
                <w:szCs w:val="18"/>
                <w:color w:val="0000FF"/>
                <w:w w:val="89"/>
              </w:rPr>
            </w:pPr>
            <w:hyperlink r:id="rId329">
              <w:r>
                <w:rPr>
                  <w:rFonts w:ascii="Arial" w:cs="Arial" w:eastAsia="Arial" w:hAnsi="Arial"/>
                  <w:sz w:val="18"/>
                  <w:szCs w:val="18"/>
                  <w:color w:val="0000FF"/>
                  <w:w w:val="89"/>
                </w:rPr>
                <w:t>QAD Hosted On Premise Project Proposal between Strategic</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4"/>
              </w:rPr>
            </w:pPr>
            <w:hyperlink r:id="rId329">
              <w:r>
                <w:rPr>
                  <w:rFonts w:ascii="Arial" w:cs="Arial" w:eastAsia="Arial" w:hAnsi="Arial"/>
                  <w:sz w:val="18"/>
                  <w:szCs w:val="18"/>
                  <w:color w:val="0000FF"/>
                  <w:w w:val="94"/>
                </w:rPr>
                <w:t>Information Group and the Registrant, dated as of October</w:t>
              </w:r>
            </w:hyperlink>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line="195" w:lineRule="exact"/>
              <w:rPr>
                <w:rFonts w:ascii="Arial" w:cs="Arial" w:eastAsia="Arial" w:hAnsi="Arial"/>
                <w:sz w:val="18"/>
                <w:szCs w:val="18"/>
                <w:color w:val="0000FF"/>
                <w:w w:val="82"/>
              </w:rPr>
            </w:pPr>
            <w:hyperlink r:id="rId329">
              <w:r>
                <w:rPr>
                  <w:rFonts w:ascii="Arial" w:cs="Arial" w:eastAsia="Arial" w:hAnsi="Arial"/>
                  <w:sz w:val="18"/>
                  <w:szCs w:val="18"/>
                  <w:color w:val="0000FF"/>
                  <w:w w:val="82"/>
                </w:rPr>
                <w:t>29, 2015.</w:t>
              </w:r>
            </w:hyperlink>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4400" w:type="dxa"/>
            <w:vAlign w:val="bottom"/>
            <w:gridSpan w:val="10"/>
          </w:tcPr>
          <w:p>
            <w:pPr>
              <w:spacing w:after="0"/>
              <w:rPr>
                <w:rFonts w:ascii="Arial" w:cs="Arial" w:eastAsia="Arial" w:hAnsi="Arial"/>
                <w:sz w:val="18"/>
                <w:szCs w:val="18"/>
                <w:color w:val="0000FF"/>
              </w:rPr>
            </w:pPr>
            <w:hyperlink r:id="rId330">
              <w:r>
                <w:rPr>
                  <w:rFonts w:ascii="Arial" w:cs="Arial" w:eastAsia="Arial" w:hAnsi="Arial"/>
                  <w:sz w:val="18"/>
                  <w:szCs w:val="18"/>
                  <w:color w:val="0000FF"/>
                </w:rPr>
                <w:t>Cloud Services Agreement between QAD, Inc. and its</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4"/>
              </w:rPr>
            </w:pPr>
            <w:hyperlink r:id="rId330">
              <w:r>
                <w:rPr>
                  <w:rFonts w:ascii="Arial" w:cs="Arial" w:eastAsia="Arial" w:hAnsi="Arial"/>
                  <w:sz w:val="18"/>
                  <w:szCs w:val="18"/>
                  <w:color w:val="0000FF"/>
                  <w:w w:val="94"/>
                </w:rPr>
                <w:t>subsidiaries and the Registrant, dated as of May 28,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4400" w:type="dxa"/>
            <w:vAlign w:val="bottom"/>
            <w:gridSpan w:val="10"/>
          </w:tcPr>
          <w:p>
            <w:pPr>
              <w:spacing w:after="0"/>
              <w:rPr>
                <w:rFonts w:ascii="Arial" w:cs="Arial" w:eastAsia="Arial" w:hAnsi="Arial"/>
                <w:sz w:val="18"/>
                <w:szCs w:val="18"/>
                <w:color w:val="0000FF"/>
                <w:w w:val="95"/>
              </w:rPr>
            </w:pPr>
            <w:hyperlink r:id="rId331">
              <w:r>
                <w:rPr>
                  <w:rFonts w:ascii="Arial" w:cs="Arial" w:eastAsia="Arial" w:hAnsi="Arial"/>
                  <w:sz w:val="18"/>
                  <w:szCs w:val="18"/>
                  <w:color w:val="0000FF"/>
                  <w:w w:val="95"/>
                </w:rPr>
                <w:t>Lease, dated as of October 27, 2015, by and between the</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4"/>
              </w:rPr>
            </w:pPr>
            <w:hyperlink r:id="rId331">
              <w:r>
                <w:rPr>
                  <w:rFonts w:ascii="Arial" w:cs="Arial" w:eastAsia="Arial" w:hAnsi="Arial"/>
                  <w:sz w:val="18"/>
                  <w:szCs w:val="18"/>
                  <w:color w:val="0000FF"/>
                  <w:w w:val="94"/>
                </w:rPr>
                <w:t>Registrant and Accuride International Inc., as amended by</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1"/>
              </w:rPr>
            </w:pPr>
            <w:hyperlink r:id="rId331">
              <w:r>
                <w:rPr>
                  <w:rFonts w:ascii="Arial" w:cs="Arial" w:eastAsia="Arial" w:hAnsi="Arial"/>
                  <w:sz w:val="18"/>
                  <w:szCs w:val="18"/>
                  <w:color w:val="0000FF"/>
                  <w:w w:val="91"/>
                </w:rPr>
                <w:t>that certain First Amendment to Lease, dated November 23,</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rPr>
            </w:pPr>
            <w:hyperlink r:id="rId331">
              <w:r>
                <w:rPr>
                  <w:rFonts w:ascii="Arial" w:cs="Arial" w:eastAsia="Arial" w:hAnsi="Arial"/>
                  <w:sz w:val="18"/>
                  <w:szCs w:val="18"/>
                  <w:color w:val="0000FF"/>
                </w:rPr>
                <w:t>2015, that certain Second Amendment to Lease, dated</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December 22, 2015, that certain Third Amendment to Lease,</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dated January 18, 2016, and that certain Fourth Amendment</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w w:val="91"/>
              </w:rPr>
            </w:pPr>
            <w:hyperlink r:id="rId331">
              <w:r>
                <w:rPr>
                  <w:rFonts w:ascii="Arial" w:cs="Arial" w:eastAsia="Arial" w:hAnsi="Arial"/>
                  <w:sz w:val="18"/>
                  <w:szCs w:val="18"/>
                  <w:color w:val="0000FF"/>
                  <w:w w:val="91"/>
                </w:rPr>
                <w:t>to Lease, dated November 12, 2016, for premises located at</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rPr>
            </w:pPr>
            <w:hyperlink r:id="rId331">
              <w:r>
                <w:rPr>
                  <w:rFonts w:ascii="Arial" w:cs="Arial" w:eastAsia="Arial" w:hAnsi="Arial"/>
                  <w:sz w:val="18"/>
                  <w:szCs w:val="18"/>
                  <w:color w:val="0000FF"/>
                </w:rPr>
                <w:t>100-150 Columbia, Suites 100 and 200, Aliso Viejo,</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0"/>
          </w:tcPr>
          <w:p>
            <w:pPr>
              <w:spacing w:after="0" w:line="195" w:lineRule="exact"/>
              <w:rPr>
                <w:rFonts w:ascii="Arial" w:cs="Arial" w:eastAsia="Arial" w:hAnsi="Arial"/>
                <w:sz w:val="18"/>
                <w:szCs w:val="18"/>
                <w:color w:val="0000FF"/>
              </w:rPr>
            </w:pPr>
            <w:hyperlink r:id="rId331">
              <w:r>
                <w:rPr>
                  <w:rFonts w:ascii="Arial" w:cs="Arial" w:eastAsia="Arial" w:hAnsi="Arial"/>
                  <w:sz w:val="18"/>
                  <w:szCs w:val="18"/>
                  <w:color w:val="0000FF"/>
                </w:rPr>
                <w:t>California 92656.</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5"/>
              </w:rPr>
              <w:t>10.6</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647"/>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5"/>
              </w:rPr>
              <w:t>10.8</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661"/>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5"/>
              </w:rPr>
              <w:t>10.9</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661"/>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3"/>
              </w:rPr>
              <w:t>10.10</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661"/>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4"/>
              </w:rPr>
              <w:t>10.11</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bl>
    <w:p>
      <w:pPr>
        <w:spacing w:after="0" w:line="1898" w:lineRule="exact"/>
        <w:rPr>
          <w:sz w:val="20"/>
          <w:szCs w:val="20"/>
          <w:color w:val="auto"/>
        </w:rPr>
      </w:pPr>
    </w:p>
    <w:p>
      <w:pPr>
        <w:sectPr>
          <w:pgSz w:w="11900" w:h="16838" w:orient="portrait"/>
          <w:cols w:equalWidth="0" w:num="2">
            <w:col w:w="5580" w:space="400"/>
            <w:col w:w="5260"/>
          </w:cols>
          <w:pgMar w:left="320" w:top="324" w:right="3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10.13</w:t>
            </w:r>
          </w:p>
        </w:tc>
        <w:tc>
          <w:tcPr>
            <w:tcW w:w="4660" w:type="dxa"/>
            <w:vAlign w:val="bottom"/>
            <w:gridSpan w:val="12"/>
          </w:tcPr>
          <w:p>
            <w:pPr>
              <w:spacing w:after="0"/>
              <w:rPr>
                <w:rFonts w:ascii="Arial" w:cs="Arial" w:eastAsia="Arial" w:hAnsi="Arial"/>
                <w:sz w:val="18"/>
                <w:szCs w:val="18"/>
                <w:color w:val="0000FF"/>
                <w:w w:val="98"/>
              </w:rPr>
            </w:pPr>
            <w:hyperlink r:id="rId332">
              <w:r>
                <w:rPr>
                  <w:rFonts w:ascii="Arial" w:cs="Arial" w:eastAsia="Arial" w:hAnsi="Arial"/>
                  <w:sz w:val="18"/>
                  <w:szCs w:val="18"/>
                  <w:color w:val="0000FF"/>
                  <w:w w:val="98"/>
                </w:rPr>
                <w:t>Lease, dated as of March 27, 2020, by and between Pacific</w:t>
              </w:r>
            </w:hyperlink>
          </w:p>
        </w:tc>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333-257790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3"/>
              </w:rPr>
              <w:t>10.12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2">
              <w:r>
                <w:rPr>
                  <w:rFonts w:ascii="Arial" w:cs="Arial" w:eastAsia="Arial" w:hAnsi="Arial"/>
                  <w:sz w:val="18"/>
                  <w:szCs w:val="18"/>
                  <w:color w:val="0000FF"/>
                </w:rPr>
                <w:t>Park Investments, Inc. and the Registrant, for premises</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2">
              <w:r>
                <w:rPr>
                  <w:rFonts w:ascii="Arial" w:cs="Arial" w:eastAsia="Arial" w:hAnsi="Arial"/>
                  <w:sz w:val="18"/>
                  <w:szCs w:val="18"/>
                  <w:color w:val="0000FF"/>
                </w:rPr>
                <w:t>located at 75 Columbia, Aliso Viejo, California 92656.</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38"/>
        </w:trPr>
        <w:tc>
          <w:tcPr>
            <w:tcW w:w="1180" w:type="dxa"/>
            <w:vAlign w:val="bottom"/>
          </w:tcPr>
          <w:p>
            <w:pPr>
              <w:ind w:left="20"/>
              <w:spacing w:after="0"/>
              <w:rPr>
                <w:sz w:val="20"/>
                <w:szCs w:val="20"/>
                <w:color w:val="auto"/>
              </w:rPr>
            </w:pPr>
            <w:r>
              <w:rPr>
                <w:rFonts w:ascii="Arial" w:cs="Arial" w:eastAsia="Arial" w:hAnsi="Arial"/>
                <w:sz w:val="18"/>
                <w:szCs w:val="18"/>
                <w:color w:val="auto"/>
              </w:rPr>
              <w:t>10.14</w:t>
            </w:r>
          </w:p>
        </w:tc>
        <w:tc>
          <w:tcPr>
            <w:tcW w:w="4660" w:type="dxa"/>
            <w:vAlign w:val="bottom"/>
            <w:gridSpan w:val="12"/>
          </w:tcPr>
          <w:p>
            <w:pPr>
              <w:spacing w:after="0"/>
              <w:rPr>
                <w:rFonts w:ascii="Arial" w:cs="Arial" w:eastAsia="Arial" w:hAnsi="Arial"/>
                <w:sz w:val="18"/>
                <w:szCs w:val="18"/>
                <w:color w:val="0000FF"/>
              </w:rPr>
            </w:pPr>
            <w:hyperlink r:id="rId333">
              <w:r>
                <w:rPr>
                  <w:rFonts w:ascii="Arial" w:cs="Arial" w:eastAsia="Arial" w:hAnsi="Arial"/>
                  <w:sz w:val="18"/>
                  <w:szCs w:val="18"/>
                  <w:color w:val="0000FF"/>
                </w:rPr>
                <w:t>Lease, dated as of January 10, 2018, by and between the</w:t>
              </w:r>
            </w:hyperlink>
          </w:p>
        </w:tc>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333-257790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3"/>
              </w:rPr>
              <w:t>10.13</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3">
              <w:r>
                <w:rPr>
                  <w:rFonts w:ascii="Arial" w:cs="Arial" w:eastAsia="Arial" w:hAnsi="Arial"/>
                  <w:sz w:val="18"/>
                  <w:szCs w:val="18"/>
                  <w:color w:val="0000FF"/>
                </w:rPr>
                <w:t>Registrant and Clifford D. Downs, as amended by that</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3">
              <w:r>
                <w:rPr>
                  <w:rFonts w:ascii="Arial" w:cs="Arial" w:eastAsia="Arial" w:hAnsi="Arial"/>
                  <w:sz w:val="18"/>
                  <w:szCs w:val="18"/>
                  <w:color w:val="0000FF"/>
                </w:rPr>
                <w:t>certain Commencement Date Memorandum dated as of</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w w:val="95"/>
              </w:rPr>
            </w:pPr>
            <w:hyperlink r:id="rId333">
              <w:r>
                <w:rPr>
                  <w:rFonts w:ascii="Arial" w:cs="Arial" w:eastAsia="Arial" w:hAnsi="Arial"/>
                  <w:sz w:val="18"/>
                  <w:szCs w:val="18"/>
                  <w:color w:val="0000FF"/>
                  <w:w w:val="95"/>
                </w:rPr>
                <w:t>February 22, 2018, for premises located at 5 Columbia, Aliso</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3">
              <w:r>
                <w:rPr>
                  <w:rFonts w:ascii="Arial" w:cs="Arial" w:eastAsia="Arial" w:hAnsi="Arial"/>
                  <w:sz w:val="18"/>
                  <w:szCs w:val="18"/>
                  <w:color w:val="0000FF"/>
                </w:rPr>
                <w:t>Viejo, California 92656.</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1"/>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4660" w:type="dxa"/>
            <w:vAlign w:val="bottom"/>
            <w:gridSpan w:val="12"/>
          </w:tcPr>
          <w:p>
            <w:pPr>
              <w:spacing w:after="0"/>
              <w:rPr>
                <w:rFonts w:ascii="Arial" w:cs="Arial" w:eastAsia="Arial" w:hAnsi="Arial"/>
                <w:sz w:val="18"/>
                <w:szCs w:val="18"/>
                <w:color w:val="0000FF"/>
              </w:rPr>
            </w:pPr>
            <w:hyperlink r:id="rId334">
              <w:r>
                <w:rPr>
                  <w:rFonts w:ascii="Arial" w:cs="Arial" w:eastAsia="Arial" w:hAnsi="Arial"/>
                  <w:sz w:val="18"/>
                  <w:szCs w:val="18"/>
                  <w:color w:val="0000FF"/>
                </w:rPr>
                <w:t>Sublease, dated as of April 4, 2022, by and between the</w:t>
              </w:r>
            </w:hyperlink>
          </w:p>
        </w:tc>
        <w:tc>
          <w:tcPr>
            <w:tcW w:w="74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001-40690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May 5, 2022</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w w:val="98"/>
              </w:rPr>
            </w:pPr>
            <w:hyperlink r:id="rId334">
              <w:r>
                <w:rPr>
                  <w:rFonts w:ascii="Arial" w:cs="Arial" w:eastAsia="Arial" w:hAnsi="Arial"/>
                  <w:sz w:val="18"/>
                  <w:szCs w:val="18"/>
                  <w:color w:val="0000FF"/>
                  <w:w w:val="98"/>
                </w:rPr>
                <w:t>Registrant and Compass Bible Church for premises located</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4">
              <w:r>
                <w:rPr>
                  <w:rFonts w:ascii="Arial" w:cs="Arial" w:eastAsia="Arial" w:hAnsi="Arial"/>
                  <w:sz w:val="18"/>
                  <w:szCs w:val="18"/>
                  <w:color w:val="0000FF"/>
                </w:rPr>
                <w:t>at 5 Columbia, Aliso Viejo, California 92656.</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10.16</w:t>
            </w:r>
          </w:p>
        </w:tc>
        <w:tc>
          <w:tcPr>
            <w:tcW w:w="4660" w:type="dxa"/>
            <w:vAlign w:val="bottom"/>
            <w:gridSpan w:val="12"/>
          </w:tcPr>
          <w:p>
            <w:pPr>
              <w:spacing w:after="0"/>
              <w:rPr>
                <w:rFonts w:ascii="Arial" w:cs="Arial" w:eastAsia="Arial" w:hAnsi="Arial"/>
                <w:sz w:val="18"/>
                <w:szCs w:val="18"/>
                <w:color w:val="0000FF"/>
                <w:w w:val="95"/>
              </w:rPr>
            </w:pPr>
            <w:hyperlink r:id="rId335">
              <w:r>
                <w:rPr>
                  <w:rFonts w:ascii="Arial" w:cs="Arial" w:eastAsia="Arial" w:hAnsi="Arial"/>
                  <w:sz w:val="18"/>
                  <w:szCs w:val="18"/>
                  <w:color w:val="0000FF"/>
                  <w:w w:val="95"/>
                </w:rPr>
                <w:t>Lease Addendum, dated as of April 5, 2022, by and between</w:t>
              </w:r>
            </w:hyperlink>
          </w:p>
        </w:tc>
        <w:tc>
          <w:tcPr>
            <w:tcW w:w="74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001-40690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May 5, 2022</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w w:val="96"/>
              </w:rPr>
            </w:pPr>
            <w:hyperlink r:id="rId335">
              <w:r>
                <w:rPr>
                  <w:rFonts w:ascii="Arial" w:cs="Arial" w:eastAsia="Arial" w:hAnsi="Arial"/>
                  <w:sz w:val="18"/>
                  <w:szCs w:val="18"/>
                  <w:color w:val="0000FF"/>
                  <w:w w:val="96"/>
                </w:rPr>
                <w:t>the Registrant and Clifford D. Downs for premises located at</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5">
              <w:r>
                <w:rPr>
                  <w:rFonts w:ascii="Arial" w:cs="Arial" w:eastAsia="Arial" w:hAnsi="Arial"/>
                  <w:sz w:val="18"/>
                  <w:szCs w:val="18"/>
                  <w:color w:val="0000FF"/>
                </w:rPr>
                <w:t>5 Columbia, Aliso Viejo, California 92656.</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10.17</w:t>
            </w:r>
          </w:p>
        </w:tc>
        <w:tc>
          <w:tcPr>
            <w:tcW w:w="4660" w:type="dxa"/>
            <w:vAlign w:val="bottom"/>
            <w:gridSpan w:val="12"/>
          </w:tcPr>
          <w:p>
            <w:pPr>
              <w:spacing w:after="0"/>
              <w:rPr>
                <w:rFonts w:ascii="Arial" w:cs="Arial" w:eastAsia="Arial" w:hAnsi="Arial"/>
                <w:sz w:val="18"/>
                <w:szCs w:val="18"/>
                <w:color w:val="0000FF"/>
                <w:w w:val="93"/>
              </w:rPr>
            </w:pPr>
            <w:hyperlink r:id="rId336">
              <w:r>
                <w:rPr>
                  <w:rFonts w:ascii="Arial" w:cs="Arial" w:eastAsia="Arial" w:hAnsi="Arial"/>
                  <w:sz w:val="18"/>
                  <w:szCs w:val="18"/>
                  <w:color w:val="0000FF"/>
                  <w:w w:val="93"/>
                </w:rPr>
                <w:t>Amendment #1 to Sublease, dated as of June 8, 2022, by and</w:t>
              </w:r>
            </w:hyperlink>
          </w:p>
        </w:tc>
        <w:tc>
          <w:tcPr>
            <w:tcW w:w="74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001-40690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6">
              <w:r>
                <w:rPr>
                  <w:rFonts w:ascii="Arial" w:cs="Arial" w:eastAsia="Arial" w:hAnsi="Arial"/>
                  <w:sz w:val="18"/>
                  <w:szCs w:val="18"/>
                  <w:color w:val="0000FF"/>
                </w:rPr>
                <w:t>between the Registrant and Compass Bible Church for</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rFonts w:ascii="Arial" w:cs="Arial" w:eastAsia="Arial" w:hAnsi="Arial"/>
                <w:sz w:val="18"/>
                <w:szCs w:val="18"/>
                <w:color w:val="0000FF"/>
              </w:rPr>
            </w:pPr>
            <w:hyperlink r:id="rId336">
              <w:r>
                <w:rPr>
                  <w:rFonts w:ascii="Arial" w:cs="Arial" w:eastAsia="Arial" w:hAnsi="Arial"/>
                  <w:sz w:val="18"/>
                  <w:szCs w:val="18"/>
                  <w:color w:val="0000FF"/>
                </w:rPr>
                <w:t>premises located at 5 Columbia, Aliso Viejo, California</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80" w:type="dxa"/>
            <w:vAlign w:val="bottom"/>
          </w:tcPr>
          <w:p>
            <w:pPr>
              <w:spacing w:after="0" w:line="195" w:lineRule="exact"/>
              <w:rPr>
                <w:rFonts w:ascii="Arial" w:cs="Arial" w:eastAsia="Arial" w:hAnsi="Arial"/>
                <w:sz w:val="18"/>
                <w:szCs w:val="18"/>
                <w:color w:val="0000FF"/>
                <w:w w:val="79"/>
              </w:rPr>
            </w:pPr>
            <w:hyperlink r:id="rId336">
              <w:r>
                <w:rPr>
                  <w:rFonts w:ascii="Arial" w:cs="Arial" w:eastAsia="Arial" w:hAnsi="Arial"/>
                  <w:sz w:val="18"/>
                  <w:szCs w:val="18"/>
                  <w:color w:val="0000FF"/>
                  <w:w w:val="79"/>
                </w:rPr>
                <w:t>92656.</w:t>
              </w:r>
            </w:hyperlink>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4660" w:type="dxa"/>
            <w:vAlign w:val="bottom"/>
            <w:gridSpan w:val="12"/>
          </w:tcPr>
          <w:p>
            <w:pPr>
              <w:spacing w:after="0"/>
              <w:rPr>
                <w:sz w:val="20"/>
                <w:szCs w:val="20"/>
                <w:color w:val="auto"/>
              </w:rPr>
            </w:pPr>
            <w:r>
              <w:rPr>
                <w:rFonts w:ascii="Arial" w:cs="Arial" w:eastAsia="Arial" w:hAnsi="Arial"/>
                <w:sz w:val="18"/>
                <w:szCs w:val="18"/>
                <w:color w:val="0000FF"/>
                <w:w w:val="93"/>
              </w:rPr>
              <w:t>Amendment #2 to Sublease, dated as of January 16, 2023, by</w:t>
            </w: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0" w:type="dxa"/>
            <w:vAlign w:val="bottom"/>
            <w:gridSpan w:val="8"/>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60" w:type="dxa"/>
            <w:vAlign w:val="bottom"/>
            <w:gridSpan w:val="12"/>
          </w:tcPr>
          <w:p>
            <w:pPr>
              <w:spacing w:after="0" w:line="195" w:lineRule="exact"/>
              <w:rPr>
                <w:sz w:val="20"/>
                <w:szCs w:val="20"/>
                <w:color w:val="auto"/>
              </w:rPr>
            </w:pPr>
            <w:r>
              <w:rPr>
                <w:rFonts w:ascii="Arial" w:cs="Arial" w:eastAsia="Arial" w:hAnsi="Arial"/>
                <w:sz w:val="18"/>
                <w:szCs w:val="18"/>
                <w:color w:val="0000FF"/>
              </w:rPr>
              <w:t>and between the</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58"/>
        </w:trPr>
        <w:tc>
          <w:tcPr>
            <w:tcW w:w="1180" w:type="dxa"/>
            <w:vAlign w:val="bottom"/>
          </w:tcPr>
          <w:p>
            <w:pPr>
              <w:spacing w:after="0"/>
              <w:rPr>
                <w:sz w:val="24"/>
                <w:szCs w:val="24"/>
                <w:color w:val="auto"/>
              </w:rPr>
            </w:pPr>
          </w:p>
        </w:tc>
        <w:tc>
          <w:tcPr>
            <w:tcW w:w="1140" w:type="dxa"/>
            <w:vAlign w:val="bottom"/>
            <w:tcBorders>
              <w:top w:val="single" w:sz="8" w:color="0000FF"/>
            </w:tcBorders>
            <w:gridSpan w:val="2"/>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80" w:type="dxa"/>
            <w:vAlign w:val="bottom"/>
            <w:gridSpan w:val="9"/>
          </w:tcPr>
          <w:p>
            <w:pPr>
              <w:jc w:val="right"/>
              <w:ind w:right="80"/>
              <w:spacing w:after="0"/>
              <w:rPr>
                <w:sz w:val="20"/>
                <w:szCs w:val="20"/>
                <w:color w:val="auto"/>
              </w:rPr>
            </w:pPr>
            <w:r>
              <w:rPr>
                <w:rFonts w:ascii="Arial" w:cs="Arial" w:eastAsia="Arial" w:hAnsi="Arial"/>
                <w:sz w:val="18"/>
                <w:szCs w:val="18"/>
                <w:color w:val="auto"/>
              </w:rPr>
              <w:t>133</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640" w:type="dxa"/>
            <w:vAlign w:val="bottom"/>
            <w:gridSpan w:val="16"/>
          </w:tcPr>
          <w:p>
            <w:pPr>
              <w:spacing w:after="0"/>
              <w:rPr>
                <w:sz w:val="20"/>
                <w:szCs w:val="20"/>
                <w:color w:val="auto"/>
              </w:rPr>
            </w:pPr>
            <w:r>
              <w:rPr>
                <w:rFonts w:ascii="Arial" w:cs="Arial" w:eastAsia="Arial" w:hAnsi="Arial"/>
                <w:sz w:val="18"/>
                <w:szCs w:val="18"/>
                <w:color w:val="auto"/>
                <w:w w:val="97"/>
              </w:rPr>
              <w:t>Registrant and Compass Bible Church for premises located</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1180" w:type="dxa"/>
            <w:vAlign w:val="bottom"/>
          </w:tcPr>
          <w:p>
            <w:pPr>
              <w:spacing w:after="0"/>
              <w:rPr>
                <w:sz w:val="19"/>
                <w:szCs w:val="19"/>
                <w:color w:val="auto"/>
              </w:rPr>
            </w:pPr>
          </w:p>
        </w:tc>
        <w:tc>
          <w:tcPr>
            <w:tcW w:w="4640" w:type="dxa"/>
            <w:vAlign w:val="bottom"/>
            <w:gridSpan w:val="16"/>
          </w:tcPr>
          <w:p>
            <w:pPr>
              <w:spacing w:after="0"/>
              <w:rPr>
                <w:sz w:val="20"/>
                <w:szCs w:val="20"/>
                <w:color w:val="auto"/>
              </w:rPr>
            </w:pPr>
            <w:r>
              <w:rPr>
                <w:rFonts w:ascii="Arial" w:cs="Arial" w:eastAsia="Arial" w:hAnsi="Arial"/>
                <w:sz w:val="18"/>
                <w:szCs w:val="18"/>
                <w:color w:val="auto"/>
              </w:rPr>
              <w:t>at 5 Columbia, Aliso Viejo, California 92656.</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190"/>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10.19+</w:t>
            </w:r>
          </w:p>
        </w:tc>
        <w:tc>
          <w:tcPr>
            <w:tcW w:w="4640" w:type="dxa"/>
            <w:vAlign w:val="bottom"/>
            <w:gridSpan w:val="16"/>
          </w:tcPr>
          <w:p>
            <w:pPr>
              <w:spacing w:after="0" w:line="189" w:lineRule="exact"/>
              <w:rPr>
                <w:rFonts w:ascii="Arial" w:cs="Arial" w:eastAsia="Arial" w:hAnsi="Arial"/>
                <w:sz w:val="18"/>
                <w:szCs w:val="18"/>
                <w:color w:val="0000FF"/>
              </w:rPr>
            </w:pPr>
            <w:hyperlink r:id="rId339">
              <w:r>
                <w:rPr>
                  <w:rFonts w:ascii="Arial" w:cs="Arial" w:eastAsia="Arial" w:hAnsi="Arial"/>
                  <w:sz w:val="18"/>
                  <w:szCs w:val="18"/>
                  <w:color w:val="0000FF"/>
                </w:rPr>
                <w:t>Confirmatory Employment Letter, by and between the</w:t>
              </w:r>
            </w:hyperlink>
          </w:p>
        </w:tc>
        <w:tc>
          <w:tcPr>
            <w:tcW w:w="78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10.14</w:t>
            </w: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39">
              <w:r>
                <w:rPr>
                  <w:rFonts w:ascii="Arial" w:cs="Arial" w:eastAsia="Arial" w:hAnsi="Arial"/>
                  <w:sz w:val="18"/>
                  <w:szCs w:val="18"/>
                  <w:color w:val="0000FF"/>
                </w:rPr>
                <w:t>Registrant and Ron Kurtz, dated as of July 8,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92"/>
        </w:trPr>
        <w:tc>
          <w:tcPr>
            <w:tcW w:w="1180" w:type="dxa"/>
            <w:vAlign w:val="bottom"/>
          </w:tcPr>
          <w:p>
            <w:pPr>
              <w:ind w:left="20"/>
              <w:spacing w:after="0"/>
              <w:rPr>
                <w:sz w:val="20"/>
                <w:szCs w:val="20"/>
                <w:color w:val="auto"/>
              </w:rPr>
            </w:pPr>
            <w:r>
              <w:rPr>
                <w:rFonts w:ascii="Arial" w:cs="Arial" w:eastAsia="Arial" w:hAnsi="Arial"/>
                <w:sz w:val="18"/>
                <w:szCs w:val="18"/>
                <w:color w:val="auto"/>
              </w:rPr>
              <w:t>10.20+</w:t>
            </w:r>
          </w:p>
        </w:tc>
        <w:tc>
          <w:tcPr>
            <w:tcW w:w="4640" w:type="dxa"/>
            <w:vAlign w:val="bottom"/>
            <w:gridSpan w:val="16"/>
          </w:tcPr>
          <w:p>
            <w:pPr>
              <w:spacing w:after="0"/>
              <w:rPr>
                <w:rFonts w:ascii="Arial" w:cs="Arial" w:eastAsia="Arial" w:hAnsi="Arial"/>
                <w:sz w:val="18"/>
                <w:szCs w:val="18"/>
                <w:color w:val="0000FF"/>
              </w:rPr>
            </w:pPr>
            <w:hyperlink r:id="rId340">
              <w:r>
                <w:rPr>
                  <w:rFonts w:ascii="Arial" w:cs="Arial" w:eastAsia="Arial" w:hAnsi="Arial"/>
                  <w:sz w:val="18"/>
                  <w:szCs w:val="18"/>
                  <w:color w:val="0000FF"/>
                </w:rPr>
                <w:t>Confirmatory Employment Letter, by and between the</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10.15</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July 9, 20211</w:t>
            </w: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0">
              <w:r>
                <w:rPr>
                  <w:rFonts w:ascii="Arial" w:cs="Arial" w:eastAsia="Arial" w:hAnsi="Arial"/>
                  <w:sz w:val="18"/>
                  <w:szCs w:val="18"/>
                  <w:color w:val="0000FF"/>
                </w:rPr>
                <w:t>Registrant and Shelley Thunen, dated as of July 8,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92"/>
        </w:trPr>
        <w:tc>
          <w:tcPr>
            <w:tcW w:w="1180" w:type="dxa"/>
            <w:vAlign w:val="bottom"/>
          </w:tcPr>
          <w:p>
            <w:pPr>
              <w:ind w:left="20"/>
              <w:spacing w:after="0"/>
              <w:rPr>
                <w:sz w:val="20"/>
                <w:szCs w:val="20"/>
                <w:color w:val="auto"/>
              </w:rPr>
            </w:pPr>
            <w:r>
              <w:rPr>
                <w:rFonts w:ascii="Arial" w:cs="Arial" w:eastAsia="Arial" w:hAnsi="Arial"/>
                <w:sz w:val="18"/>
                <w:szCs w:val="18"/>
                <w:color w:val="auto"/>
              </w:rPr>
              <w:t>10.21+</w:t>
            </w:r>
          </w:p>
        </w:tc>
        <w:tc>
          <w:tcPr>
            <w:tcW w:w="4640" w:type="dxa"/>
            <w:vAlign w:val="bottom"/>
            <w:gridSpan w:val="16"/>
          </w:tcPr>
          <w:p>
            <w:pPr>
              <w:spacing w:after="0"/>
              <w:rPr>
                <w:rFonts w:ascii="Arial" w:cs="Arial" w:eastAsia="Arial" w:hAnsi="Arial"/>
                <w:sz w:val="18"/>
                <w:szCs w:val="18"/>
                <w:color w:val="0000FF"/>
              </w:rPr>
            </w:pPr>
            <w:hyperlink r:id="rId341">
              <w:r>
                <w:rPr>
                  <w:rFonts w:ascii="Arial" w:cs="Arial" w:eastAsia="Arial" w:hAnsi="Arial"/>
                  <w:sz w:val="18"/>
                  <w:szCs w:val="18"/>
                  <w:color w:val="0000FF"/>
                </w:rPr>
                <w:t>Confirmatory Employment Letter, by and between the</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10.16</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1">
              <w:r>
                <w:rPr>
                  <w:rFonts w:ascii="Arial" w:cs="Arial" w:eastAsia="Arial" w:hAnsi="Arial"/>
                  <w:sz w:val="18"/>
                  <w:szCs w:val="18"/>
                  <w:color w:val="0000FF"/>
                </w:rPr>
                <w:t>Registrant and Eric Weinberg, dated as of July 8,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92"/>
        </w:trPr>
        <w:tc>
          <w:tcPr>
            <w:tcW w:w="1180" w:type="dxa"/>
            <w:vAlign w:val="bottom"/>
          </w:tcPr>
          <w:p>
            <w:pPr>
              <w:ind w:left="20"/>
              <w:spacing w:after="0"/>
              <w:rPr>
                <w:sz w:val="20"/>
                <w:szCs w:val="20"/>
                <w:color w:val="auto"/>
              </w:rPr>
            </w:pPr>
            <w:r>
              <w:rPr>
                <w:rFonts w:ascii="Arial" w:cs="Arial" w:eastAsia="Arial" w:hAnsi="Arial"/>
                <w:sz w:val="18"/>
                <w:szCs w:val="18"/>
                <w:color w:val="auto"/>
              </w:rPr>
              <w:t>10.22+</w:t>
            </w:r>
          </w:p>
        </w:tc>
        <w:tc>
          <w:tcPr>
            <w:tcW w:w="4640" w:type="dxa"/>
            <w:vAlign w:val="bottom"/>
            <w:gridSpan w:val="16"/>
          </w:tcPr>
          <w:p>
            <w:pPr>
              <w:spacing w:after="0"/>
              <w:rPr>
                <w:rFonts w:ascii="Arial" w:cs="Arial" w:eastAsia="Arial" w:hAnsi="Arial"/>
                <w:sz w:val="18"/>
                <w:szCs w:val="18"/>
                <w:color w:val="0000FF"/>
              </w:rPr>
            </w:pPr>
            <w:hyperlink r:id="rId342">
              <w:r>
                <w:rPr>
                  <w:rFonts w:ascii="Arial" w:cs="Arial" w:eastAsia="Arial" w:hAnsi="Arial"/>
                  <w:sz w:val="18"/>
                  <w:szCs w:val="18"/>
                  <w:color w:val="0000FF"/>
                </w:rPr>
                <w:t>Confirmatory Employment Letter, by and between the</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10.17</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2">
              <w:r>
                <w:rPr>
                  <w:rFonts w:ascii="Arial" w:cs="Arial" w:eastAsia="Arial" w:hAnsi="Arial"/>
                  <w:sz w:val="18"/>
                  <w:szCs w:val="18"/>
                  <w:color w:val="0000FF"/>
                </w:rPr>
                <w:t>Registrant and Ilya Goldshleger, dated as of July 8,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92"/>
        </w:trPr>
        <w:tc>
          <w:tcPr>
            <w:tcW w:w="1180" w:type="dxa"/>
            <w:vAlign w:val="bottom"/>
          </w:tcPr>
          <w:p>
            <w:pPr>
              <w:ind w:left="20"/>
              <w:spacing w:after="0"/>
              <w:rPr>
                <w:sz w:val="20"/>
                <w:szCs w:val="20"/>
                <w:color w:val="auto"/>
              </w:rPr>
            </w:pPr>
            <w:r>
              <w:rPr>
                <w:rFonts w:ascii="Arial" w:cs="Arial" w:eastAsia="Arial" w:hAnsi="Arial"/>
                <w:sz w:val="18"/>
                <w:szCs w:val="18"/>
                <w:color w:val="auto"/>
              </w:rPr>
              <w:t>10.23+</w:t>
            </w:r>
          </w:p>
        </w:tc>
        <w:tc>
          <w:tcPr>
            <w:tcW w:w="4640" w:type="dxa"/>
            <w:vAlign w:val="bottom"/>
            <w:gridSpan w:val="16"/>
          </w:tcPr>
          <w:p>
            <w:pPr>
              <w:spacing w:after="0"/>
              <w:rPr>
                <w:rFonts w:ascii="Arial" w:cs="Arial" w:eastAsia="Arial" w:hAnsi="Arial"/>
                <w:sz w:val="18"/>
                <w:szCs w:val="18"/>
                <w:color w:val="0000FF"/>
              </w:rPr>
            </w:pPr>
            <w:hyperlink r:id="rId343">
              <w:r>
                <w:rPr>
                  <w:rFonts w:ascii="Arial" w:cs="Arial" w:eastAsia="Arial" w:hAnsi="Arial"/>
                  <w:sz w:val="18"/>
                  <w:szCs w:val="18"/>
                  <w:color w:val="0000FF"/>
                </w:rPr>
                <w:t>Change in Control and Severance Agreement, by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10.18</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3">
              <w:r>
                <w:rPr>
                  <w:rFonts w:ascii="Arial" w:cs="Arial" w:eastAsia="Arial" w:hAnsi="Arial"/>
                  <w:sz w:val="18"/>
                  <w:szCs w:val="18"/>
                  <w:color w:val="0000FF"/>
                </w:rPr>
                <w:t>between the Registrant and Ron Kurtz, dated as of July 8,</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00" w:type="dxa"/>
            <w:vAlign w:val="bottom"/>
          </w:tcPr>
          <w:p>
            <w:pPr>
              <w:spacing w:after="0" w:line="195" w:lineRule="exact"/>
              <w:rPr>
                <w:rFonts w:ascii="Arial" w:cs="Arial" w:eastAsia="Arial" w:hAnsi="Arial"/>
                <w:sz w:val="18"/>
                <w:szCs w:val="18"/>
                <w:color w:val="0000FF"/>
                <w:w w:val="79"/>
              </w:rPr>
            </w:pPr>
            <w:hyperlink r:id="rId343">
              <w:r>
                <w:rPr>
                  <w:rFonts w:ascii="Arial" w:cs="Arial" w:eastAsia="Arial" w:hAnsi="Arial"/>
                  <w:sz w:val="18"/>
                  <w:szCs w:val="18"/>
                  <w:color w:val="0000FF"/>
                  <w:w w:val="79"/>
                </w:rPr>
                <w:t>2021.</w:t>
              </w:r>
            </w:hyperlink>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4640" w:type="dxa"/>
            <w:vAlign w:val="bottom"/>
            <w:gridSpan w:val="16"/>
          </w:tcPr>
          <w:p>
            <w:pPr>
              <w:spacing w:after="0"/>
              <w:rPr>
                <w:rFonts w:ascii="Arial" w:cs="Arial" w:eastAsia="Arial" w:hAnsi="Arial"/>
                <w:sz w:val="18"/>
                <w:szCs w:val="18"/>
                <w:color w:val="0000FF"/>
              </w:rPr>
            </w:pPr>
            <w:hyperlink r:id="rId344">
              <w:r>
                <w:rPr>
                  <w:rFonts w:ascii="Arial" w:cs="Arial" w:eastAsia="Arial" w:hAnsi="Arial"/>
                  <w:sz w:val="18"/>
                  <w:szCs w:val="18"/>
                  <w:color w:val="0000FF"/>
                </w:rPr>
                <w:t>Change in Control and Severance Agreement, by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10.19</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w w:val="94"/>
              </w:rPr>
            </w:pPr>
            <w:hyperlink r:id="rId344">
              <w:r>
                <w:rPr>
                  <w:rFonts w:ascii="Arial" w:cs="Arial" w:eastAsia="Arial" w:hAnsi="Arial"/>
                  <w:sz w:val="18"/>
                  <w:szCs w:val="18"/>
                  <w:color w:val="0000FF"/>
                  <w:w w:val="94"/>
                </w:rPr>
                <w:t>between the Registrant and Shelley Thunen, dated as of July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gridSpan w:val="2"/>
          </w:tcPr>
          <w:p>
            <w:pPr>
              <w:spacing w:after="0" w:line="195" w:lineRule="exact"/>
              <w:rPr>
                <w:rFonts w:ascii="Arial" w:cs="Arial" w:eastAsia="Arial" w:hAnsi="Arial"/>
                <w:sz w:val="18"/>
                <w:szCs w:val="18"/>
                <w:color w:val="0000FF"/>
                <w:w w:val="79"/>
              </w:rPr>
            </w:pPr>
            <w:hyperlink r:id="rId344">
              <w:r>
                <w:rPr>
                  <w:rFonts w:ascii="Arial" w:cs="Arial" w:eastAsia="Arial" w:hAnsi="Arial"/>
                  <w:sz w:val="18"/>
                  <w:szCs w:val="18"/>
                  <w:color w:val="0000FF"/>
                  <w:w w:val="79"/>
                </w:rPr>
                <w:t>8, 2021.</w:t>
              </w:r>
            </w:hyperlink>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10.25+</w:t>
            </w:r>
          </w:p>
        </w:tc>
        <w:tc>
          <w:tcPr>
            <w:tcW w:w="4640" w:type="dxa"/>
            <w:vAlign w:val="bottom"/>
            <w:gridSpan w:val="16"/>
          </w:tcPr>
          <w:p>
            <w:pPr>
              <w:spacing w:after="0"/>
              <w:rPr>
                <w:rFonts w:ascii="Arial" w:cs="Arial" w:eastAsia="Arial" w:hAnsi="Arial"/>
                <w:sz w:val="18"/>
                <w:szCs w:val="18"/>
                <w:color w:val="0000FF"/>
              </w:rPr>
            </w:pPr>
            <w:hyperlink r:id="rId345">
              <w:r>
                <w:rPr>
                  <w:rFonts w:ascii="Arial" w:cs="Arial" w:eastAsia="Arial" w:hAnsi="Arial"/>
                  <w:sz w:val="18"/>
                  <w:szCs w:val="18"/>
                  <w:color w:val="0000FF"/>
                </w:rPr>
                <w:t>Change in Control and Severance Agreement, by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10.20</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w w:val="97"/>
              </w:rPr>
            </w:pPr>
            <w:hyperlink r:id="rId345">
              <w:r>
                <w:rPr>
                  <w:rFonts w:ascii="Arial" w:cs="Arial" w:eastAsia="Arial" w:hAnsi="Arial"/>
                  <w:sz w:val="18"/>
                  <w:szCs w:val="18"/>
                  <w:color w:val="0000FF"/>
                  <w:w w:val="97"/>
                </w:rPr>
                <w:t>between the Registrant and Eric Weinberg, dated as of July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gridSpan w:val="2"/>
          </w:tcPr>
          <w:p>
            <w:pPr>
              <w:spacing w:after="0" w:line="195" w:lineRule="exact"/>
              <w:rPr>
                <w:rFonts w:ascii="Arial" w:cs="Arial" w:eastAsia="Arial" w:hAnsi="Arial"/>
                <w:sz w:val="18"/>
                <w:szCs w:val="18"/>
                <w:color w:val="0000FF"/>
                <w:w w:val="79"/>
              </w:rPr>
            </w:pPr>
            <w:hyperlink r:id="rId345">
              <w:r>
                <w:rPr>
                  <w:rFonts w:ascii="Arial" w:cs="Arial" w:eastAsia="Arial" w:hAnsi="Arial"/>
                  <w:sz w:val="18"/>
                  <w:szCs w:val="18"/>
                  <w:color w:val="0000FF"/>
                  <w:w w:val="79"/>
                </w:rPr>
                <w:t>8, 2021.</w:t>
              </w:r>
            </w:hyperlink>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10.26+</w:t>
            </w:r>
          </w:p>
        </w:tc>
        <w:tc>
          <w:tcPr>
            <w:tcW w:w="4640" w:type="dxa"/>
            <w:vAlign w:val="bottom"/>
            <w:gridSpan w:val="16"/>
          </w:tcPr>
          <w:p>
            <w:pPr>
              <w:spacing w:after="0"/>
              <w:rPr>
                <w:rFonts w:ascii="Arial" w:cs="Arial" w:eastAsia="Arial" w:hAnsi="Arial"/>
                <w:sz w:val="18"/>
                <w:szCs w:val="18"/>
                <w:color w:val="0000FF"/>
              </w:rPr>
            </w:pPr>
            <w:hyperlink r:id="rId346">
              <w:r>
                <w:rPr>
                  <w:rFonts w:ascii="Arial" w:cs="Arial" w:eastAsia="Arial" w:hAnsi="Arial"/>
                  <w:sz w:val="18"/>
                  <w:szCs w:val="18"/>
                  <w:color w:val="0000FF"/>
                </w:rPr>
                <w:t>Change in Control and Severance Agreement, by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10.21</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w w:val="94"/>
              </w:rPr>
            </w:pPr>
            <w:hyperlink r:id="rId346">
              <w:r>
                <w:rPr>
                  <w:rFonts w:ascii="Arial" w:cs="Arial" w:eastAsia="Arial" w:hAnsi="Arial"/>
                  <w:sz w:val="18"/>
                  <w:szCs w:val="18"/>
                  <w:color w:val="0000FF"/>
                  <w:w w:val="94"/>
                </w:rPr>
                <w:t>between the Registrant and Ilya Goldshleger, dated as of July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gridSpan w:val="2"/>
          </w:tcPr>
          <w:p>
            <w:pPr>
              <w:spacing w:after="0" w:line="195" w:lineRule="exact"/>
              <w:rPr>
                <w:rFonts w:ascii="Arial" w:cs="Arial" w:eastAsia="Arial" w:hAnsi="Arial"/>
                <w:sz w:val="18"/>
                <w:szCs w:val="18"/>
                <w:color w:val="0000FF"/>
                <w:w w:val="79"/>
              </w:rPr>
            </w:pPr>
            <w:hyperlink r:id="rId346">
              <w:r>
                <w:rPr>
                  <w:rFonts w:ascii="Arial" w:cs="Arial" w:eastAsia="Arial" w:hAnsi="Arial"/>
                  <w:sz w:val="18"/>
                  <w:szCs w:val="18"/>
                  <w:color w:val="0000FF"/>
                  <w:w w:val="79"/>
                </w:rPr>
                <w:t>8, 2021.</w:t>
              </w:r>
            </w:hyperlink>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10.27</w:t>
            </w:r>
          </w:p>
        </w:tc>
        <w:tc>
          <w:tcPr>
            <w:tcW w:w="4640" w:type="dxa"/>
            <w:vAlign w:val="bottom"/>
            <w:gridSpan w:val="16"/>
          </w:tcPr>
          <w:p>
            <w:pPr>
              <w:spacing w:after="0"/>
              <w:rPr>
                <w:rFonts w:ascii="Arial" w:cs="Arial" w:eastAsia="Arial" w:hAnsi="Arial"/>
                <w:sz w:val="18"/>
                <w:szCs w:val="18"/>
                <w:color w:val="0000FF"/>
                <w:w w:val="98"/>
              </w:rPr>
            </w:pPr>
            <w:hyperlink r:id="rId347">
              <w:r>
                <w:rPr>
                  <w:rFonts w:ascii="Arial" w:cs="Arial" w:eastAsia="Arial" w:hAnsi="Arial"/>
                  <w:sz w:val="18"/>
                  <w:szCs w:val="18"/>
                  <w:color w:val="0000FF"/>
                  <w:w w:val="98"/>
                </w:rPr>
                <w:t>Consulting Agreement, by and between the Registrant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7">
              <w:r>
                <w:rPr>
                  <w:rFonts w:ascii="Arial" w:cs="Arial" w:eastAsia="Arial" w:hAnsi="Arial"/>
                  <w:sz w:val="18"/>
                  <w:szCs w:val="18"/>
                  <w:color w:val="0000FF"/>
                </w:rPr>
                <w:t>Yelroc Consulting, Inc., dated as of January 1, 2019, as</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7">
              <w:r>
                <w:rPr>
                  <w:rFonts w:ascii="Arial" w:cs="Arial" w:eastAsia="Arial" w:hAnsi="Arial"/>
                  <w:sz w:val="18"/>
                  <w:szCs w:val="18"/>
                  <w:color w:val="0000FF"/>
                </w:rPr>
                <w:t>amended by that certain Amendment No. 1 to Consulting</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7">
              <w:r>
                <w:rPr>
                  <w:rFonts w:ascii="Arial" w:cs="Arial" w:eastAsia="Arial" w:hAnsi="Arial"/>
                  <w:sz w:val="18"/>
                  <w:szCs w:val="18"/>
                  <w:color w:val="0000FF"/>
                </w:rPr>
                <w:t>Agreement, dated as of December 16, 2020.</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10.28</w:t>
            </w:r>
          </w:p>
        </w:tc>
        <w:tc>
          <w:tcPr>
            <w:tcW w:w="4640" w:type="dxa"/>
            <w:vAlign w:val="bottom"/>
            <w:gridSpan w:val="16"/>
          </w:tcPr>
          <w:p>
            <w:pPr>
              <w:spacing w:after="0"/>
              <w:rPr>
                <w:rFonts w:ascii="Arial" w:cs="Arial" w:eastAsia="Arial" w:hAnsi="Arial"/>
                <w:sz w:val="18"/>
                <w:szCs w:val="18"/>
                <w:color w:val="0000FF"/>
                <w:w w:val="96"/>
              </w:rPr>
            </w:pPr>
            <w:hyperlink r:id="rId348">
              <w:r>
                <w:rPr>
                  <w:rFonts w:ascii="Arial" w:cs="Arial" w:eastAsia="Arial" w:hAnsi="Arial"/>
                  <w:sz w:val="18"/>
                  <w:szCs w:val="18"/>
                  <w:color w:val="0000FF"/>
                  <w:w w:val="96"/>
                </w:rPr>
                <w:t>Termination Agreement, by and between the Registrant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3"/>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10.24</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July 26, 2021</w:t>
            </w: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8">
              <w:r>
                <w:rPr>
                  <w:rFonts w:ascii="Arial" w:cs="Arial" w:eastAsia="Arial" w:hAnsi="Arial"/>
                  <w:sz w:val="18"/>
                  <w:szCs w:val="18"/>
                  <w:color w:val="0000FF"/>
                </w:rPr>
                <w:t>Yelroc Consulting, Inc., dated as of August 3,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816"/>
        </w:trPr>
        <w:tc>
          <w:tcPr>
            <w:tcW w:w="1180" w:type="dxa"/>
            <w:vAlign w:val="bottom"/>
          </w:tcPr>
          <w:p>
            <w:pPr>
              <w:ind w:left="20"/>
              <w:spacing w:after="0"/>
              <w:rPr>
                <w:sz w:val="20"/>
                <w:szCs w:val="20"/>
                <w:color w:val="auto"/>
              </w:rPr>
            </w:pPr>
            <w:r>
              <w:rPr>
                <w:rFonts w:ascii="Arial" w:cs="Arial" w:eastAsia="Arial" w:hAnsi="Arial"/>
                <w:sz w:val="18"/>
                <w:szCs w:val="18"/>
                <w:color w:val="auto"/>
              </w:rPr>
              <w:t>10.29</w:t>
            </w:r>
          </w:p>
        </w:tc>
        <w:tc>
          <w:tcPr>
            <w:tcW w:w="4640" w:type="dxa"/>
            <w:vAlign w:val="bottom"/>
            <w:gridSpan w:val="16"/>
          </w:tcPr>
          <w:p>
            <w:pPr>
              <w:spacing w:after="0"/>
              <w:rPr>
                <w:rFonts w:ascii="Arial" w:cs="Arial" w:eastAsia="Arial" w:hAnsi="Arial"/>
                <w:sz w:val="18"/>
                <w:szCs w:val="18"/>
                <w:color w:val="0000FF"/>
                <w:w w:val="98"/>
              </w:rPr>
            </w:pPr>
            <w:hyperlink r:id="rId349">
              <w:r>
                <w:rPr>
                  <w:rFonts w:ascii="Arial" w:cs="Arial" w:eastAsia="Arial" w:hAnsi="Arial"/>
                  <w:sz w:val="18"/>
                  <w:szCs w:val="18"/>
                  <w:color w:val="0000FF"/>
                  <w:w w:val="98"/>
                </w:rPr>
                <w:t>Consulting Agreement, by and between the Registrant and</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10.23</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9">
              <w:r>
                <w:rPr>
                  <w:rFonts w:ascii="Arial" w:cs="Arial" w:eastAsia="Arial" w:hAnsi="Arial"/>
                  <w:sz w:val="18"/>
                  <w:szCs w:val="18"/>
                  <w:color w:val="0000FF"/>
                </w:rPr>
                <w:t>Daniel Schwartz, M.D., dated as of January 1, 2019, as</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9">
              <w:r>
                <w:rPr>
                  <w:rFonts w:ascii="Arial" w:cs="Arial" w:eastAsia="Arial" w:hAnsi="Arial"/>
                  <w:sz w:val="18"/>
                  <w:szCs w:val="18"/>
                  <w:color w:val="0000FF"/>
                </w:rPr>
                <w:t>amended by that certain Amendment No. 1, dated as of</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49">
              <w:r>
                <w:rPr>
                  <w:rFonts w:ascii="Arial" w:cs="Arial" w:eastAsia="Arial" w:hAnsi="Arial"/>
                  <w:sz w:val="18"/>
                  <w:szCs w:val="18"/>
                  <w:color w:val="0000FF"/>
                </w:rPr>
                <w:t>December 16, 2020.</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color w:val="auto"/>
              </w:rPr>
              <w:t>10.30</w:t>
            </w:r>
          </w:p>
        </w:tc>
        <w:tc>
          <w:tcPr>
            <w:tcW w:w="4640" w:type="dxa"/>
            <w:vAlign w:val="bottom"/>
            <w:gridSpan w:val="16"/>
          </w:tcPr>
          <w:p>
            <w:pPr>
              <w:spacing w:after="0"/>
              <w:rPr>
                <w:rFonts w:ascii="Arial" w:cs="Arial" w:eastAsia="Arial" w:hAnsi="Arial"/>
                <w:sz w:val="18"/>
                <w:szCs w:val="18"/>
                <w:color w:val="0000FF"/>
                <w:w w:val="97"/>
              </w:rPr>
            </w:pPr>
            <w:hyperlink r:id="rId350">
              <w:r>
                <w:rPr>
                  <w:rFonts w:ascii="Arial" w:cs="Arial" w:eastAsia="Arial" w:hAnsi="Arial"/>
                  <w:sz w:val="18"/>
                  <w:szCs w:val="18"/>
                  <w:color w:val="0000FF"/>
                  <w:w w:val="97"/>
                </w:rPr>
                <w:t>Amended and Restated Secured Full Recourse Promissory</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10.24</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20"/>
        </w:trPr>
        <w:tc>
          <w:tcPr>
            <w:tcW w:w="118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w w:val="98"/>
              </w:rPr>
            </w:pPr>
            <w:hyperlink r:id="rId350">
              <w:r>
                <w:rPr>
                  <w:rFonts w:ascii="Arial" w:cs="Arial" w:eastAsia="Arial" w:hAnsi="Arial"/>
                  <w:sz w:val="18"/>
                  <w:szCs w:val="18"/>
                  <w:color w:val="0000FF"/>
                  <w:w w:val="98"/>
                </w:rPr>
                <w:t>Note, by and between the Registrant and Daniel Schwartz,</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6"/>
          </w:tcPr>
          <w:p>
            <w:pPr>
              <w:spacing w:after="0" w:line="195" w:lineRule="exact"/>
              <w:rPr>
                <w:rFonts w:ascii="Arial" w:cs="Arial" w:eastAsia="Arial" w:hAnsi="Arial"/>
                <w:sz w:val="18"/>
                <w:szCs w:val="18"/>
                <w:color w:val="0000FF"/>
              </w:rPr>
            </w:pPr>
            <w:hyperlink r:id="rId350">
              <w:r>
                <w:rPr>
                  <w:rFonts w:ascii="Arial" w:cs="Arial" w:eastAsia="Arial" w:hAnsi="Arial"/>
                  <w:sz w:val="18"/>
                  <w:szCs w:val="18"/>
                  <w:color w:val="0000FF"/>
                </w:rPr>
                <w:t>dated as of April 18, 2019.</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25"/>
        </w:trPr>
        <w:tc>
          <w:tcPr>
            <w:tcW w:w="1180" w:type="dxa"/>
            <w:vAlign w:val="bottom"/>
          </w:tcPr>
          <w:p>
            <w:pPr>
              <w:spacing w:after="0"/>
              <w:rPr>
                <w:sz w:val="24"/>
                <w:szCs w:val="24"/>
                <w:color w:val="auto"/>
              </w:rPr>
            </w:pPr>
          </w:p>
        </w:tc>
        <w:tc>
          <w:tcPr>
            <w:tcW w:w="1900" w:type="dxa"/>
            <w:vAlign w:val="bottom"/>
            <w:tcBorders>
              <w:top w:val="single" w:sz="8" w:color="0000FF"/>
            </w:tcBorders>
            <w:gridSpan w:val="4"/>
          </w:tcPr>
          <w:p>
            <w:pPr>
              <w:spacing w:after="0"/>
              <w:rPr>
                <w:sz w:val="24"/>
                <w:szCs w:val="24"/>
                <w:color w:val="auto"/>
              </w:rPr>
            </w:pPr>
          </w:p>
        </w:tc>
        <w:tc>
          <w:tcPr>
            <w:tcW w:w="2740" w:type="dxa"/>
            <w:vAlign w:val="bottom"/>
            <w:gridSpan w:val="12"/>
          </w:tcPr>
          <w:p>
            <w:pPr>
              <w:jc w:val="right"/>
              <w:ind w:right="60"/>
              <w:spacing w:after="0"/>
              <w:rPr>
                <w:sz w:val="20"/>
                <w:szCs w:val="20"/>
                <w:color w:val="auto"/>
              </w:rPr>
            </w:pPr>
            <w:r>
              <w:rPr>
                <w:rFonts w:ascii="Arial" w:cs="Arial" w:eastAsia="Arial" w:hAnsi="Arial"/>
                <w:sz w:val="18"/>
                <w:szCs w:val="18"/>
                <w:color w:val="auto"/>
              </w:rPr>
              <w:t>134</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10.31</w:t>
            </w:r>
          </w:p>
        </w:tc>
        <w:tc>
          <w:tcPr>
            <w:tcW w:w="4640" w:type="dxa"/>
            <w:vAlign w:val="bottom"/>
            <w:gridSpan w:val="14"/>
          </w:tcPr>
          <w:p>
            <w:pPr>
              <w:spacing w:after="0"/>
              <w:rPr>
                <w:rFonts w:ascii="Arial" w:cs="Arial" w:eastAsia="Arial" w:hAnsi="Arial"/>
                <w:sz w:val="18"/>
                <w:szCs w:val="18"/>
                <w:color w:val="0000FF"/>
                <w:w w:val="93"/>
              </w:rPr>
            </w:pPr>
            <w:hyperlink r:id="rId353">
              <w:r>
                <w:rPr>
                  <w:rFonts w:ascii="Arial" w:cs="Arial" w:eastAsia="Arial" w:hAnsi="Arial"/>
                  <w:sz w:val="18"/>
                  <w:szCs w:val="18"/>
                  <w:color w:val="0000FF"/>
                  <w:w w:val="93"/>
                </w:rPr>
                <w:t>Share Forfeiture and Release Agreement, by and between the</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3"/>
              </w:rPr>
              <w:t>S-1/A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333-257790</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rFonts w:ascii="Arial" w:cs="Arial" w:eastAsia="Arial" w:hAnsi="Arial"/>
                <w:sz w:val="18"/>
                <w:szCs w:val="18"/>
                <w:color w:val="0000FF"/>
                <w:w w:val="98"/>
              </w:rPr>
            </w:pPr>
            <w:hyperlink r:id="rId353">
              <w:r>
                <w:rPr>
                  <w:rFonts w:ascii="Arial" w:cs="Arial" w:eastAsia="Arial" w:hAnsi="Arial"/>
                  <w:sz w:val="18"/>
                  <w:szCs w:val="18"/>
                  <w:color w:val="0000FF"/>
                  <w:w w:val="98"/>
                </w:rPr>
                <w:t>Registrant and Daniel Schwartz, dated as of July 23, 2021.</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180" w:type="dxa"/>
            <w:vAlign w:val="bottom"/>
          </w:tcPr>
          <w:p>
            <w:pPr>
              <w:ind w:left="20"/>
              <w:spacing w:after="0"/>
              <w:rPr>
                <w:sz w:val="20"/>
                <w:szCs w:val="20"/>
                <w:color w:val="auto"/>
              </w:rPr>
            </w:pPr>
            <w:r>
              <w:rPr>
                <w:rFonts w:ascii="Arial" w:cs="Arial" w:eastAsia="Arial" w:hAnsi="Arial"/>
                <w:sz w:val="18"/>
                <w:szCs w:val="18"/>
                <w:color w:val="auto"/>
              </w:rPr>
              <w:t>10.32</w:t>
            </w:r>
          </w:p>
        </w:tc>
        <w:tc>
          <w:tcPr>
            <w:tcW w:w="4640" w:type="dxa"/>
            <w:vAlign w:val="bottom"/>
            <w:gridSpan w:val="14"/>
          </w:tcPr>
          <w:p>
            <w:pPr>
              <w:spacing w:after="0"/>
              <w:rPr>
                <w:rFonts w:ascii="Arial" w:cs="Arial" w:eastAsia="Arial" w:hAnsi="Arial"/>
                <w:sz w:val="18"/>
                <w:szCs w:val="18"/>
                <w:color w:val="0000FF"/>
              </w:rPr>
            </w:pPr>
            <w:hyperlink r:id="rId354">
              <w:r>
                <w:rPr>
                  <w:rFonts w:ascii="Arial" w:cs="Arial" w:eastAsia="Arial" w:hAnsi="Arial"/>
                  <w:sz w:val="18"/>
                  <w:szCs w:val="18"/>
                  <w:color w:val="0000FF"/>
                </w:rPr>
                <w:t>Lease, dated as of March 7, 2022, by and between BML</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001-40690</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March 8, 2022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rFonts w:ascii="Arial" w:cs="Arial" w:eastAsia="Arial" w:hAnsi="Arial"/>
                <w:sz w:val="18"/>
                <w:szCs w:val="18"/>
                <w:color w:val="0000FF"/>
                <w:w w:val="96"/>
              </w:rPr>
            </w:pPr>
            <w:hyperlink r:id="rId354">
              <w:r>
                <w:rPr>
                  <w:rFonts w:ascii="Arial" w:cs="Arial" w:eastAsia="Arial" w:hAnsi="Arial"/>
                  <w:sz w:val="18"/>
                  <w:szCs w:val="18"/>
                  <w:color w:val="0000FF"/>
                  <w:w w:val="96"/>
                </w:rPr>
                <w:t>Management, LLC, and the Registrant, for premises located</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rFonts w:ascii="Arial" w:cs="Arial" w:eastAsia="Arial" w:hAnsi="Arial"/>
                <w:sz w:val="18"/>
                <w:szCs w:val="18"/>
                <w:color w:val="0000FF"/>
              </w:rPr>
            </w:pPr>
            <w:hyperlink r:id="rId354">
              <w:r>
                <w:rPr>
                  <w:rFonts w:ascii="Arial" w:cs="Arial" w:eastAsia="Arial" w:hAnsi="Arial"/>
                  <w:sz w:val="18"/>
                  <w:szCs w:val="18"/>
                  <w:color w:val="0000FF"/>
                </w:rPr>
                <w:t>at 125 Columbia, Aliso Viejo, California 92656.</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10.33</w:t>
            </w:r>
          </w:p>
        </w:tc>
        <w:tc>
          <w:tcPr>
            <w:tcW w:w="1560" w:type="dxa"/>
            <w:vAlign w:val="bottom"/>
            <w:vMerge w:val="restart"/>
          </w:tcPr>
          <w:p>
            <w:pPr>
              <w:spacing w:after="0"/>
              <w:rPr>
                <w:rFonts w:ascii="Arial" w:cs="Arial" w:eastAsia="Arial" w:hAnsi="Arial"/>
                <w:sz w:val="18"/>
                <w:szCs w:val="18"/>
                <w:color w:val="0000FF"/>
                <w:w w:val="93"/>
              </w:rPr>
            </w:pPr>
            <w:hyperlink r:id="rId355">
              <w:r>
                <w:rPr>
                  <w:rFonts w:ascii="Arial" w:cs="Arial" w:eastAsia="Arial" w:hAnsi="Arial"/>
                  <w:sz w:val="18"/>
                  <w:szCs w:val="18"/>
                  <w:color w:val="0000FF"/>
                  <w:w w:val="93"/>
                </w:rPr>
                <w:t>ATM Equity Offering</w:t>
              </w:r>
            </w:hyperlink>
          </w:p>
        </w:tc>
        <w:tc>
          <w:tcPr>
            <w:tcW w:w="160" w:type="dxa"/>
            <w:vAlign w:val="bottom"/>
            <w:tcBorders>
              <w:bottom w:val="single" w:sz="8" w:color="0000FF"/>
            </w:tcBorders>
          </w:tcPr>
          <w:p>
            <w:pPr>
              <w:spacing w:after="0" w:line="115" w:lineRule="exact"/>
              <w:rPr>
                <w:rFonts w:ascii="Arial" w:cs="Arial" w:eastAsia="Arial" w:hAnsi="Arial"/>
                <w:sz w:val="12"/>
                <w:szCs w:val="12"/>
                <w:color w:val="0000FF"/>
                <w:w w:val="77"/>
              </w:rPr>
            </w:pPr>
            <w:hyperlink r:id="rId355">
              <w:r>
                <w:rPr>
                  <w:rFonts w:ascii="Arial" w:cs="Arial" w:eastAsia="Arial" w:hAnsi="Arial"/>
                  <w:sz w:val="12"/>
                  <w:szCs w:val="12"/>
                  <w:color w:val="0000FF"/>
                  <w:w w:val="77"/>
                </w:rPr>
                <w:t>SM</w:t>
              </w:r>
            </w:hyperlink>
          </w:p>
        </w:tc>
        <w:tc>
          <w:tcPr>
            <w:tcW w:w="2920" w:type="dxa"/>
            <w:vAlign w:val="bottom"/>
            <w:gridSpan w:val="12"/>
            <w:vMerge w:val="restart"/>
          </w:tcPr>
          <w:p>
            <w:pPr>
              <w:jc w:val="right"/>
              <w:ind w:right="440"/>
              <w:spacing w:after="0"/>
              <w:rPr>
                <w:rFonts w:ascii="Arial" w:cs="Arial" w:eastAsia="Arial" w:hAnsi="Arial"/>
                <w:sz w:val="18"/>
                <w:szCs w:val="18"/>
                <w:color w:val="0000FF"/>
                <w:w w:val="89"/>
              </w:rPr>
            </w:pPr>
            <w:hyperlink r:id="rId355">
              <w:r>
                <w:rPr>
                  <w:rFonts w:ascii="Arial" w:cs="Arial" w:eastAsia="Arial" w:hAnsi="Arial"/>
                  <w:sz w:val="18"/>
                  <w:szCs w:val="18"/>
                  <w:color w:val="0000FF"/>
                  <w:w w:val="89"/>
                </w:rPr>
                <w:t>Sales Agreement, dated August 8,</w:t>
              </w:r>
            </w:hyperlink>
          </w:p>
        </w:tc>
        <w:tc>
          <w:tcPr>
            <w:tcW w:w="78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S-3</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333-266651</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7"/>
              </w:rPr>
              <w:t>1.2</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920" w:type="dxa"/>
            <w:vAlign w:val="bottom"/>
            <w:gridSpan w:val="1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rFonts w:ascii="Arial" w:cs="Arial" w:eastAsia="Arial" w:hAnsi="Arial"/>
                <w:sz w:val="18"/>
                <w:szCs w:val="18"/>
                <w:color w:val="0000FF"/>
              </w:rPr>
            </w:pPr>
            <w:hyperlink r:id="rId355">
              <w:r>
                <w:rPr>
                  <w:rFonts w:ascii="Arial" w:cs="Arial" w:eastAsia="Arial" w:hAnsi="Arial"/>
                  <w:sz w:val="18"/>
                  <w:szCs w:val="18"/>
                  <w:color w:val="0000FF"/>
                </w:rPr>
                <w:t>2022, between the Company and BofA Securities, 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10.34</w:t>
            </w:r>
          </w:p>
        </w:tc>
        <w:tc>
          <w:tcPr>
            <w:tcW w:w="4640" w:type="dxa"/>
            <w:vAlign w:val="bottom"/>
            <w:gridSpan w:val="14"/>
          </w:tcPr>
          <w:p>
            <w:pPr>
              <w:spacing w:after="0"/>
              <w:rPr>
                <w:rFonts w:ascii="Arial" w:cs="Arial" w:eastAsia="Arial" w:hAnsi="Arial"/>
                <w:sz w:val="18"/>
                <w:szCs w:val="18"/>
                <w:color w:val="0000FF"/>
              </w:rPr>
            </w:pPr>
            <w:hyperlink r:id="rId356">
              <w:r>
                <w:rPr>
                  <w:rFonts w:ascii="Arial" w:cs="Arial" w:eastAsia="Arial" w:hAnsi="Arial"/>
                  <w:sz w:val="18"/>
                  <w:szCs w:val="18"/>
                  <w:color w:val="0000FF"/>
                </w:rPr>
                <w:t>Underwriting Agreement, dated as of February 7, 2023 by</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001-40690</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rFonts w:ascii="Arial" w:cs="Arial" w:eastAsia="Arial" w:hAnsi="Arial"/>
                <w:sz w:val="18"/>
                <w:szCs w:val="18"/>
                <w:color w:val="0000FF"/>
              </w:rPr>
            </w:pPr>
            <w:hyperlink r:id="rId356">
              <w:r>
                <w:rPr>
                  <w:rFonts w:ascii="Arial" w:cs="Arial" w:eastAsia="Arial" w:hAnsi="Arial"/>
                  <w:sz w:val="18"/>
                  <w:szCs w:val="18"/>
                  <w:color w:val="0000FF"/>
                </w:rPr>
                <w:t>and between the Company and BofA Securities, 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10.35*</w:t>
            </w:r>
          </w:p>
        </w:tc>
        <w:tc>
          <w:tcPr>
            <w:tcW w:w="4640" w:type="dxa"/>
            <w:vAlign w:val="bottom"/>
            <w:gridSpan w:val="14"/>
          </w:tcPr>
          <w:p>
            <w:pPr>
              <w:spacing w:after="0"/>
              <w:rPr>
                <w:sz w:val="20"/>
                <w:szCs w:val="20"/>
                <w:color w:val="auto"/>
              </w:rPr>
            </w:pPr>
            <w:r>
              <w:rPr>
                <w:rFonts w:ascii="Arial" w:cs="Arial" w:eastAsia="Arial" w:hAnsi="Arial"/>
                <w:sz w:val="18"/>
                <w:szCs w:val="18"/>
                <w:color w:val="0000FF"/>
              </w:rPr>
              <w:t>Executive Incentive Compensation Plan</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21.1</w:t>
            </w:r>
          </w:p>
        </w:tc>
        <w:tc>
          <w:tcPr>
            <w:tcW w:w="4640" w:type="dxa"/>
            <w:vAlign w:val="bottom"/>
            <w:gridSpan w:val="14"/>
          </w:tcPr>
          <w:p>
            <w:pPr>
              <w:spacing w:after="0"/>
              <w:rPr>
                <w:rFonts w:ascii="Arial" w:cs="Arial" w:eastAsia="Arial" w:hAnsi="Arial"/>
                <w:sz w:val="18"/>
                <w:szCs w:val="18"/>
                <w:color w:val="0000FF"/>
              </w:rPr>
            </w:pPr>
            <w:hyperlink r:id="rId357">
              <w:r>
                <w:rPr>
                  <w:rFonts w:ascii="Arial" w:cs="Arial" w:eastAsia="Arial" w:hAnsi="Arial"/>
                  <w:sz w:val="18"/>
                  <w:szCs w:val="18"/>
                  <w:color w:val="0000FF"/>
                </w:rPr>
                <w:t>Subsidiaries of the Registrant.</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001-40690</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March 8, 2022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4640" w:type="dxa"/>
            <w:vAlign w:val="bottom"/>
            <w:gridSpan w:val="14"/>
          </w:tcPr>
          <w:p>
            <w:pPr>
              <w:spacing w:after="0"/>
              <w:rPr>
                <w:sz w:val="20"/>
                <w:szCs w:val="20"/>
                <w:color w:val="auto"/>
              </w:rPr>
            </w:pPr>
            <w:r>
              <w:rPr>
                <w:rFonts w:ascii="Arial" w:cs="Arial" w:eastAsia="Arial" w:hAnsi="Arial"/>
                <w:sz w:val="18"/>
                <w:szCs w:val="18"/>
                <w:color w:val="0000FF"/>
                <w:w w:val="96"/>
              </w:rPr>
              <w:t>Consent of Independent Registered Public Accounting Firm.</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464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Rules 13a-14(a) and 15d-14(a) under the Securities</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w w:val="97"/>
              </w:rPr>
              <w:t>Exchange Act of 1934, as Adopted Pursuant to Section 302</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of the Sarbanes-Oxley Act of 2002.</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4640" w:type="dxa"/>
            <w:vAlign w:val="bottom"/>
            <w:gridSpan w:val="14"/>
          </w:tcPr>
          <w:p>
            <w:pPr>
              <w:spacing w:after="0"/>
              <w:rPr>
                <w:sz w:val="20"/>
                <w:szCs w:val="20"/>
                <w:color w:val="auto"/>
              </w:rPr>
            </w:pPr>
            <w:r>
              <w:rPr>
                <w:rFonts w:ascii="Arial" w:cs="Arial" w:eastAsia="Arial" w:hAnsi="Arial"/>
                <w:sz w:val="18"/>
                <w:szCs w:val="18"/>
                <w:color w:val="0000FF"/>
                <w:w w:val="97"/>
              </w:rPr>
              <w:t>Certification of Principal Financial Officer Pursuant to Rules</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w w:val="96"/>
              </w:rPr>
              <w:t>13a-14(a) and 15d-14(a) under the Securities Exchange Act</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of 1934, as Adopted Pursuant to Section 302 of the</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Sarbanes-Oxley Act of 2002.</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464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18</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w w:val="95"/>
              </w:rPr>
              <w:t>U.S.C. Section 1350, as Adopted Pursuant to Section 906 of</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the Sarbanes-Oxley Act of 2002.</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ind w:left="20"/>
              <w:spacing w:after="0"/>
              <w:rPr>
                <w:sz w:val="20"/>
                <w:szCs w:val="20"/>
                <w:color w:val="auto"/>
              </w:rPr>
            </w:pPr>
            <w:r>
              <w:rPr>
                <w:rFonts w:ascii="Arial" w:cs="Arial" w:eastAsia="Arial" w:hAnsi="Arial"/>
                <w:sz w:val="18"/>
                <w:szCs w:val="18"/>
                <w:color w:val="auto"/>
              </w:rPr>
              <w:t>32.2†</w:t>
            </w:r>
          </w:p>
        </w:tc>
        <w:tc>
          <w:tcPr>
            <w:tcW w:w="464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Pursuant to 18</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180" w:type="dxa"/>
            <w:vAlign w:val="bottom"/>
            <w:gridSpan w:val="11"/>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w w:val="95"/>
              </w:rPr>
              <w:t>U.S.C. Section 1350, as Adopted Pursuant to Section 906 of</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300" w:type="dxa"/>
            <w:vAlign w:val="bottom"/>
            <w:gridSpan w:val="1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40" w:type="dxa"/>
            <w:vAlign w:val="bottom"/>
            <w:gridSpan w:val="14"/>
          </w:tcPr>
          <w:p>
            <w:pPr>
              <w:spacing w:after="0" w:line="195" w:lineRule="exact"/>
              <w:rPr>
                <w:sz w:val="20"/>
                <w:szCs w:val="20"/>
                <w:color w:val="auto"/>
              </w:rPr>
            </w:pPr>
            <w:r>
              <w:rPr>
                <w:rFonts w:ascii="Arial" w:cs="Arial" w:eastAsia="Arial" w:hAnsi="Arial"/>
                <w:sz w:val="18"/>
                <w:szCs w:val="18"/>
                <w:color w:val="0000FF"/>
              </w:rPr>
              <w:t>the Sarbanes-Oxley Act of 2002.</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0060" w:type="dxa"/>
            <w:vAlign w:val="bottom"/>
            <w:gridSpan w:val="1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6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46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54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54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4640" w:type="dxa"/>
            <w:vAlign w:val="bottom"/>
            <w:gridSpan w:val="14"/>
          </w:tcPr>
          <w:p>
            <w:pPr>
              <w:spacing w:after="0"/>
              <w:rPr>
                <w:sz w:val="20"/>
                <w:szCs w:val="20"/>
                <w:color w:val="auto"/>
              </w:rPr>
            </w:pPr>
            <w:r>
              <w:rPr>
                <w:rFonts w:ascii="Arial" w:cs="Arial" w:eastAsia="Arial" w:hAnsi="Arial"/>
                <w:sz w:val="18"/>
                <w:szCs w:val="18"/>
                <w:color w:val="auto"/>
                <w:w w:val="95"/>
              </w:rPr>
              <w:t>Inline XBRL Taxonomy Extension Label Linkbase Document.</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420" w:type="dxa"/>
            <w:vAlign w:val="bottom"/>
            <w:gridSpan w:val="15"/>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1180" w:type="dxa"/>
            <w:vAlign w:val="bottom"/>
          </w:tcPr>
          <w:p>
            <w:pPr>
              <w:spacing w:after="0"/>
              <w:rPr>
                <w:sz w:val="24"/>
                <w:szCs w:val="24"/>
                <w:color w:val="auto"/>
              </w:rPr>
            </w:pPr>
          </w:p>
        </w:tc>
        <w:tc>
          <w:tcPr>
            <w:tcW w:w="4640" w:type="dxa"/>
            <w:vAlign w:val="bottom"/>
            <w:gridSpan w:val="14"/>
          </w:tcPr>
          <w:p>
            <w:pPr>
              <w:jc w:val="right"/>
              <w:ind w:right="60"/>
              <w:spacing w:after="0"/>
              <w:rPr>
                <w:sz w:val="20"/>
                <w:szCs w:val="20"/>
                <w:color w:val="auto"/>
              </w:rPr>
            </w:pPr>
            <w:r>
              <w:rPr>
                <w:rFonts w:ascii="Arial" w:cs="Arial" w:eastAsia="Arial" w:hAnsi="Arial"/>
                <w:sz w:val="18"/>
                <w:szCs w:val="18"/>
                <w:color w:val="auto"/>
              </w:rPr>
              <w:t>135</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p>
      <w:pPr>
        <w:ind w:left="2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4300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hanging="11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1160" w:hanging="113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21" w:lineRule="exact"/>
        <w:rPr>
          <w:sz w:val="20"/>
          <w:szCs w:val="20"/>
          <w:color w:val="auto"/>
        </w:rPr>
      </w:pPr>
    </w:p>
    <w:p>
      <w:pPr>
        <w:ind w:left="1160" w:hanging="11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1160" w:hanging="1139"/>
        <w:spacing w:after="0" w:line="275"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Portions of the exhibit were omitted pursuant to Item 601(b)(10) of Regulation S-K. The Company agrees to furnish to the Securities and Exchange Commission a copy of any omitted portions of the exhibit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801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1480185" cy="8255"/>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41" w:right="5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4020" w:type="dxa"/>
            <w:vAlign w:val="bottom"/>
            <w:gridSpan w:val="2"/>
          </w:tcPr>
          <w:p>
            <w:pPr>
              <w:ind w:left="2200"/>
              <w:spacing w:after="0"/>
              <w:rPr>
                <w:sz w:val="20"/>
                <w:szCs w:val="20"/>
                <w:color w:val="auto"/>
              </w:rPr>
            </w:pPr>
            <w:r>
              <w:rPr>
                <w:rFonts w:ascii="Arial" w:cs="Arial" w:eastAsia="Arial" w:hAnsi="Arial"/>
                <w:sz w:val="18"/>
                <w:szCs w:val="18"/>
                <w:color w:val="auto"/>
              </w:rPr>
              <w:t>RxSight, Inc.</w:t>
            </w:r>
          </w:p>
        </w:tc>
        <w:tc>
          <w:tcPr>
            <w:tcW w:w="4000" w:type="dxa"/>
            <w:vAlign w:val="bottom"/>
          </w:tcPr>
          <w:p>
            <w:pPr>
              <w:spacing w:after="0"/>
              <w:rPr>
                <w:sz w:val="20"/>
                <w:szCs w:val="20"/>
                <w:color w:val="auto"/>
              </w:rPr>
            </w:pPr>
          </w:p>
        </w:tc>
      </w:tr>
      <w:tr>
        <w:trPr>
          <w:trHeight w:val="472"/>
        </w:trPr>
        <w:tc>
          <w:tcPr>
            <w:tcW w:w="3200" w:type="dxa"/>
            <w:vAlign w:val="bottom"/>
          </w:tcPr>
          <w:p>
            <w:pPr>
              <w:spacing w:after="0"/>
              <w:rPr>
                <w:sz w:val="20"/>
                <w:szCs w:val="20"/>
                <w:color w:val="auto"/>
              </w:rPr>
            </w:pPr>
            <w:r>
              <w:rPr>
                <w:rFonts w:ascii="Arial" w:cs="Arial" w:eastAsia="Arial" w:hAnsi="Arial"/>
                <w:sz w:val="18"/>
                <w:szCs w:val="18"/>
                <w:color w:val="auto"/>
              </w:rPr>
              <w:t>Date: March 6, 2023</w:t>
            </w:r>
          </w:p>
        </w:tc>
        <w:tc>
          <w:tcPr>
            <w:tcW w:w="4020" w:type="dxa"/>
            <w:vAlign w:val="bottom"/>
            <w:gridSpan w:val="2"/>
          </w:tcPr>
          <w:p>
            <w:pPr>
              <w:ind w:left="220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1110"/>
              <w:spacing w:after="0"/>
              <w:rPr>
                <w:sz w:val="20"/>
                <w:szCs w:val="20"/>
                <w:color w:val="auto"/>
              </w:rPr>
            </w:pPr>
            <w:r>
              <w:rPr>
                <w:rFonts w:ascii="Arial" w:cs="Arial" w:eastAsia="Arial" w:hAnsi="Arial"/>
                <w:sz w:val="18"/>
                <w:szCs w:val="18"/>
                <w:color w:val="auto"/>
                <w:w w:val="94"/>
              </w:rPr>
              <w:t>/s/ Ron Kurtz, M.D.</w:t>
            </w:r>
          </w:p>
        </w:tc>
      </w:tr>
      <w:tr>
        <w:trPr>
          <w:trHeight w:val="208"/>
        </w:trPr>
        <w:tc>
          <w:tcPr>
            <w:tcW w:w="3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jc w:val="center"/>
              <w:ind w:right="1130"/>
              <w:spacing w:after="0"/>
              <w:rPr>
                <w:sz w:val="20"/>
                <w:szCs w:val="20"/>
                <w:color w:val="auto"/>
              </w:rPr>
            </w:pPr>
            <w:r>
              <w:rPr>
                <w:rFonts w:ascii="Arial" w:cs="Arial" w:eastAsia="Arial" w:hAnsi="Arial"/>
                <w:sz w:val="18"/>
                <w:szCs w:val="18"/>
                <w:color w:val="auto"/>
                <w:w w:val="95"/>
              </w:rPr>
              <w:t>Ron Kurtz, M.D.</w:t>
            </w:r>
          </w:p>
        </w:tc>
      </w:tr>
      <w:tr>
        <w:trPr>
          <w:trHeight w:val="229"/>
        </w:trPr>
        <w:tc>
          <w:tcPr>
            <w:tcW w:w="3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0" w:type="dxa"/>
            <w:vAlign w:val="bottom"/>
          </w:tcPr>
          <w:p>
            <w:pPr>
              <w:jc w:val="center"/>
              <w:ind w:right="111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0" w:type="dxa"/>
            <w:vAlign w:val="bottom"/>
          </w:tcPr>
          <w:p>
            <w:pPr>
              <w:jc w:val="center"/>
              <w:ind w:right="1110"/>
              <w:spacing w:after="0"/>
              <w:rPr>
                <w:sz w:val="20"/>
                <w:szCs w:val="20"/>
                <w:color w:val="auto"/>
              </w:rPr>
            </w:pPr>
            <w:r>
              <w:rPr>
                <w:rFonts w:ascii="Arial" w:cs="Arial" w:eastAsia="Arial" w:hAnsi="Arial"/>
                <w:sz w:val="18"/>
                <w:szCs w:val="18"/>
                <w:color w:val="auto"/>
                <w:w w:val="93"/>
              </w:rPr>
              <w:t>(Principal Executive Officer)</w:t>
            </w:r>
          </w:p>
        </w:tc>
      </w:tr>
      <w:tr>
        <w:trPr>
          <w:trHeight w:val="661"/>
        </w:trPr>
        <w:tc>
          <w:tcPr>
            <w:tcW w:w="3200" w:type="dxa"/>
            <w:vAlign w:val="bottom"/>
          </w:tcPr>
          <w:p>
            <w:pPr>
              <w:spacing w:after="0"/>
              <w:rPr>
                <w:sz w:val="24"/>
                <w:szCs w:val="24"/>
                <w:color w:val="auto"/>
              </w:rPr>
            </w:pPr>
          </w:p>
        </w:tc>
        <w:tc>
          <w:tcPr>
            <w:tcW w:w="4020" w:type="dxa"/>
            <w:vAlign w:val="bottom"/>
            <w:gridSpan w:val="2"/>
          </w:tcPr>
          <w:p>
            <w:pPr>
              <w:ind w:left="1640"/>
              <w:spacing w:after="0"/>
              <w:rPr>
                <w:sz w:val="20"/>
                <w:szCs w:val="20"/>
                <w:color w:val="auto"/>
              </w:rPr>
            </w:pPr>
            <w:r>
              <w:rPr>
                <w:rFonts w:ascii="Arial" w:cs="Arial" w:eastAsia="Arial" w:hAnsi="Arial"/>
                <w:sz w:val="18"/>
                <w:szCs w:val="18"/>
                <w:b w:val="1"/>
                <w:bCs w:val="1"/>
                <w:color w:val="auto"/>
              </w:rPr>
              <w:t>POWER OF ATTORNEY</w:t>
            </w:r>
          </w:p>
        </w:tc>
        <w:tc>
          <w:tcPr>
            <w:tcW w:w="4000" w:type="dxa"/>
            <w:vAlign w:val="bottom"/>
          </w:tcPr>
          <w:p>
            <w:pPr>
              <w:spacing w:after="0"/>
              <w:rPr>
                <w:sz w:val="24"/>
                <w:szCs w:val="24"/>
                <w:color w:val="auto"/>
              </w:rPr>
            </w:pPr>
          </w:p>
        </w:tc>
      </w:tr>
    </w:tbl>
    <w:p>
      <w:pPr>
        <w:spacing w:after="0" w:line="200" w:lineRule="exact"/>
        <w:rPr>
          <w:sz w:val="20"/>
          <w:szCs w:val="20"/>
          <w:color w:val="auto"/>
        </w:rPr>
      </w:pPr>
    </w:p>
    <w:p>
      <w:pPr>
        <w:spacing w:after="0" w:line="32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Ron Kurtz, M.D. and Shelley Thunen as such individual’s true and lawful attorney in fact and agent with full power of substitution, for such individual in any and all capacities, to sign any and all amendments to this Annual Report on Form 10-K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289"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ind w:left="1520"/>
        <w:spacing w:after="0"/>
        <w:tabs>
          <w:tab w:leader="none" w:pos="5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5225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Ron Kurtz, M.D.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President and Chief Executive Officer and Director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Ron Kurtz, M.D.</w:t>
            </w:r>
          </w:p>
        </w:tc>
        <w:tc>
          <w:tcPr>
            <w:tcW w:w="4560" w:type="dxa"/>
            <w:vAlign w:val="bottom"/>
          </w:tcPr>
          <w:p>
            <w:pPr>
              <w:jc w:val="center"/>
              <w:ind w:left="830"/>
              <w:spacing w:after="0"/>
              <w:rPr>
                <w:sz w:val="20"/>
                <w:szCs w:val="20"/>
                <w:color w:val="auto"/>
              </w:rPr>
            </w:pPr>
            <w:r>
              <w:rPr>
                <w:rFonts w:ascii="Arial" w:cs="Arial" w:eastAsia="Arial" w:hAnsi="Arial"/>
                <w:sz w:val="18"/>
                <w:szCs w:val="18"/>
                <w:color w:val="auto"/>
                <w:w w:val="93"/>
              </w:rPr>
              <w:t>(Principal Executive Officer)</w:t>
            </w: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Shelley Thunen</w:t>
            </w:r>
          </w:p>
        </w:tc>
        <w:tc>
          <w:tcPr>
            <w:tcW w:w="4560" w:type="dxa"/>
            <w:vAlign w:val="bottom"/>
          </w:tcPr>
          <w:p>
            <w:pPr>
              <w:jc w:val="center"/>
              <w:ind w:left="83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Shelley Thunen</w:t>
            </w:r>
          </w:p>
        </w:tc>
        <w:tc>
          <w:tcPr>
            <w:tcW w:w="4560" w:type="dxa"/>
            <w:vAlign w:val="bottom"/>
          </w:tcPr>
          <w:p>
            <w:pPr>
              <w:jc w:val="center"/>
              <w:ind w:left="830"/>
              <w:spacing w:after="0"/>
              <w:rPr>
                <w:sz w:val="20"/>
                <w:szCs w:val="20"/>
                <w:color w:val="auto"/>
              </w:rPr>
            </w:pPr>
            <w:r>
              <w:rPr>
                <w:rFonts w:ascii="Arial" w:cs="Arial" w:eastAsia="Arial" w:hAnsi="Arial"/>
                <w:sz w:val="18"/>
                <w:szCs w:val="18"/>
                <w:color w:val="auto"/>
                <w:w w:val="93"/>
              </w:rPr>
              <w:t>(Principal Financial and Accounting Officer)</w:t>
            </w: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/s/ J. Andy Corley</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0"/>
              </w:rPr>
              <w:t>Chairman of the Board</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J. Andy Corley</w:t>
            </w:r>
          </w:p>
        </w:tc>
        <w:tc>
          <w:tcPr>
            <w:tcW w:w="4560" w:type="dxa"/>
            <w:vAlign w:val="bottom"/>
          </w:tcPr>
          <w:p>
            <w:pPr>
              <w:spacing w:after="0"/>
              <w:rPr>
                <w:sz w:val="20"/>
                <w:szCs w:val="20"/>
                <w:color w:val="auto"/>
              </w:rPr>
            </w:pP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William Link, Ph.D.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William Link, Ph.D.</w:t>
            </w:r>
          </w:p>
        </w:tc>
        <w:tc>
          <w:tcPr>
            <w:tcW w:w="4560" w:type="dxa"/>
            <w:vAlign w:val="bottom"/>
          </w:tcPr>
          <w:p>
            <w:pPr>
              <w:spacing w:after="0"/>
              <w:rPr>
                <w:sz w:val="20"/>
                <w:szCs w:val="20"/>
                <w:color w:val="auto"/>
              </w:rPr>
            </w:pP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0"/>
              </w:rPr>
              <w:t>/s/ Juliet Tammenoms Bakker</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Juliet Tammenoms Bakker</w:t>
            </w:r>
          </w:p>
        </w:tc>
        <w:tc>
          <w:tcPr>
            <w:tcW w:w="4560" w:type="dxa"/>
            <w:vAlign w:val="bottom"/>
          </w:tcPr>
          <w:p>
            <w:pPr>
              <w:spacing w:after="0"/>
              <w:rPr>
                <w:sz w:val="20"/>
                <w:szCs w:val="20"/>
                <w:color w:val="auto"/>
              </w:rPr>
            </w:pP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2"/>
              </w:rPr>
              <w:t>/s/ Julie Andrews</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Julie Andrews</w:t>
            </w:r>
          </w:p>
        </w:tc>
        <w:tc>
          <w:tcPr>
            <w:tcW w:w="4560" w:type="dxa"/>
            <w:vAlign w:val="bottom"/>
          </w:tcPr>
          <w:p>
            <w:pPr>
              <w:spacing w:after="0"/>
              <w:rPr>
                <w:sz w:val="20"/>
                <w:szCs w:val="20"/>
                <w:color w:val="auto"/>
              </w:rPr>
            </w:pPr>
          </w:p>
        </w:tc>
      </w:tr>
      <w:tr>
        <w:trPr>
          <w:trHeight w:val="51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Robert Palmisano</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30"/>
        </w:trPr>
        <w:tc>
          <w:tcPr>
            <w:tcW w:w="20" w:type="dxa"/>
            <w:vAlign w:val="bottom"/>
          </w:tcPr>
          <w:p>
            <w:pPr>
              <w:spacing w:after="0"/>
              <w:rPr>
                <w:sz w:val="20"/>
                <w:szCs w:val="20"/>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89"/>
              </w:rPr>
              <w:t>Robert Palmisano</w:t>
            </w:r>
          </w:p>
        </w:tc>
        <w:tc>
          <w:tcPr>
            <w:tcW w:w="456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0"/>
              </w:rPr>
              <w:t>/s/ Robert Warner</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Robert Warner</w:t>
            </w:r>
          </w:p>
        </w:tc>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6"/>
        </w:trPr>
        <w:tc>
          <w:tcPr>
            <w:tcW w:w="20" w:type="dxa"/>
            <w:vAlign w:val="bottom"/>
          </w:tcPr>
          <w:p>
            <w:pPr>
              <w:spacing w:after="0"/>
              <w:rPr>
                <w:sz w:val="24"/>
                <w:szCs w:val="24"/>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Shweta Singh Maniar</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Shweta Singh Maniar</w:t>
            </w:r>
          </w:p>
        </w:tc>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6"/>
        </w:trPr>
        <w:tc>
          <w:tcPr>
            <w:tcW w:w="20" w:type="dxa"/>
            <w:vAlign w:val="bottom"/>
          </w:tcPr>
          <w:p>
            <w:pPr>
              <w:spacing w:after="0"/>
              <w:rPr>
                <w:sz w:val="24"/>
                <w:szCs w:val="24"/>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1"/>
              </w:rPr>
              <w:t>/s/ Tamara R. Fountain, M.D.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Tamara R. Fountain, M.D.</w:t>
            </w:r>
          </w:p>
        </w:tc>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64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jc w:val="right"/>
              <w:ind w:right="2090"/>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15240</wp:posOffset>
            </wp:positionV>
            <wp:extent cx="15411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ectPr>
          <w:pgSz w:w="11900" w:h="16838" w:orient="portrait"/>
          <w:cols w:equalWidth="0" w:num="2">
            <w:col w:w="8780" w:space="720"/>
            <w:col w:w="1060"/>
          </w:cols>
          <w:pgMar w:left="320" w:top="575" w:right="101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10.18</w:t>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u w:val="single" w:color="auto"/>
          <w:color w:val="auto"/>
        </w:rPr>
        <w:t>Amendment # 2 to Sublease Agreement</w:t>
      </w:r>
    </w:p>
    <w:p>
      <w:pPr>
        <w:spacing w:after="0" w:line="162" w:lineRule="exact"/>
        <w:rPr>
          <w:sz w:val="20"/>
          <w:szCs w:val="20"/>
          <w:color w:val="auto"/>
        </w:rPr>
      </w:pPr>
    </w:p>
    <w:p>
      <w:pPr>
        <w:jc w:val="both"/>
        <w:ind w:right="380" w:firstLine="749"/>
        <w:spacing w:after="0" w:line="265" w:lineRule="auto"/>
        <w:rPr>
          <w:sz w:val="20"/>
          <w:szCs w:val="20"/>
          <w:color w:val="auto"/>
        </w:rPr>
      </w:pPr>
      <w:r>
        <w:rPr>
          <w:rFonts w:ascii="Arial" w:cs="Arial" w:eastAsia="Arial" w:hAnsi="Arial"/>
          <w:sz w:val="18"/>
          <w:szCs w:val="18"/>
          <w:b w:val="1"/>
          <w:bCs w:val="1"/>
          <w:color w:val="auto"/>
        </w:rPr>
        <w:t xml:space="preserve">THIS 2nd AMENDMENT TO SUBLEASE AGREEMENT </w:t>
      </w:r>
      <w:r>
        <w:rPr>
          <w:rFonts w:ascii="Arial" w:cs="Arial" w:eastAsia="Arial" w:hAnsi="Arial"/>
          <w:sz w:val="18"/>
          <w:szCs w:val="18"/>
          <w:color w:val="auto"/>
        </w:rPr>
        <w:t>(hereinafter referred to as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4, 2023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RxSight, Inc., a Delaware corporation (“</w:t>
      </w:r>
      <w:r>
        <w:rPr>
          <w:rFonts w:ascii="Arial" w:cs="Arial" w:eastAsia="Arial" w:hAnsi="Arial"/>
          <w:sz w:val="18"/>
          <w:szCs w:val="18"/>
          <w:b w:val="1"/>
          <w:bCs w:val="1"/>
          <w:color w:val="auto"/>
        </w:rPr>
        <w:t>RxSight</w:t>
      </w:r>
      <w:r>
        <w:rPr>
          <w:rFonts w:ascii="Arial" w:cs="Arial" w:eastAsia="Arial" w:hAnsi="Arial"/>
          <w:sz w:val="18"/>
          <w:szCs w:val="18"/>
          <w:color w:val="auto"/>
        </w:rPr>
        <w:t>”), and Compass Bible Church (“Sublessee”, and together with RxSight,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69" w:lineRule="exact"/>
        <w:rPr>
          <w:sz w:val="20"/>
          <w:szCs w:val="20"/>
          <w:color w:val="auto"/>
        </w:rPr>
      </w:pPr>
    </w:p>
    <w:p>
      <w:pPr>
        <w:ind w:right="500" w:firstLine="74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that certain Sublease Agreement dated effective as of April 4, 2022, as amended on June 1, 2022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Agreement in the manner reflected herein,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Agreement have approved the Amendment of the Agreement in the manner reflected herein,</w:t>
      </w:r>
    </w:p>
    <w:p>
      <w:pPr>
        <w:spacing w:after="0" w:line="117" w:lineRule="exact"/>
        <w:rPr>
          <w:sz w:val="20"/>
          <w:szCs w:val="20"/>
          <w:color w:val="auto"/>
        </w:rPr>
      </w:pPr>
    </w:p>
    <w:p>
      <w:pPr>
        <w:ind w:right="180" w:firstLine="749"/>
        <w:spacing w:after="0" w:line="28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and conditions herein, the Parties,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59" w:lineRule="exact"/>
        <w:rPr>
          <w:sz w:val="20"/>
          <w:szCs w:val="20"/>
          <w:color w:val="auto"/>
        </w:rPr>
      </w:pPr>
    </w:p>
    <w:p>
      <w:pPr>
        <w:ind w:left="760" w:hanging="378"/>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Beginning on March 1, 2023, the below sections of the Agreement are hereby amended as follows:</w:t>
      </w:r>
    </w:p>
    <w:p>
      <w:pPr>
        <w:spacing w:after="0" w:line="116" w:lineRule="exact"/>
        <w:rPr>
          <w:rFonts w:ascii="Arial" w:cs="Arial" w:eastAsia="Arial" w:hAnsi="Arial"/>
          <w:sz w:val="18"/>
          <w:szCs w:val="18"/>
          <w:color w:val="auto"/>
        </w:rPr>
      </w:pPr>
    </w:p>
    <w:p>
      <w:pPr>
        <w:ind w:left="1500" w:hanging="369"/>
        <w:spacing w:after="0"/>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Premises as described in Paragraph 1.2(a) shall consist of approximately 3,940 square feet.</w:t>
      </w:r>
    </w:p>
    <w:p>
      <w:pPr>
        <w:spacing w:after="0" w:line="116" w:lineRule="exact"/>
        <w:rPr>
          <w:rFonts w:ascii="Arial" w:cs="Arial" w:eastAsia="Arial" w:hAnsi="Arial"/>
          <w:sz w:val="18"/>
          <w:szCs w:val="18"/>
          <w:color w:val="auto"/>
        </w:rPr>
      </w:pPr>
    </w:p>
    <w:p>
      <w:pPr>
        <w:ind w:left="1500" w:hanging="369"/>
        <w:spacing w:after="0"/>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Base Rent in Paragraph 1.5 shall be $5,319 per month.</w:t>
      </w:r>
    </w:p>
    <w:p>
      <w:pPr>
        <w:spacing w:after="0" w:line="116" w:lineRule="exact"/>
        <w:rPr>
          <w:rFonts w:ascii="Arial" w:cs="Arial" w:eastAsia="Arial" w:hAnsi="Arial"/>
          <w:sz w:val="18"/>
          <w:szCs w:val="18"/>
          <w:color w:val="auto"/>
        </w:rPr>
      </w:pPr>
    </w:p>
    <w:p>
      <w:pPr>
        <w:ind w:left="1500" w:hanging="369"/>
        <w:spacing w:after="0" w:line="277"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Fixed Rental Adjustment(s) (FRA) in Paragraph 14 (III) for the Base Rent shall be increased to the following amounts on the dates set forth below:</w:t>
      </w:r>
    </w:p>
    <w:p>
      <w:pPr>
        <w:spacing w:after="0" w:line="61" w:lineRule="exact"/>
        <w:rPr>
          <w:rFonts w:ascii="Arial" w:cs="Arial" w:eastAsia="Arial" w:hAnsi="Arial"/>
          <w:sz w:val="18"/>
          <w:szCs w:val="18"/>
          <w:color w:val="auto"/>
        </w:rPr>
      </w:pPr>
    </w:p>
    <w:p>
      <w:pPr>
        <w:ind w:left="2260" w:hanging="186"/>
        <w:spacing w:after="0"/>
        <w:tabs>
          <w:tab w:leader="none" w:pos="22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April 1, 2023 – March 31, 2024   New Base Rent shall be: $6,213.78</w:t>
      </w:r>
    </w:p>
    <w:p>
      <w:pPr>
        <w:spacing w:after="0" w:line="116" w:lineRule="exact"/>
        <w:rPr>
          <w:rFonts w:ascii="Arial" w:cs="Arial" w:eastAsia="Arial" w:hAnsi="Arial"/>
          <w:sz w:val="18"/>
          <w:szCs w:val="18"/>
          <w:color w:val="auto"/>
        </w:rPr>
      </w:pPr>
    </w:p>
    <w:p>
      <w:pPr>
        <w:ind w:left="2260" w:hanging="186"/>
        <w:spacing w:after="0"/>
        <w:tabs>
          <w:tab w:leader="none" w:pos="22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April 1, 2024 – March 31, 2025   New Base Rent shall be: $6,462.34</w:t>
      </w:r>
    </w:p>
    <w:p>
      <w:pPr>
        <w:spacing w:after="0" w:line="116" w:lineRule="exact"/>
        <w:rPr>
          <w:rFonts w:ascii="Arial" w:cs="Arial" w:eastAsia="Arial" w:hAnsi="Arial"/>
          <w:sz w:val="18"/>
          <w:szCs w:val="18"/>
          <w:color w:val="auto"/>
        </w:rPr>
      </w:pPr>
    </w:p>
    <w:p>
      <w:pPr>
        <w:ind w:left="1500" w:right="120" w:hanging="369"/>
        <w:spacing w:after="0" w:line="341"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For Utilities in Paragraph 16, beginning on April 1, 2023, Sublessee shall pay Sublessor fifty percent (50%) of the difference of the energy utilities bill in excess of the following amounts each quarter: Q1 - $5,441.61; Q2 - $6,644.77; Q3 - $8,817.69; Q4 - $5,761.50.</w:t>
      </w:r>
    </w:p>
    <w:p>
      <w:pPr>
        <w:spacing w:after="0" w:line="16" w:lineRule="exact"/>
        <w:rPr>
          <w:rFonts w:ascii="Arial" w:cs="Arial" w:eastAsia="Arial" w:hAnsi="Arial"/>
          <w:sz w:val="16"/>
          <w:szCs w:val="16"/>
          <w:color w:val="auto"/>
        </w:rPr>
      </w:pPr>
    </w:p>
    <w:p>
      <w:pPr>
        <w:ind w:left="760" w:right="180" w:hanging="378"/>
        <w:spacing w:after="0" w:line="277"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Amendment may be executed in one or more facsimile, electronic, or original counterparts, each of which shall be deemed an original and both of which together shall constitute the same instrument.</w:t>
      </w:r>
    </w:p>
    <w:p>
      <w:pPr>
        <w:spacing w:after="0" w:line="61"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terms and provisions of the Agreement not amended hereby, either expressly or by necessary implication, shall remain in full force and effect. From and after the date of this Amendment, all references to the term “Agreement” in this Amendment or the original Agreement shall include the terms contained in this Amendment.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to the Agreement effective as of the Amendment Effective Date.</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RxSight, Inc.</w:t>
            </w:r>
          </w:p>
        </w:tc>
        <w:tc>
          <w:tcPr>
            <w:tcW w:w="336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Compass Bible Church</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9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2"/>
              </w:rPr>
              <w:t>/s/ Ron Kurtz</w:t>
            </w:r>
          </w:p>
        </w:tc>
        <w:tc>
          <w:tcPr>
            <w:tcW w:w="2280" w:type="dxa"/>
            <w:vAlign w:val="bottom"/>
          </w:tcPr>
          <w:p>
            <w:pPr>
              <w:ind w:left="20"/>
              <w:spacing w:after="0"/>
              <w:rPr>
                <w:sz w:val="20"/>
                <w:szCs w:val="20"/>
                <w:color w:val="auto"/>
              </w:rPr>
            </w:pPr>
            <w:r>
              <w:rPr>
                <w:rFonts w:ascii="Arial" w:cs="Arial" w:eastAsia="Arial" w:hAnsi="Arial"/>
                <w:sz w:val="18"/>
                <w:szCs w:val="18"/>
                <w:color w:val="auto"/>
              </w:rPr>
              <w:t>By:</w:t>
            </w:r>
          </w:p>
        </w:tc>
        <w:tc>
          <w:tcPr>
            <w:tcW w:w="3100" w:type="dxa"/>
            <w:vAlign w:val="bottom"/>
            <w:vMerge w:val="restart"/>
          </w:tcPr>
          <w:p>
            <w:pPr>
              <w:jc w:val="center"/>
              <w:spacing w:after="0"/>
              <w:rPr>
                <w:sz w:val="20"/>
                <w:szCs w:val="20"/>
                <w:color w:val="auto"/>
              </w:rPr>
            </w:pPr>
            <w:r>
              <w:rPr>
                <w:rFonts w:ascii="Arial" w:cs="Arial" w:eastAsia="Arial" w:hAnsi="Arial"/>
                <w:sz w:val="18"/>
                <w:szCs w:val="18"/>
                <w:color w:val="auto"/>
                <w:w w:val="90"/>
              </w:rPr>
              <w:t>/s/ Mike Fabarez</w:t>
            </w:r>
          </w:p>
        </w:tc>
        <w:tc>
          <w:tcPr>
            <w:tcW w:w="0" w:type="dxa"/>
            <w:vAlign w:val="bottom"/>
          </w:tcPr>
          <w:p>
            <w:pPr>
              <w:spacing w:after="0"/>
              <w:rPr>
                <w:sz w:val="1"/>
                <w:szCs w:val="1"/>
                <w:color w:val="auto"/>
              </w:rPr>
            </w:pPr>
          </w:p>
        </w:tc>
      </w:tr>
      <w:tr>
        <w:trPr>
          <w:trHeight w:val="99"/>
        </w:trPr>
        <w:tc>
          <w:tcPr>
            <w:tcW w:w="1900" w:type="dxa"/>
            <w:vAlign w:val="bottom"/>
            <w:vMerge w:val="continue"/>
          </w:tcPr>
          <w:p>
            <w:pPr>
              <w:spacing w:after="0"/>
              <w:rPr>
                <w:sz w:val="8"/>
                <w:szCs w:val="8"/>
                <w:color w:val="auto"/>
              </w:rPr>
            </w:pPr>
          </w:p>
        </w:tc>
        <w:tc>
          <w:tcPr>
            <w:tcW w:w="3360" w:type="dxa"/>
            <w:vAlign w:val="bottom"/>
            <w:tcBorders>
              <w:bottom w:val="single" w:sz="8" w:color="auto"/>
            </w:tcBorders>
            <w:vMerge w:val="continue"/>
          </w:tcPr>
          <w:p>
            <w:pPr>
              <w:spacing w:after="0"/>
              <w:rPr>
                <w:sz w:val="8"/>
                <w:szCs w:val="8"/>
                <w:color w:val="auto"/>
              </w:rPr>
            </w:pPr>
          </w:p>
        </w:tc>
        <w:tc>
          <w:tcPr>
            <w:tcW w:w="2280" w:type="dxa"/>
            <w:vAlign w:val="bottom"/>
          </w:tcPr>
          <w:p>
            <w:pPr>
              <w:spacing w:after="0"/>
              <w:rPr>
                <w:sz w:val="8"/>
                <w:szCs w:val="8"/>
                <w:color w:val="auto"/>
              </w:rPr>
            </w:pPr>
          </w:p>
        </w:tc>
        <w:tc>
          <w:tcPr>
            <w:tcW w:w="3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90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Ron Kurtz</w:t>
            </w:r>
          </w:p>
        </w:tc>
        <w:tc>
          <w:tcPr>
            <w:tcW w:w="2280" w:type="dxa"/>
            <w:vAlign w:val="bottom"/>
          </w:tcPr>
          <w:p>
            <w:pPr>
              <w:ind w:left="20"/>
              <w:spacing w:after="0"/>
              <w:rPr>
                <w:sz w:val="20"/>
                <w:szCs w:val="20"/>
                <w:color w:val="auto"/>
              </w:rPr>
            </w:pPr>
            <w:r>
              <w:rPr>
                <w:rFonts w:ascii="Arial" w:cs="Arial" w:eastAsia="Arial" w:hAnsi="Arial"/>
                <w:sz w:val="18"/>
                <w:szCs w:val="18"/>
                <w:color w:val="auto"/>
              </w:rPr>
              <w:t>Name:</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Mike Fabarez</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President and CEO</w:t>
            </w:r>
          </w:p>
        </w:tc>
        <w:tc>
          <w:tcPr>
            <w:tcW w:w="2280" w:type="dxa"/>
            <w:vAlign w:val="bottom"/>
          </w:tcPr>
          <w:p>
            <w:pPr>
              <w:ind w:left="20"/>
              <w:spacing w:after="0"/>
              <w:rPr>
                <w:sz w:val="20"/>
                <w:szCs w:val="20"/>
                <w:color w:val="auto"/>
              </w:rPr>
            </w:pPr>
            <w:r>
              <w:rPr>
                <w:rFonts w:ascii="Arial" w:cs="Arial" w:eastAsia="Arial" w:hAnsi="Arial"/>
                <w:sz w:val="18"/>
                <w:szCs w:val="18"/>
                <w:color w:val="auto"/>
              </w:rPr>
              <w:t>Title:</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President</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1/16/2023</w:t>
            </w:r>
          </w:p>
        </w:tc>
        <w:tc>
          <w:tcPr>
            <w:tcW w:w="2280" w:type="dxa"/>
            <w:vAlign w:val="bottom"/>
          </w:tcPr>
          <w:p>
            <w:pPr>
              <w:ind w:left="20"/>
              <w:spacing w:after="0"/>
              <w:rPr>
                <w:sz w:val="20"/>
                <w:szCs w:val="20"/>
                <w:color w:val="auto"/>
              </w:rPr>
            </w:pPr>
            <w:r>
              <w:rPr>
                <w:rFonts w:ascii="Arial" w:cs="Arial" w:eastAsia="Arial" w:hAnsi="Arial"/>
                <w:sz w:val="18"/>
                <w:szCs w:val="18"/>
                <w:color w:val="auto"/>
              </w:rPr>
              <w:t>Date:</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1/10/2023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10.35</w:t>
      </w:r>
    </w:p>
    <w:p>
      <w:pPr>
        <w:spacing w:after="0" w:line="81"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color w:val="auto"/>
        </w:rPr>
        <w:t>RxSIGHT, INC.</w:t>
      </w:r>
    </w:p>
    <w:p>
      <w:pPr>
        <w:spacing w:after="0" w:line="192"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color w:val="auto"/>
        </w:rPr>
        <w:t>EXECUTIVE INCENTIVE COMPENSATION PLAN</w:t>
      </w:r>
    </w:p>
    <w:p>
      <w:pPr>
        <w:spacing w:after="0" w:line="238" w:lineRule="exact"/>
        <w:rPr>
          <w:sz w:val="20"/>
          <w:szCs w:val="20"/>
          <w:color w:val="auto"/>
        </w:rPr>
      </w:pPr>
    </w:p>
    <w:p>
      <w:pPr>
        <w:ind w:left="7" w:right="340" w:firstLine="742"/>
        <w:spacing w:after="0" w:line="238" w:lineRule="auto"/>
        <w:tabs>
          <w:tab w:leader="none" w:pos="1497" w:val="left"/>
        </w:tabs>
        <w:numPr>
          <w:ilvl w:val="1"/>
          <w:numId w:val="84"/>
        </w:numPr>
        <w:rPr>
          <w:rFonts w:ascii="Arial" w:cs="Arial" w:eastAsia="Arial" w:hAnsi="Arial"/>
          <w:sz w:val="20"/>
          <w:szCs w:val="20"/>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Plan is intended to increase stockholder value and the success of the Company by motivating Executives to (a) perform to the best of their abilities and</w:t>
      </w:r>
    </w:p>
    <w:p>
      <w:pPr>
        <w:spacing w:after="0" w:line="1" w:lineRule="exact"/>
        <w:rPr>
          <w:rFonts w:ascii="Arial" w:cs="Arial" w:eastAsia="Arial" w:hAnsi="Arial"/>
          <w:sz w:val="20"/>
          <w:szCs w:val="20"/>
          <w:color w:val="auto"/>
        </w:rPr>
      </w:pPr>
    </w:p>
    <w:p>
      <w:pPr>
        <w:ind w:left="307" w:hanging="307"/>
        <w:spacing w:after="0"/>
        <w:tabs>
          <w:tab w:leader="none" w:pos="30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achieve the Company’s objectives.</w:t>
      </w:r>
    </w:p>
    <w:p>
      <w:pPr>
        <w:spacing w:after="0" w:line="228" w:lineRule="exact"/>
        <w:rPr>
          <w:sz w:val="20"/>
          <w:szCs w:val="20"/>
          <w:color w:val="auto"/>
        </w:rPr>
      </w:pPr>
    </w:p>
    <w:p>
      <w:pPr>
        <w:ind w:left="747" w:hanging="747"/>
        <w:spacing w:after="0"/>
        <w:tabs>
          <w:tab w:leader="none" w:pos="747" w:val="left"/>
        </w:tabs>
        <w:numPr>
          <w:ilvl w:val="0"/>
          <w:numId w:val="86"/>
        </w:numPr>
        <w:rPr>
          <w:rFonts w:ascii="Arial" w:cs="Arial" w:eastAsia="Arial" w:hAnsi="Arial"/>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6" w:lineRule="exact"/>
        <w:rPr>
          <w:sz w:val="20"/>
          <w:szCs w:val="20"/>
          <w:color w:val="auto"/>
        </w:rPr>
      </w:pPr>
    </w:p>
    <w:p>
      <w:pPr>
        <w:jc w:val="both"/>
        <w:ind w:left="7" w:right="120" w:firstLine="1498"/>
        <w:spacing w:after="0" w:line="25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1"/>
          <w:szCs w:val="21"/>
          <w:color w:val="auto"/>
        </w:rPr>
        <w:t>“</w:t>
      </w:r>
      <w:r>
        <w:rPr>
          <w:rFonts w:ascii="Arial" w:cs="Arial" w:eastAsia="Arial" w:hAnsi="Arial"/>
          <w:sz w:val="21"/>
          <w:szCs w:val="21"/>
          <w:u w:val="single" w:color="auto"/>
          <w:color w:val="auto"/>
        </w:rPr>
        <w:t>Actual Award</w:t>
      </w:r>
      <w:r>
        <w:rPr>
          <w:rFonts w:ascii="Arial" w:cs="Arial" w:eastAsia="Arial" w:hAnsi="Arial"/>
          <w:sz w:val="21"/>
          <w:szCs w:val="21"/>
          <w:color w:val="auto"/>
        </w:rPr>
        <w:t>” means as to any Performance Period, the actual award (if any) payable to a</w:t>
      </w:r>
      <w:r>
        <w:rPr>
          <w:rFonts w:ascii="Arial" w:cs="Arial" w:eastAsia="Arial" w:hAnsi="Arial"/>
          <w:sz w:val="20"/>
          <w:szCs w:val="20"/>
          <w:color w:val="auto"/>
        </w:rPr>
        <w:t xml:space="preserve"> </w:t>
      </w:r>
      <w:r>
        <w:rPr>
          <w:rFonts w:ascii="Arial" w:cs="Arial" w:eastAsia="Arial" w:hAnsi="Arial"/>
          <w:sz w:val="21"/>
          <w:szCs w:val="21"/>
          <w:color w:val="auto"/>
        </w:rPr>
        <w:t>Participant for the Performance Period, subject to the authority of the Administrator (as defined in Section 3) under Section 4.4.</w:t>
      </w:r>
    </w:p>
    <w:p>
      <w:pPr>
        <w:spacing w:after="0" w:line="195" w:lineRule="exact"/>
        <w:rPr>
          <w:sz w:val="20"/>
          <w:szCs w:val="20"/>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has the meaning ascribed to it under Section 3.1.</w:t>
      </w:r>
    </w:p>
    <w:p>
      <w:pPr>
        <w:spacing w:after="0" w:line="269" w:lineRule="exact"/>
        <w:rPr>
          <w:sz w:val="20"/>
          <w:szCs w:val="20"/>
          <w:color w:val="auto"/>
        </w:rPr>
      </w:pPr>
    </w:p>
    <w:p>
      <w:pPr>
        <w:jc w:val="both"/>
        <w:ind w:left="7" w:right="120" w:firstLine="1498"/>
        <w:spacing w:after="0" w:line="257"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corporation or other entity (including, but not limited to, partnerships and joint</w:t>
      </w:r>
      <w:r>
        <w:rPr>
          <w:rFonts w:ascii="Arial" w:cs="Arial" w:eastAsia="Arial" w:hAnsi="Arial"/>
          <w:sz w:val="20"/>
          <w:szCs w:val="20"/>
          <w:color w:val="auto"/>
        </w:rPr>
        <w:t xml:space="preserve"> </w:t>
      </w:r>
      <w:r>
        <w:rPr>
          <w:rFonts w:ascii="Arial" w:cs="Arial" w:eastAsia="Arial" w:hAnsi="Arial"/>
          <w:sz w:val="21"/>
          <w:szCs w:val="21"/>
          <w:color w:val="auto"/>
        </w:rPr>
        <w:t>ventures) that, from time to time and at the time of any determination, directly or indirectly, is in control of or is controlled by the Company.</w:t>
      </w:r>
    </w:p>
    <w:p>
      <w:pPr>
        <w:spacing w:after="0" w:line="209" w:lineRule="exact"/>
        <w:rPr>
          <w:sz w:val="20"/>
          <w:szCs w:val="20"/>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55" w:lineRule="exact"/>
        <w:rPr>
          <w:sz w:val="20"/>
          <w:szCs w:val="20"/>
          <w:color w:val="auto"/>
        </w:rPr>
      </w:pPr>
    </w:p>
    <w:p>
      <w:pPr>
        <w:jc w:val="both"/>
        <w:ind w:left="7" w:right="120" w:firstLine="1498"/>
        <w:spacing w:after="0" w:line="273"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1"/>
          <w:szCs w:val="21"/>
          <w:color w:val="auto"/>
        </w:rPr>
        <w:t>“</w:t>
      </w:r>
      <w:r>
        <w:rPr>
          <w:rFonts w:ascii="Arial" w:cs="Arial" w:eastAsia="Arial" w:hAnsi="Arial"/>
          <w:sz w:val="21"/>
          <w:szCs w:val="21"/>
          <w:u w:val="single" w:color="auto"/>
          <w:color w:val="auto"/>
        </w:rPr>
        <w:t>Bonus Pool</w:t>
      </w:r>
      <w:r>
        <w:rPr>
          <w:rFonts w:ascii="Arial" w:cs="Arial" w:eastAsia="Arial" w:hAnsi="Arial"/>
          <w:sz w:val="21"/>
          <w:szCs w:val="21"/>
          <w:color w:val="auto"/>
        </w:rPr>
        <w:t>” means the pool of funds available for distribution to Participants. Subject to the terms</w:t>
      </w:r>
      <w:r>
        <w:rPr>
          <w:rFonts w:ascii="Arial" w:cs="Arial" w:eastAsia="Arial" w:hAnsi="Arial"/>
          <w:sz w:val="20"/>
          <w:szCs w:val="20"/>
          <w:color w:val="auto"/>
        </w:rPr>
        <w:t xml:space="preserve"> </w:t>
      </w:r>
      <w:r>
        <w:rPr>
          <w:rFonts w:ascii="Arial" w:cs="Arial" w:eastAsia="Arial" w:hAnsi="Arial"/>
          <w:sz w:val="21"/>
          <w:szCs w:val="21"/>
          <w:color w:val="auto"/>
        </w:rPr>
        <w:t>of the Plan, the Administrator establishes the Bonus Pool for each Performance Period.</w:t>
      </w:r>
    </w:p>
    <w:p>
      <w:pPr>
        <w:spacing w:after="0" w:line="192" w:lineRule="exact"/>
        <w:rPr>
          <w:sz w:val="20"/>
          <w:szCs w:val="20"/>
          <w:color w:val="auto"/>
        </w:rPr>
      </w:pPr>
    </w:p>
    <w:p>
      <w:pPr>
        <w:jc w:val="both"/>
        <w:ind w:left="7" w:right="120" w:firstLine="1498"/>
        <w:spacing w:after="0" w:line="252"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Reference to a specific section</w:t>
      </w:r>
      <w:r>
        <w:rPr>
          <w:rFonts w:ascii="Arial" w:cs="Arial" w:eastAsia="Arial" w:hAnsi="Arial"/>
          <w:sz w:val="20"/>
          <w:szCs w:val="20"/>
          <w:color w:val="auto"/>
        </w:rPr>
        <w:t xml:space="preserve"> </w:t>
      </w:r>
      <w:r>
        <w:rPr>
          <w:rFonts w:ascii="Arial" w:cs="Arial" w:eastAsia="Arial" w:hAnsi="Arial"/>
          <w:sz w:val="21"/>
          <w:szCs w:val="21"/>
          <w:color w:val="auto"/>
        </w:rPr>
        <w:t>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213" w:lineRule="exact"/>
        <w:rPr>
          <w:sz w:val="20"/>
          <w:szCs w:val="20"/>
          <w:color w:val="auto"/>
        </w:rPr>
      </w:pPr>
    </w:p>
    <w:p>
      <w:pPr>
        <w:ind w:left="1507"/>
        <w:spacing w:after="0"/>
        <w:tabs>
          <w:tab w:leader="none" w:pos="2227"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appointed by the Board (pursuant to Section 3) to administer the</w:t>
      </w:r>
    </w:p>
    <w:p>
      <w:pPr>
        <w:spacing w:after="0" w:line="31" w:lineRule="exact"/>
        <w:rPr>
          <w:sz w:val="20"/>
          <w:szCs w:val="20"/>
          <w:color w:val="auto"/>
        </w:rPr>
      </w:pPr>
    </w:p>
    <w:p>
      <w:pPr>
        <w:ind w:left="7"/>
        <w:spacing w:after="0"/>
        <w:rPr>
          <w:sz w:val="20"/>
          <w:szCs w:val="20"/>
          <w:color w:val="auto"/>
        </w:rPr>
      </w:pPr>
      <w:r>
        <w:rPr>
          <w:rFonts w:ascii="Arial" w:cs="Arial" w:eastAsia="Arial" w:hAnsi="Arial"/>
          <w:sz w:val="22"/>
          <w:szCs w:val="22"/>
          <w:color w:val="auto"/>
        </w:rPr>
        <w:t>Plan.</w:t>
      </w:r>
    </w:p>
    <w:p>
      <w:pPr>
        <w:spacing w:after="0" w:line="214" w:lineRule="exact"/>
        <w:rPr>
          <w:sz w:val="20"/>
          <w:szCs w:val="20"/>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RxSight, Inc., a Delaware corporation, or any successor thereto.</w:t>
      </w:r>
    </w:p>
    <w:p>
      <w:pPr>
        <w:spacing w:after="0" w:line="215" w:lineRule="exact"/>
        <w:rPr>
          <w:sz w:val="20"/>
          <w:szCs w:val="20"/>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means the Company and any Parents, Subsidiaries, and Affiliates.</w:t>
      </w:r>
    </w:p>
    <w:p>
      <w:pPr>
        <w:spacing w:after="0" w:line="202" w:lineRule="exact"/>
        <w:rPr>
          <w:sz w:val="20"/>
          <w:szCs w:val="20"/>
          <w:color w:val="auto"/>
        </w:rPr>
      </w:pPr>
    </w:p>
    <w:p>
      <w:pPr>
        <w:ind w:left="747" w:right="340" w:hanging="748"/>
        <w:spacing w:after="0" w:line="250" w:lineRule="auto"/>
        <w:tabs>
          <w:tab w:leader="none" w:pos="727"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permanent and total disability determined in accordance with uniform and nondiscriminatory standards adopted by the Administrator from time to time.</w:t>
      </w:r>
    </w:p>
    <w:p>
      <w:pPr>
        <w:spacing w:after="0" w:line="161" w:lineRule="exact"/>
        <w:rPr>
          <w:sz w:val="20"/>
          <w:szCs w:val="20"/>
          <w:color w:val="auto"/>
        </w:rPr>
      </w:pPr>
    </w:p>
    <w:p>
      <w:pPr>
        <w:ind w:left="747" w:right="300" w:hanging="748"/>
        <w:spacing w:after="0" w:line="250" w:lineRule="auto"/>
        <w:tabs>
          <w:tab w:leader="none" w:pos="727"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22"/>
          <w:szCs w:val="22"/>
          <w:u w:val="single" w:color="auto"/>
          <w:color w:val="auto"/>
        </w:rPr>
        <w:t xml:space="preserve">“Executive” </w:t>
      </w:r>
      <w:r>
        <w:rPr>
          <w:rFonts w:ascii="Arial" w:cs="Arial" w:eastAsia="Arial" w:hAnsi="Arial"/>
          <w:sz w:val="22"/>
          <w:szCs w:val="22"/>
          <w:color w:val="auto"/>
        </w:rPr>
        <w:t>means any “officer” of any member of the Company Group as defined in Rule 16a-1(f) of the Securities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Exchange Act of 1934, as amended, whether such</w:t>
      </w:r>
    </w:p>
    <w:p>
      <w:pPr>
        <w:spacing w:after="0" w:line="152"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203200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16" w:right="339" w:bottom="1440" w:gutter="0" w:footer="0" w:header="0"/>
        </w:sectPr>
      </w:pPr>
    </w:p>
    <w:bookmarkStart w:id="145" w:name="page146"/>
    <w:bookmarkEnd w:id="145"/>
    <w:p>
      <w:pPr>
        <w:spacing w:after="0" w:line="229" w:lineRule="auto"/>
        <w:framePr w:w="420" w:h="176" w:wrap="auto" w:vAnchor="page" w:hAnchor="page" w:x="400" w:y="6625"/>
        <w:rPr>
          <w:rFonts w:ascii="Arial" w:cs="Arial" w:eastAsia="Arial" w:hAnsi="Arial"/>
          <w:sz w:val="16"/>
          <w:szCs w:val="16"/>
          <w:color w:val="auto"/>
        </w:rPr>
      </w:pPr>
      <w:r>
        <w:rPr>
          <w:rFonts w:ascii="Arial" w:cs="Arial" w:eastAsia="Arial" w:hAnsi="Arial"/>
          <w:sz w:val="16"/>
          <w:szCs w:val="16"/>
          <w:color w:val="auto"/>
        </w:rPr>
        <w:t>2.20</w:t>
      </w:r>
    </w:p>
    <w:p>
      <w:pPr>
        <w:ind w:left="7"/>
        <w:spacing w:after="0"/>
        <w:rPr>
          <w:sz w:val="20"/>
          <w:szCs w:val="20"/>
          <w:color w:val="auto"/>
        </w:rPr>
      </w:pPr>
      <w:r>
        <w:rPr>
          <w:rFonts w:ascii="Arial" w:cs="Arial" w:eastAsia="Arial" w:hAnsi="Arial"/>
          <w:sz w:val="20"/>
          <w:szCs w:val="20"/>
          <w:color w:val="auto"/>
        </w:rPr>
        <w:t>individual is so employed at the time the Plan is adopted or becomes so employed subsequent to the adoption of the Plan.</w:t>
      </w:r>
    </w:p>
    <w:p>
      <w:pPr>
        <w:spacing w:after="0" w:line="269" w:lineRule="exact"/>
        <w:rPr>
          <w:rFonts w:ascii="Arial" w:cs="Arial" w:eastAsia="Arial" w:hAnsi="Arial"/>
          <w:sz w:val="16"/>
          <w:szCs w:val="16"/>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 xml:space="preserve">“Fiscal Year” </w:t>
      </w:r>
      <w:r>
        <w:rPr>
          <w:rFonts w:ascii="Arial" w:cs="Arial" w:eastAsia="Arial" w:hAnsi="Arial"/>
          <w:sz w:val="19"/>
          <w:szCs w:val="19"/>
          <w:color w:val="auto"/>
        </w:rPr>
        <w:t>means the fiscal year of the Company.</w:t>
      </w:r>
    </w:p>
    <w:p>
      <w:pPr>
        <w:spacing w:after="0" w:line="202" w:lineRule="exact"/>
        <w:rPr>
          <w:rFonts w:ascii="Arial" w:cs="Arial" w:eastAsia="Arial" w:hAnsi="Arial"/>
          <w:sz w:val="16"/>
          <w:szCs w:val="16"/>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Code Section 424(e).</w:t>
      </w:r>
    </w:p>
    <w:p>
      <w:pPr>
        <w:spacing w:after="0" w:line="215" w:lineRule="exact"/>
        <w:rPr>
          <w:rFonts w:ascii="Arial" w:cs="Arial" w:eastAsia="Arial" w:hAnsi="Arial"/>
          <w:sz w:val="16"/>
          <w:szCs w:val="16"/>
          <w:color w:val="auto"/>
        </w:rPr>
      </w:pPr>
    </w:p>
    <w:p>
      <w:pPr>
        <w:ind w:left="747" w:right="320" w:hanging="748"/>
        <w:spacing w:after="0" w:line="297" w:lineRule="auto"/>
        <w:tabs>
          <w:tab w:leader="none" w:pos="727"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as to any Performance Period, an Executive who has been selected by the Administrator for participation in the Plan for that Performance Period and who has, if so requested by the Company or the employing member of the Company Group, signed an acknowledgement form in the form provided by the Company Group.</w:t>
      </w:r>
    </w:p>
    <w:p>
      <w:pPr>
        <w:spacing w:after="0" w:line="106" w:lineRule="exact"/>
        <w:rPr>
          <w:rFonts w:ascii="Arial" w:cs="Arial" w:eastAsia="Arial" w:hAnsi="Arial"/>
          <w:sz w:val="16"/>
          <w:szCs w:val="16"/>
          <w:color w:val="auto"/>
        </w:rPr>
      </w:pPr>
    </w:p>
    <w:p>
      <w:pPr>
        <w:ind w:left="747" w:right="160" w:hanging="748"/>
        <w:spacing w:after="0" w:line="268" w:lineRule="auto"/>
        <w:tabs>
          <w:tab w:leader="none" w:pos="727"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the period of time for the measurement of the performance criteria 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46" w:lineRule="exact"/>
        <w:rPr>
          <w:rFonts w:ascii="Arial" w:cs="Arial" w:eastAsia="Arial" w:hAnsi="Arial"/>
          <w:sz w:val="16"/>
          <w:szCs w:val="16"/>
          <w:color w:val="auto"/>
        </w:rPr>
      </w:pPr>
    </w:p>
    <w:p>
      <w:pPr>
        <w:ind w:left="747" w:right="740" w:hanging="748"/>
        <w:spacing w:after="0" w:line="250" w:lineRule="auto"/>
        <w:tabs>
          <w:tab w:leader="none" w:pos="727"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Executive Incentive Compensation Plan (including any appendix attached hereto), as may be amended from time to time.</w:t>
      </w:r>
    </w:p>
    <w:p>
      <w:pPr>
        <w:spacing w:after="0" w:line="147" w:lineRule="exact"/>
        <w:rPr>
          <w:rFonts w:ascii="Arial" w:cs="Arial" w:eastAsia="Arial" w:hAnsi="Arial"/>
          <w:sz w:val="16"/>
          <w:szCs w:val="16"/>
          <w:color w:val="auto"/>
        </w:rPr>
      </w:pPr>
    </w:p>
    <w:p>
      <w:pPr>
        <w:ind w:left="747" w:right="920" w:hanging="748"/>
        <w:spacing w:after="0" w:line="250" w:lineRule="auto"/>
        <w:tabs>
          <w:tab w:leader="none" w:pos="727"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and/or any state law equivalent as each may be amended or promulgated from time to time.</w:t>
      </w:r>
    </w:p>
    <w:p>
      <w:pPr>
        <w:spacing w:after="0" w:line="161" w:lineRule="exact"/>
        <w:rPr>
          <w:rFonts w:ascii="Arial" w:cs="Arial" w:eastAsia="Arial" w:hAnsi="Arial"/>
          <w:sz w:val="16"/>
          <w:szCs w:val="16"/>
          <w:color w:val="auto"/>
        </w:rPr>
      </w:pPr>
    </w:p>
    <w:p>
      <w:pPr>
        <w:ind w:left="747" w:hanging="748"/>
        <w:spacing w:after="0" w:line="250" w:lineRule="auto"/>
        <w:tabs>
          <w:tab w:leader="none" w:pos="727"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whether now or hereafter existing, as defined in Code Section 424(f), in relation to the Company.</w:t>
      </w:r>
    </w:p>
    <w:p>
      <w:pPr>
        <w:spacing w:after="0" w:line="147" w:lineRule="exact"/>
        <w:rPr>
          <w:rFonts w:ascii="Arial" w:cs="Arial" w:eastAsia="Arial" w:hAnsi="Arial"/>
          <w:sz w:val="16"/>
          <w:szCs w:val="16"/>
          <w:color w:val="auto"/>
        </w:rPr>
      </w:pPr>
    </w:p>
    <w:p>
      <w:pPr>
        <w:ind w:left="7"/>
        <w:spacing w:after="0"/>
        <w:tabs>
          <w:tab w:leader="none" w:pos="727"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Target Award</w:t>
      </w:r>
      <w:r>
        <w:rPr>
          <w:rFonts w:ascii="Arial" w:cs="Arial" w:eastAsia="Arial" w:hAnsi="Arial"/>
          <w:sz w:val="19"/>
          <w:szCs w:val="19"/>
          <w:color w:val="auto"/>
        </w:rPr>
        <w:t>” means the target award, at 100% of target level performance achievement, payable under the Plan to a</w:t>
      </w:r>
    </w:p>
    <w:p>
      <w:pPr>
        <w:spacing w:after="0" w:line="31" w:lineRule="exact"/>
        <w:rPr>
          <w:rFonts w:ascii="Arial" w:cs="Arial" w:eastAsia="Arial" w:hAnsi="Arial"/>
          <w:sz w:val="16"/>
          <w:szCs w:val="16"/>
          <w:color w:val="auto"/>
        </w:rPr>
      </w:pPr>
    </w:p>
    <w:p>
      <w:pPr>
        <w:ind w:left="747"/>
        <w:spacing w:after="0"/>
        <w:rPr>
          <w:sz w:val="20"/>
          <w:szCs w:val="20"/>
          <w:color w:val="auto"/>
        </w:rPr>
      </w:pPr>
      <w:r>
        <w:rPr>
          <w:rFonts w:ascii="Arial" w:cs="Arial" w:eastAsia="Arial" w:hAnsi="Arial"/>
          <w:sz w:val="22"/>
          <w:szCs w:val="22"/>
          <w:color w:val="auto"/>
        </w:rPr>
        <w:t>Participant for a Performance Period, as determined by the Administrator in accordance with Section 4.2.</w:t>
      </w:r>
    </w:p>
    <w:p>
      <w:pPr>
        <w:spacing w:after="0" w:line="174" w:lineRule="exact"/>
        <w:rPr>
          <w:rFonts w:ascii="Arial" w:cs="Arial" w:eastAsia="Arial" w:hAnsi="Arial"/>
          <w:sz w:val="16"/>
          <w:szCs w:val="16"/>
          <w:color w:val="auto"/>
        </w:rPr>
      </w:pPr>
    </w:p>
    <w:p>
      <w:pPr>
        <w:ind w:left="747" w:right="8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Withholdings</w:t>
      </w:r>
      <w:r>
        <w:rPr>
          <w:rFonts w:ascii="Arial" w:cs="Arial" w:eastAsia="Arial" w:hAnsi="Arial"/>
          <w:sz w:val="22"/>
          <w:szCs w:val="22"/>
          <w:color w:val="auto"/>
        </w:rPr>
        <w:t>” means tax, social insurance and social security liability or premium obligations in connection with the awards under the Plan, including without limitation:</w:t>
      </w:r>
    </w:p>
    <w:p>
      <w:pPr>
        <w:spacing w:after="0" w:line="2" w:lineRule="exact"/>
        <w:rPr>
          <w:rFonts w:ascii="Arial" w:cs="Arial" w:eastAsia="Arial" w:hAnsi="Arial"/>
          <w:sz w:val="16"/>
          <w:szCs w:val="16"/>
          <w:color w:val="auto"/>
        </w:rPr>
      </w:pPr>
    </w:p>
    <w:p>
      <w:pPr>
        <w:ind w:left="7" w:right="260" w:hanging="7"/>
        <w:spacing w:after="0" w:line="260" w:lineRule="auto"/>
        <w:tabs>
          <w:tab w:leader="none" w:pos="301"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193" w:lineRule="exact"/>
        <w:rPr>
          <w:rFonts w:ascii="Arial" w:cs="Arial" w:eastAsia="Arial" w:hAnsi="Arial"/>
          <w:sz w:val="16"/>
          <w:szCs w:val="16"/>
          <w:color w:val="auto"/>
        </w:rPr>
      </w:pPr>
    </w:p>
    <w:p>
      <w:pPr>
        <w:jc w:val="both"/>
        <w:ind w:left="7" w:right="100"/>
        <w:spacing w:after="0" w:line="244"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1"/>
          <w:szCs w:val="21"/>
          <w:color w:val="auto"/>
        </w:rPr>
        <w:t>“</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means a cessation of the employee- employer relationship between an Executive and</w:t>
      </w:r>
      <w:r>
        <w:rPr>
          <w:rFonts w:ascii="Arial" w:cs="Arial" w:eastAsia="Arial" w:hAnsi="Arial"/>
          <w:sz w:val="20"/>
          <w:szCs w:val="20"/>
          <w:color w:val="auto"/>
        </w:rPr>
        <w:t xml:space="preserve"> </w:t>
      </w:r>
      <w:r>
        <w:rPr>
          <w:rFonts w:ascii="Arial" w:cs="Arial" w:eastAsia="Arial" w:hAnsi="Arial"/>
          <w:sz w:val="21"/>
          <w:szCs w:val="21"/>
          <w:color w:val="auto"/>
        </w:rPr>
        <w:t>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4" w:lineRule="exact"/>
        <w:rPr>
          <w:rFonts w:ascii="Arial" w:cs="Arial" w:eastAsia="Arial" w:hAnsi="Arial"/>
          <w:sz w:val="16"/>
          <w:szCs w:val="16"/>
          <w:color w:val="auto"/>
        </w:rPr>
      </w:pPr>
    </w:p>
    <w:p>
      <w:pPr>
        <w:jc w:val="center"/>
        <w:ind w:right="-306"/>
        <w:spacing w:after="0"/>
        <w:rPr>
          <w:sz w:val="20"/>
          <w:szCs w:val="20"/>
          <w:color w:val="auto"/>
        </w:rPr>
      </w:pPr>
      <w:r>
        <w:rPr>
          <w:rFonts w:ascii="Arial" w:cs="Arial" w:eastAsia="Arial" w:hAnsi="Arial"/>
          <w:sz w:val="22"/>
          <w:szCs w:val="22"/>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-78740</wp:posOffset>
            </wp:positionH>
            <wp:positionV relativeFrom="paragraph">
              <wp:posOffset>188595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7"/>
          </w:cols>
          <w:pgMar w:left="433" w:top="401" w:right="359" w:bottom="1440" w:gutter="0" w:footer="0" w:header="0"/>
        </w:sectPr>
      </w:pPr>
    </w:p>
    <w:bookmarkStart w:id="146" w:name="page147"/>
    <w:bookmarkEnd w:id="146"/>
    <w:p>
      <w:pPr>
        <w:ind w:left="1500" w:hanging="758"/>
        <w:spacing w:after="0"/>
        <w:tabs>
          <w:tab w:leader="none" w:pos="1500"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1"/>
          <w:szCs w:val="21"/>
          <w:u w:val="single" w:color="auto"/>
          <w:color w:val="auto"/>
        </w:rPr>
        <w:t>Administrator</w:t>
      </w:r>
      <w:r>
        <w:rPr>
          <w:rFonts w:ascii="Arial" w:cs="Arial" w:eastAsia="Arial" w:hAnsi="Arial"/>
          <w:sz w:val="21"/>
          <w:szCs w:val="21"/>
          <w:color w:val="auto"/>
        </w:rPr>
        <w:t>. The Plan will be administered by the Board or a Committee (the “</w:t>
      </w:r>
      <w:r>
        <w:rPr>
          <w:rFonts w:ascii="Arial" w:cs="Arial" w:eastAsia="Arial" w:hAnsi="Arial"/>
          <w:sz w:val="21"/>
          <w:szCs w:val="21"/>
          <w:u w:val="single" w:color="auto"/>
          <w:color w:val="auto"/>
        </w:rPr>
        <w:t>Administrator</w:t>
      </w:r>
      <w:r>
        <w:rPr>
          <w:rFonts w:ascii="Arial" w:cs="Arial" w:eastAsia="Arial" w:hAnsi="Arial"/>
          <w:sz w:val="21"/>
          <w:szCs w:val="21"/>
          <w:color w:val="auto"/>
        </w:rPr>
        <w:t>”). The members of</w:t>
      </w:r>
      <w:r>
        <w:rPr>
          <w:rFonts w:ascii="Arial" w:cs="Arial" w:eastAsia="Arial" w:hAnsi="Arial"/>
          <w:sz w:val="20"/>
          <w:szCs w:val="20"/>
          <w:color w:val="auto"/>
        </w:rPr>
        <w:t xml:space="preserve"> </w:t>
      </w:r>
      <w:r>
        <w:rPr>
          <w:rFonts w:ascii="Arial" w:cs="Arial" w:eastAsia="Arial" w:hAnsi="Arial"/>
          <w:sz w:val="21"/>
          <w:szCs w:val="21"/>
          <w:color w:val="auto"/>
        </w:rPr>
        <w:t>any Committee will be appointed from time to time in a manner that satisfies applicable laws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Executives. Unless and until the Board otherwise determines, the Board’s Compensation Committee will administer the Plan.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1"/>
          <w:szCs w:val="21"/>
          <w:u w:val="single" w:color="auto"/>
          <w:color w:val="auto"/>
        </w:rPr>
        <w:t>Administrator Authority</w:t>
      </w:r>
      <w:r>
        <w:rPr>
          <w:rFonts w:ascii="Arial" w:cs="Arial" w:eastAsia="Arial" w:hAnsi="Arial"/>
          <w:sz w:val="21"/>
          <w:szCs w:val="21"/>
          <w:color w:val="auto"/>
        </w:rPr>
        <w:t>. It will be the duty of the Administrator to administer the Plan in accordance with the Plan’s</w:t>
      </w:r>
      <w:r>
        <w:rPr>
          <w:rFonts w:ascii="Arial" w:cs="Arial" w:eastAsia="Arial" w:hAnsi="Arial"/>
          <w:sz w:val="20"/>
          <w:szCs w:val="20"/>
          <w:color w:val="auto"/>
        </w:rPr>
        <w:t xml:space="preserve"> </w:t>
      </w:r>
      <w:r>
        <w:rPr>
          <w:rFonts w:ascii="Arial" w:cs="Arial" w:eastAsia="Arial" w:hAnsi="Arial"/>
          <w:sz w:val="21"/>
          <w:szCs w:val="21"/>
          <w:color w:val="auto"/>
        </w:rPr>
        <w:t>provisions and in accordance with applicable law. The Administrator will have all powers and discretion necessary or appropriate to administer the Plan and to control its operation, including, but not limited to, the power to (a) determine which Executives will be granted awards, (b) prescribe the terms and conditions of awards, (c) interpret the Plan and the awards, (d) adopt such procedures, appendices and sub-plans as are necessary or appropriate to permit participation in the Plan by Executives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1"/>
          <w:szCs w:val="21"/>
          <w:u w:val="single" w:color="auto"/>
          <w:color w:val="auto"/>
        </w:rPr>
        <w:t>Decisions Binding</w:t>
      </w:r>
      <w:r>
        <w:rPr>
          <w:rFonts w:ascii="Arial" w:cs="Arial" w:eastAsia="Arial" w:hAnsi="Arial"/>
          <w:sz w:val="21"/>
          <w:szCs w:val="21"/>
          <w:color w:val="auto"/>
        </w:rPr>
        <w:t>. All determinations and decisions made by the Administrator and/or any delegate of the</w:t>
      </w:r>
      <w:r>
        <w:rPr>
          <w:rFonts w:ascii="Arial" w:cs="Arial" w:eastAsia="Arial" w:hAnsi="Arial"/>
          <w:sz w:val="20"/>
          <w:szCs w:val="20"/>
          <w:color w:val="auto"/>
        </w:rPr>
        <w:t xml:space="preserve"> </w:t>
      </w:r>
      <w:r>
        <w:rPr>
          <w:rFonts w:ascii="Arial" w:cs="Arial" w:eastAsia="Arial" w:hAnsi="Arial"/>
          <w:sz w:val="21"/>
          <w:szCs w:val="21"/>
          <w:color w:val="auto"/>
        </w:rPr>
        <w:t>Administrator pursuant to the provisions of the Plan will be final, conclusive, and binding on all persons, and will be given the maximum deference permitted by law.</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1"/>
          <w:szCs w:val="21"/>
          <w:u w:val="single" w:color="auto"/>
          <w:color w:val="auto"/>
        </w:rPr>
        <w:t>Delegation by Administrator</w:t>
      </w:r>
      <w:r>
        <w:rPr>
          <w:rFonts w:ascii="Arial" w:cs="Arial" w:eastAsia="Arial" w:hAnsi="Arial"/>
          <w:sz w:val="21"/>
          <w:szCs w:val="21"/>
          <w:color w:val="auto"/>
        </w:rPr>
        <w:t>. The Administrator, on such terms and conditions as it may provide, may delegate all or</w:t>
      </w:r>
      <w:r>
        <w:rPr>
          <w:rFonts w:ascii="Arial" w:cs="Arial" w:eastAsia="Arial" w:hAnsi="Arial"/>
          <w:sz w:val="20"/>
          <w:szCs w:val="20"/>
          <w:color w:val="auto"/>
        </w:rPr>
        <w:t xml:space="preserve"> </w:t>
      </w:r>
      <w:r>
        <w:rPr>
          <w:rFonts w:ascii="Arial" w:cs="Arial" w:eastAsia="Arial" w:hAnsi="Arial"/>
          <w:sz w:val="21"/>
          <w:szCs w:val="21"/>
          <w:color w:val="auto"/>
        </w:rPr>
        <w:t>part of its authority and powers under the Plan to one or more directors and/or officers of the Company. Such delegation may be revoked at any time.</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9"/>
          <w:szCs w:val="19"/>
          <w:u w:val="single" w:color="auto"/>
          <w:color w:val="auto"/>
        </w:rPr>
        <w:t>Indemnification</w:t>
      </w:r>
      <w:r>
        <w:rPr>
          <w:rFonts w:ascii="Arial" w:cs="Arial" w:eastAsia="Arial" w:hAnsi="Arial"/>
          <w:sz w:val="19"/>
          <w:szCs w:val="19"/>
          <w:color w:val="auto"/>
        </w:rPr>
        <w:t>. Each person who is or will have been a member of the Administrator will be indemnified and held</w:t>
      </w:r>
      <w:r>
        <w:rPr>
          <w:rFonts w:ascii="Arial" w:cs="Arial" w:eastAsia="Arial" w:hAnsi="Arial"/>
          <w:sz w:val="18"/>
          <w:szCs w:val="18"/>
          <w:color w:val="auto"/>
        </w:rPr>
        <w:t xml:space="preserve"> </w:t>
      </w:r>
      <w:r>
        <w:rPr>
          <w:rFonts w:ascii="Arial" w:cs="Arial" w:eastAsia="Arial" w:hAnsi="Arial"/>
          <w:sz w:val="19"/>
          <w:szCs w:val="19"/>
          <w:color w:val="auto"/>
        </w:rPr>
        <w:t>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34" w:right="459" w:bottom="1440" w:gutter="0" w:footer="0" w:header="0"/>
        </w:sectPr>
      </w:pPr>
    </w:p>
    <w:bookmarkStart w:id="147" w:name="page148"/>
    <w:bookmarkEnd w:id="147"/>
    <w:p>
      <w:pPr>
        <w:ind w:left="1500" w:hanging="758"/>
        <w:spacing w:after="0"/>
        <w:tabs>
          <w:tab w:leader="none" w:pos="1500" w:val="left"/>
        </w:tabs>
        <w:numPr>
          <w:ilvl w:val="0"/>
          <w:numId w:val="89"/>
        </w:numPr>
        <w:rPr>
          <w:rFonts w:ascii="Arial" w:cs="Arial" w:eastAsia="Arial" w:hAnsi="Arial"/>
          <w:sz w:val="20"/>
          <w:szCs w:val="20"/>
          <w:color w:val="auto"/>
        </w:rPr>
      </w:pPr>
      <w:r>
        <w:rPr>
          <w:rFonts w:ascii="Arial" w:cs="Arial" w:eastAsia="Arial" w:hAnsi="Arial"/>
          <w:sz w:val="22"/>
          <w:szCs w:val="22"/>
          <w:u w:val="single" w:color="auto"/>
          <w:color w:val="auto"/>
        </w:rPr>
        <w:t>Selection of Participants and Determination of Awards</w:t>
      </w:r>
      <w:r>
        <w:rPr>
          <w:rFonts w:ascii="Arial" w:cs="Arial" w:eastAsia="Arial" w:hAnsi="Arial"/>
          <w:sz w:val="22"/>
          <w:szCs w:val="22"/>
          <w:color w:val="auto"/>
        </w:rPr>
        <w:t>.</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1"/>
          <w:szCs w:val="21"/>
          <w:u w:val="single" w:color="auto"/>
          <w:color w:val="auto"/>
        </w:rPr>
        <w:t>Selection of Participants</w:t>
      </w:r>
      <w:r>
        <w:rPr>
          <w:rFonts w:ascii="Arial" w:cs="Arial" w:eastAsia="Arial" w:hAnsi="Arial"/>
          <w:sz w:val="21"/>
          <w:szCs w:val="21"/>
          <w:color w:val="auto"/>
        </w:rPr>
        <w:t>. The Administrator will select the Executives who will be Participants for any Performance</w:t>
      </w:r>
      <w:r>
        <w:rPr>
          <w:rFonts w:ascii="Arial" w:cs="Arial" w:eastAsia="Arial" w:hAnsi="Arial"/>
          <w:sz w:val="20"/>
          <w:szCs w:val="20"/>
          <w:color w:val="auto"/>
        </w:rPr>
        <w:t xml:space="preserve"> </w:t>
      </w:r>
      <w:r>
        <w:rPr>
          <w:rFonts w:ascii="Arial" w:cs="Arial" w:eastAsia="Arial" w:hAnsi="Arial"/>
          <w:sz w:val="21"/>
          <w:szCs w:val="21"/>
          <w:color w:val="auto"/>
        </w:rPr>
        <w:t>Period. Participation in the Plan will be on a Performance Period by Performance Period basis. Accordingly, an Executive who is a Participant for a given Performance Period in no way is guaranteed or assured of being selected for participation in any subsequent Performance Period or Performance Periods. No Executive will have the right to be selected to receive an award under this Plan or, if so selected, to be selected to receive a future award.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1"/>
          <w:szCs w:val="21"/>
          <w:u w:val="single" w:color="auto"/>
          <w:color w:val="auto"/>
        </w:rPr>
        <w:t>Determination of Target Awards</w:t>
      </w:r>
      <w:r>
        <w:rPr>
          <w:rFonts w:ascii="Arial" w:cs="Arial" w:eastAsia="Arial" w:hAnsi="Arial"/>
          <w:sz w:val="21"/>
          <w:szCs w:val="21"/>
          <w:color w:val="auto"/>
        </w:rPr>
        <w:t>. The Administrator may establish a Target Award for each Participant (which may be</w:t>
      </w:r>
      <w:r>
        <w:rPr>
          <w:rFonts w:ascii="Arial" w:cs="Arial" w:eastAsia="Arial" w:hAnsi="Arial"/>
          <w:sz w:val="20"/>
          <w:szCs w:val="20"/>
          <w:color w:val="auto"/>
        </w:rPr>
        <w:t xml:space="preserve"> </w:t>
      </w:r>
      <w:r>
        <w:rPr>
          <w:rFonts w:ascii="Arial" w:cs="Arial" w:eastAsia="Arial" w:hAnsi="Arial"/>
          <w:sz w:val="21"/>
          <w:szCs w:val="21"/>
          <w:color w:val="auto"/>
        </w:rPr>
        <w:t>expressed as a percentage of a Participant’s average annual base salary for the Performance Period or a fixed dollar amount or such other amount or based on such other formula or factors as the Administrator determines).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1"/>
          <w:szCs w:val="21"/>
          <w:u w:val="single" w:color="auto"/>
          <w:color w:val="auto"/>
        </w:rPr>
        <w:t>Bonus Pool</w:t>
      </w:r>
      <w:r>
        <w:rPr>
          <w:rFonts w:ascii="Arial" w:cs="Arial" w:eastAsia="Arial" w:hAnsi="Arial"/>
          <w:sz w:val="21"/>
          <w:szCs w:val="21"/>
          <w:color w:val="auto"/>
        </w:rPr>
        <w:t>. Each Performance Period, the Administrator may establish a Bonus Pool, which pool may be established</w:t>
      </w:r>
      <w:r>
        <w:rPr>
          <w:rFonts w:ascii="Arial" w:cs="Arial" w:eastAsia="Arial" w:hAnsi="Arial"/>
          <w:sz w:val="20"/>
          <w:szCs w:val="20"/>
          <w:color w:val="auto"/>
        </w:rPr>
        <w:t xml:space="preserve"> </w:t>
      </w:r>
      <w:r>
        <w:rPr>
          <w:rFonts w:ascii="Arial" w:cs="Arial" w:eastAsia="Arial" w:hAnsi="Arial"/>
          <w:sz w:val="21"/>
          <w:szCs w:val="21"/>
          <w:color w:val="auto"/>
        </w:rPr>
        <w:t>before, during or after the applicable Performance Period. Actual Awards will be paid from the Bonus Pool, if a Bonus Pool has been established.</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1"/>
          <w:szCs w:val="21"/>
          <w:u w:val="single" w:color="auto"/>
          <w:color w:val="auto"/>
        </w:rPr>
        <w:t>Discretion to Modify Awards</w:t>
      </w:r>
      <w:r>
        <w:rPr>
          <w:rFonts w:ascii="Arial" w:cs="Arial" w:eastAsia="Arial" w:hAnsi="Arial"/>
          <w:sz w:val="21"/>
          <w:szCs w:val="21"/>
          <w:color w:val="auto"/>
        </w:rPr>
        <w:t>. Notwithstanding any contrary provision of the Plan, the Administrator, at any time prior</w:t>
      </w:r>
      <w:r>
        <w:rPr>
          <w:rFonts w:ascii="Arial" w:cs="Arial" w:eastAsia="Arial" w:hAnsi="Arial"/>
          <w:sz w:val="20"/>
          <w:szCs w:val="20"/>
          <w:color w:val="auto"/>
        </w:rPr>
        <w:t xml:space="preserve"> </w:t>
      </w:r>
      <w:r>
        <w:rPr>
          <w:rFonts w:ascii="Arial" w:cs="Arial" w:eastAsia="Arial" w:hAnsi="Arial"/>
          <w:sz w:val="21"/>
          <w:szCs w:val="21"/>
          <w:color w:val="auto"/>
        </w:rPr>
        <w:t>to payment of an Actual Award, may: (a) increase, reduce or eliminate a Participant’s Actual Award, and/or (b)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20"/>
          <w:szCs w:val="20"/>
          <w:u w:val="single" w:color="auto"/>
          <w:color w:val="auto"/>
        </w:rPr>
        <w:t>Discretion to Determine Criteria</w:t>
      </w:r>
      <w:r>
        <w:rPr>
          <w:rFonts w:ascii="Arial" w:cs="Arial" w:eastAsia="Arial" w:hAnsi="Arial"/>
          <w:sz w:val="20"/>
          <w:szCs w:val="20"/>
          <w:color w:val="auto"/>
        </w:rPr>
        <w:t>. Notwithstanding any contrary provision of the Plan, the Administrator will</w:t>
      </w:r>
      <w:r>
        <w:rPr>
          <w:rFonts w:ascii="Arial" w:cs="Arial" w:eastAsia="Arial" w:hAnsi="Arial"/>
          <w:sz w:val="19"/>
          <w:szCs w:val="19"/>
          <w:color w:val="auto"/>
        </w:rPr>
        <w:t xml:space="preserve"> </w:t>
      </w:r>
      <w:r>
        <w:rPr>
          <w:rFonts w:ascii="Arial" w:cs="Arial" w:eastAsia="Arial" w:hAnsi="Arial"/>
          <w:sz w:val="20"/>
          <w:szCs w:val="20"/>
          <w:color w:val="auto"/>
        </w:rPr>
        <w:t>determine the performance goals, if any, applicable to any Target Award (or portion thereof) which may include, without limitation, goals related to: attainment of research and development milestones; revenue; capital raising; cash flow; cash position;; corporate transactions; earnings per share; expenses; financial milestones; gross margin; growth in stockholder value; leadership development or succession planning; license or research collaboration arrangements; market share; net income (loss); new product or business development; new product invention or innovation; number of customers; operating cash flow; ; operating income (loss); operating margin (loss); overhead or other expense reductions; patents; product release timelines; regulatory milestones or regulatory-related goals; revenue growth; stock price; total stockholder return; working capital; and individual objectives such as peer reviews or other subjective or objective criteria. As determined by the Administrator, the performance goals may be based on U.S. generally accepted accounting principles (“</w:t>
      </w:r>
      <w:r>
        <w:rPr>
          <w:rFonts w:ascii="Arial" w:cs="Arial" w:eastAsia="Arial" w:hAnsi="Arial"/>
          <w:sz w:val="20"/>
          <w:szCs w:val="20"/>
          <w:u w:val="single" w:color="auto"/>
          <w:color w:val="auto"/>
        </w:rPr>
        <w:t>GAAP</w:t>
      </w:r>
      <w:r>
        <w:rPr>
          <w:rFonts w:ascii="Arial" w:cs="Arial" w:eastAsia="Arial" w:hAnsi="Arial"/>
          <w:sz w:val="20"/>
          <w:szCs w:val="20"/>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01" w:right="459" w:bottom="1440" w:gutter="0" w:footer="0" w:header="0"/>
        </w:sectPr>
      </w:pPr>
    </w:p>
    <w:bookmarkStart w:id="148" w:name="page149"/>
    <w:bookmarkEnd w:id="148"/>
    <w:p>
      <w:pPr>
        <w:jc w:val="both"/>
        <w:spacing w:after="0" w:line="260" w:lineRule="auto"/>
        <w:rPr>
          <w:sz w:val="20"/>
          <w:szCs w:val="20"/>
          <w:color w:val="auto"/>
        </w:rPr>
      </w:pPr>
      <w:r>
        <w:rPr>
          <w:rFonts w:ascii="Arial" w:cs="Arial" w:eastAsia="Arial" w:hAnsi="Arial"/>
          <w:sz w:val="20"/>
          <w:szCs w:val="20"/>
          <w:color w:val="auto"/>
        </w:rPr>
        <w:t>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 The Administrator also may determine that a Target Award (or portion thereof) will not have a performance goal associated with it but instead will be granted (if at all) as determined by the Administrator.</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1"/>
          <w:szCs w:val="21"/>
          <w:u w:val="single" w:color="auto"/>
          <w:color w:val="auto"/>
        </w:rPr>
        <w:t>Appendices and Sub-Plan</w:t>
      </w:r>
      <w:r>
        <w:rPr>
          <w:rFonts w:ascii="Arial" w:cs="Arial" w:eastAsia="Arial" w:hAnsi="Arial"/>
          <w:sz w:val="21"/>
          <w:szCs w:val="21"/>
          <w:color w:val="auto"/>
        </w:rPr>
        <w:t>. The Administrator may determine, at any time prior to payment of an Actual Award, that</w:t>
      </w:r>
      <w:r>
        <w:rPr>
          <w:rFonts w:ascii="Arial" w:cs="Arial" w:eastAsia="Arial" w:hAnsi="Arial"/>
          <w:sz w:val="20"/>
          <w:szCs w:val="20"/>
          <w:color w:val="auto"/>
        </w:rPr>
        <w:t xml:space="preserve"> </w:t>
      </w:r>
      <w:r>
        <w:rPr>
          <w:rFonts w:ascii="Arial" w:cs="Arial" w:eastAsia="Arial" w:hAnsi="Arial"/>
          <w:sz w:val="21"/>
          <w:szCs w:val="21"/>
          <w:color w:val="auto"/>
        </w:rPr>
        <w:t>any Target Award or Actual Award (or portion thereof) are subject to any special provisions set forth in a country-specific appendix (or portion thereof) or sub-plan made available to the Participant in connection with this Award Agreement (as may be amended and/or restated from time to time) (collectively, an “</w:t>
      </w:r>
      <w:r>
        <w:rPr>
          <w:rFonts w:ascii="Arial" w:cs="Arial" w:eastAsia="Arial" w:hAnsi="Arial"/>
          <w:sz w:val="21"/>
          <w:szCs w:val="21"/>
          <w:u w:val="single" w:color="auto"/>
          <w:color w:val="auto"/>
        </w:rPr>
        <w:t>Applicable Appendix</w:t>
      </w:r>
      <w:r>
        <w:rPr>
          <w:rFonts w:ascii="Arial" w:cs="Arial" w:eastAsia="Arial" w:hAnsi="Arial"/>
          <w:sz w:val="21"/>
          <w:szCs w:val="21"/>
          <w:color w:val="auto"/>
        </w:rPr>
        <w:t xml:space="preserve">”). If the Administrator determines that an Applicable Appendix applies, such terms and conditions supplement, amend and/or supersede the terms of this Plan,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terms or conditions shall be effective with respect to a Participant who is a U.S. taxpayer or otherwise subject to Section 409A unless such terms and conditions would result in the terms of a Target Award or Actual Award to such Participant remaining exempt or excepted from the requirements of Section 409A pursuant to the “short-term deferral” exception or another exception or exemption under Section 409A, or otherwise complying with Section 409A, in each case such that none of this Plan or Actual Awards provided under this Plan to such Participant will be subject to the additional tax imposed under Section 409A.</w:t>
      </w:r>
    </w:p>
    <w:p>
      <w:pPr>
        <w:spacing w:after="0" w:line="9" w:lineRule="exact"/>
        <w:rPr>
          <w:sz w:val="20"/>
          <w:szCs w:val="20"/>
          <w:color w:val="auto"/>
        </w:rPr>
      </w:pPr>
    </w:p>
    <w:p>
      <w:pPr>
        <w:ind w:left="1500" w:hanging="758"/>
        <w:spacing w:after="0"/>
        <w:tabs>
          <w:tab w:leader="none" w:pos="1500" w:val="left"/>
        </w:tabs>
        <w:numPr>
          <w:ilvl w:val="0"/>
          <w:numId w:val="90"/>
        </w:numPr>
        <w:rPr>
          <w:rFonts w:ascii="Arial" w:cs="Arial" w:eastAsia="Arial" w:hAnsi="Arial"/>
          <w:sz w:val="20"/>
          <w:szCs w:val="20"/>
          <w:color w:val="auto"/>
        </w:rPr>
      </w:pPr>
      <w:r>
        <w:rPr>
          <w:rFonts w:ascii="Arial" w:cs="Arial" w:eastAsia="Arial" w:hAnsi="Arial"/>
          <w:sz w:val="22"/>
          <w:szCs w:val="22"/>
          <w:u w:val="single" w:color="auto"/>
          <w:color w:val="auto"/>
        </w:rPr>
        <w:t>Payment of Awards</w:t>
      </w:r>
      <w:r>
        <w:rPr>
          <w:rFonts w:ascii="Arial" w:cs="Arial" w:eastAsia="Arial" w:hAnsi="Arial"/>
          <w:sz w:val="22"/>
          <w:szCs w:val="22"/>
          <w:color w:val="auto"/>
        </w:rPr>
        <w:t>.</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1"/>
          <w:szCs w:val="21"/>
          <w:u w:val="single" w:color="auto"/>
          <w:color w:val="auto"/>
        </w:rPr>
        <w:t>Right to Receive Payment</w:t>
      </w:r>
      <w:r>
        <w:rPr>
          <w:rFonts w:ascii="Arial" w:cs="Arial" w:eastAsia="Arial" w:hAnsi="Arial"/>
          <w:sz w:val="21"/>
          <w:szCs w:val="21"/>
          <w:color w:val="auto"/>
        </w:rPr>
        <w:t>. Each Actual Award will be paid solely from the general assets of the Company Group.</w:t>
      </w:r>
      <w:r>
        <w:rPr>
          <w:rFonts w:ascii="Arial" w:cs="Arial" w:eastAsia="Arial" w:hAnsi="Arial"/>
          <w:sz w:val="20"/>
          <w:szCs w:val="20"/>
          <w:color w:val="auto"/>
        </w:rPr>
        <w:t xml:space="preserve"> </w:t>
      </w:r>
      <w:r>
        <w:rPr>
          <w:rFonts w:ascii="Arial" w:cs="Arial" w:eastAsia="Arial" w:hAnsi="Arial"/>
          <w:sz w:val="21"/>
          <w:szCs w:val="21"/>
          <w:color w:val="auto"/>
        </w:rPr>
        <w:t>Nothing in this Plan will be construed to create a trust or to establish or evidence any Participant’s claim of any right other than as an unsecured general creditor with respect to any payment to which the Participant may be entitled.</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20"/>
          <w:szCs w:val="20"/>
          <w:u w:val="single" w:color="auto"/>
          <w:color w:val="auto"/>
        </w:rPr>
        <w:t>Timing of Payment</w:t>
      </w:r>
      <w:r>
        <w:rPr>
          <w:rFonts w:ascii="Arial" w:cs="Arial" w:eastAsia="Arial" w:hAnsi="Arial"/>
          <w:sz w:val="20"/>
          <w:szCs w:val="20"/>
          <w:color w:val="auto"/>
        </w:rPr>
        <w:t>. Payment of each Actual Award will be made as soon as practicable after the end of the</w:t>
      </w:r>
      <w:r>
        <w:rPr>
          <w:rFonts w:ascii="Arial" w:cs="Arial" w:eastAsia="Arial" w:hAnsi="Arial"/>
          <w:sz w:val="19"/>
          <w:szCs w:val="19"/>
          <w:color w:val="auto"/>
        </w:rPr>
        <w:t xml:space="preserve"> </w:t>
      </w:r>
      <w:r>
        <w:rPr>
          <w:rFonts w:ascii="Arial" w:cs="Arial" w:eastAsia="Arial" w:hAnsi="Arial"/>
          <w:sz w:val="20"/>
          <w:szCs w:val="20"/>
          <w:color w:val="auto"/>
        </w:rPr>
        <w:t>Performance Period to which the Actual Award relates and after the Actual Award is approved by the Administrator, but in no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event after the later of (a) the fifteenth (15</w:t>
      </w:r>
      <w:r>
        <w:rPr>
          <w:rFonts w:ascii="Arial" w:cs="Arial" w:eastAsia="Arial" w:hAnsi="Arial"/>
          <w:sz w:val="27"/>
          <w:szCs w:val="27"/>
          <w:color w:val="auto"/>
          <w:vertAlign w:val="superscript"/>
        </w:rPr>
        <w:t>th</w:t>
      </w:r>
      <w:r>
        <w:rPr>
          <w:rFonts w:ascii="Arial" w:cs="Arial" w:eastAsia="Arial" w:hAnsi="Arial"/>
          <w:sz w:val="21"/>
          <w:szCs w:val="21"/>
          <w:color w:val="auto"/>
        </w:rPr>
        <w:t>) day of the third (3</w:t>
      </w:r>
      <w:r>
        <w:rPr>
          <w:rFonts w:ascii="Arial" w:cs="Arial" w:eastAsia="Arial" w:hAnsi="Arial"/>
          <w:sz w:val="27"/>
          <w:szCs w:val="27"/>
          <w:color w:val="auto"/>
          <w:vertAlign w:val="superscript"/>
        </w:rPr>
        <w:t>rd</w:t>
      </w:r>
      <w:r>
        <w:rPr>
          <w:rFonts w:ascii="Arial" w:cs="Arial" w:eastAsia="Arial" w:hAnsi="Arial"/>
          <w:sz w:val="21"/>
          <w:szCs w:val="21"/>
          <w:color w:val="auto"/>
        </w:rPr>
        <w:t>) month of the Fiscal Year immediately following the Fiscal Year in which the Participant’s Actual Award first becomes no longer subject to a substantial risk of forfeiture, and (b)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1"/>
          <w:szCs w:val="21"/>
          <w:u w:val="single" w:color="auto"/>
          <w:color w:val="auto"/>
        </w:rPr>
        <w:t>Form of Payment</w:t>
      </w:r>
      <w:r>
        <w:rPr>
          <w:rFonts w:ascii="Arial" w:cs="Arial" w:eastAsia="Arial" w:hAnsi="Arial"/>
          <w:sz w:val="21"/>
          <w:szCs w:val="21"/>
          <w:color w:val="auto"/>
        </w:rPr>
        <w:t>. Subject to the terms of this Plan, including Section 6.1.2, each Actual Award generally will be paid</w:t>
      </w:r>
      <w:r>
        <w:rPr>
          <w:rFonts w:ascii="Arial" w:cs="Arial" w:eastAsia="Arial" w:hAnsi="Arial"/>
          <w:sz w:val="20"/>
          <w:szCs w:val="20"/>
          <w:color w:val="auto"/>
        </w:rPr>
        <w:t xml:space="preserve"> </w:t>
      </w:r>
      <w:r>
        <w:rPr>
          <w:rFonts w:ascii="Arial" w:cs="Arial" w:eastAsia="Arial" w:hAnsi="Arial"/>
          <w:sz w:val="21"/>
          <w:szCs w:val="21"/>
          <w:color w:val="auto"/>
        </w:rPr>
        <w:t>in cash (or its equivalent) in a single lump sum. The Administrator reserves the right to settle an Actual Award with a grant of an equity award with</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01" w:right="45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such terms and conditions, including any vesting requirements, as determined by the Administrator.</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1"/>
          <w:szCs w:val="21"/>
          <w:u w:val="single" w:color="auto"/>
          <w:color w:val="auto"/>
        </w:rPr>
        <w:t>Payment in the Event of Death or Disability</w:t>
      </w:r>
      <w:r>
        <w:rPr>
          <w:rFonts w:ascii="Arial" w:cs="Arial" w:eastAsia="Arial" w:hAnsi="Arial"/>
          <w:sz w:val="21"/>
          <w:szCs w:val="21"/>
          <w:color w:val="auto"/>
        </w:rPr>
        <w:t>. If a Termination of Employment occurs due to a Participant’s death or</w:t>
      </w:r>
      <w:r>
        <w:rPr>
          <w:rFonts w:ascii="Arial" w:cs="Arial" w:eastAsia="Arial" w:hAnsi="Arial"/>
          <w:sz w:val="20"/>
          <w:szCs w:val="20"/>
          <w:color w:val="auto"/>
        </w:rPr>
        <w:t xml:space="preserve"> </w:t>
      </w:r>
      <w:r>
        <w:rPr>
          <w:rFonts w:ascii="Arial" w:cs="Arial" w:eastAsia="Arial" w:hAnsi="Arial"/>
          <w:sz w:val="21"/>
          <w:szCs w:val="21"/>
          <w:color w:val="auto"/>
        </w:rPr>
        <w:t>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213" w:lineRule="exact"/>
        <w:rPr>
          <w:sz w:val="20"/>
          <w:szCs w:val="20"/>
          <w:color w:val="auto"/>
        </w:rPr>
      </w:pPr>
    </w:p>
    <w:p>
      <w:pPr>
        <w:ind w:left="3020" w:hanging="319"/>
        <w:spacing w:after="0"/>
        <w:tabs>
          <w:tab w:leader="none" w:pos="3020" w:val="left"/>
        </w:tabs>
        <w:numPr>
          <w:ilvl w:val="0"/>
          <w:numId w:val="91"/>
        </w:numPr>
        <w:rPr>
          <w:rFonts w:ascii="Arial" w:cs="Arial" w:eastAsia="Arial" w:hAnsi="Arial"/>
          <w:sz w:val="20"/>
          <w:szCs w:val="20"/>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4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 xml:space="preserve">6.1 </w:t>
      </w:r>
      <w:r>
        <w:rPr>
          <w:rFonts w:ascii="Arial" w:cs="Arial" w:eastAsia="Arial" w:hAnsi="Arial"/>
          <w:sz w:val="21"/>
          <w:szCs w:val="21"/>
          <w:u w:val="single" w:color="auto"/>
          <w:color w:val="auto"/>
        </w:rPr>
        <w:t>Tax Matters</w:t>
      </w:r>
      <w:r>
        <w:rPr>
          <w:rFonts w:ascii="Arial" w:cs="Arial" w:eastAsia="Arial" w:hAnsi="Arial"/>
          <w:sz w:val="21"/>
          <w:szCs w:val="21"/>
          <w:color w:val="auto"/>
        </w:rPr>
        <w:t>.</w:t>
      </w: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 that this Plan be exempt from or comply with the requirements of Section 409A so that</w:t>
      </w:r>
      <w:r>
        <w:rPr>
          <w:rFonts w:ascii="Arial" w:cs="Arial" w:eastAsia="Arial" w:hAnsi="Arial"/>
          <w:sz w:val="19"/>
          <w:szCs w:val="19"/>
          <w:color w:val="auto"/>
        </w:rPr>
        <w:t xml:space="preserve"> </w:t>
      </w:r>
      <w:r>
        <w:rPr>
          <w:rFonts w:ascii="Arial" w:cs="Arial" w:eastAsia="Arial" w:hAnsi="Arial"/>
          <w:sz w:val="20"/>
          <w:szCs w:val="20"/>
          <w:color w:val="auto"/>
        </w:rPr>
        <w:t>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Executive for any taxes, penalties or interest imposed, or other costs incurred, as a result of Section 409A.</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1"/>
          <w:szCs w:val="21"/>
          <w:u w:val="single" w:color="auto"/>
          <w:color w:val="auto"/>
        </w:rPr>
        <w:t>Tax Withholdings</w:t>
      </w:r>
      <w:r>
        <w:rPr>
          <w:rFonts w:ascii="Arial" w:cs="Arial" w:eastAsia="Arial" w:hAnsi="Arial"/>
          <w:sz w:val="21"/>
          <w:szCs w:val="21"/>
          <w:color w:val="auto"/>
        </w:rPr>
        <w:t>. The Company Group will have the right and authority to deduct from any Actual Award all</w:t>
      </w:r>
      <w:r>
        <w:rPr>
          <w:rFonts w:ascii="Arial" w:cs="Arial" w:eastAsia="Arial" w:hAnsi="Arial"/>
          <w:sz w:val="20"/>
          <w:szCs w:val="20"/>
          <w:color w:val="auto"/>
        </w:rPr>
        <w:t xml:space="preserve"> </w:t>
      </w:r>
      <w:r>
        <w:rPr>
          <w:rFonts w:ascii="Arial" w:cs="Arial" w:eastAsia="Arial" w:hAnsi="Arial"/>
          <w:sz w:val="21"/>
          <w:szCs w:val="21"/>
          <w:color w:val="auto"/>
        </w:rPr>
        <w:t>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u w:val="single" w:color="auto"/>
          <w:color w:val="auto"/>
        </w:rPr>
        <w:t>No Effect on Employment or Service</w:t>
      </w:r>
      <w:r>
        <w:rPr>
          <w:rFonts w:ascii="Arial" w:cs="Arial" w:eastAsia="Arial" w:hAnsi="Arial"/>
          <w:sz w:val="21"/>
          <w:szCs w:val="21"/>
          <w:color w:val="auto"/>
        </w:rPr>
        <w:t>. Neither the Plan nor any award under the Plan will confer upon a Participant</w:t>
      </w:r>
      <w:r>
        <w:rPr>
          <w:rFonts w:ascii="Arial" w:cs="Arial" w:eastAsia="Arial" w:hAnsi="Arial"/>
          <w:sz w:val="20"/>
          <w:szCs w:val="20"/>
          <w:color w:val="auto"/>
        </w:rPr>
        <w:t xml:space="preserve"> </w:t>
      </w:r>
      <w:r>
        <w:rPr>
          <w:rFonts w:ascii="Arial" w:cs="Arial" w:eastAsia="Arial" w:hAnsi="Arial"/>
          <w:sz w:val="21"/>
          <w:szCs w:val="21"/>
          <w:color w:val="auto"/>
        </w:rPr>
        <w:t>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99" w:lineRule="exact"/>
        <w:rPr>
          <w:sz w:val="20"/>
          <w:szCs w:val="20"/>
          <w:color w:val="auto"/>
        </w:rPr>
      </w:pPr>
    </w:p>
    <w:p>
      <w:pPr>
        <w:ind w:left="1500"/>
        <w:spacing w:after="0"/>
        <w:tabs>
          <w:tab w:leader="none" w:pos="21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Forfeiture Events</w:t>
      </w:r>
      <w:r>
        <w:rPr>
          <w:rFonts w:ascii="Arial" w:cs="Arial" w:eastAsia="Arial" w:hAnsi="Arial"/>
          <w:sz w:val="19"/>
          <w:szCs w:val="19"/>
          <w:color w:val="auto"/>
        </w:rPr>
        <w:t>.</w:t>
      </w:r>
    </w:p>
    <w:p>
      <w:pPr>
        <w:spacing w:after="0" w:line="269"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0"/>
          <w:szCs w:val="20"/>
          <w:color w:val="auto"/>
        </w:rPr>
        <w:t xml:space="preserve">6.3.1 </w:t>
      </w:r>
      <w:r>
        <w:rPr>
          <w:rFonts w:ascii="Arial" w:cs="Arial" w:eastAsia="Arial" w:hAnsi="Arial"/>
          <w:sz w:val="21"/>
          <w:szCs w:val="21"/>
          <w:u w:val="single" w:color="auto"/>
          <w:color w:val="auto"/>
        </w:rPr>
        <w:t>Clawback Policy; Applicable Laws</w:t>
      </w:r>
      <w:r>
        <w:rPr>
          <w:rFonts w:ascii="Arial" w:cs="Arial" w:eastAsia="Arial" w:hAnsi="Arial"/>
          <w:sz w:val="21"/>
          <w:szCs w:val="21"/>
          <w:color w:val="auto"/>
        </w:rPr>
        <w:t>. All awards under the Plan will be subject to reduction,</w:t>
      </w:r>
      <w:r>
        <w:rPr>
          <w:rFonts w:ascii="Arial" w:cs="Arial" w:eastAsia="Arial" w:hAnsi="Arial"/>
          <w:sz w:val="20"/>
          <w:szCs w:val="20"/>
          <w:color w:val="auto"/>
        </w:rPr>
        <w:t xml:space="preserve"> </w:t>
      </w:r>
      <w:r>
        <w:rPr>
          <w:rFonts w:ascii="Arial" w:cs="Arial" w:eastAsia="Arial" w:hAnsi="Arial"/>
          <w:sz w:val="21"/>
          <w:szCs w:val="21"/>
          <w:color w:val="auto"/>
        </w:rPr>
        <w:t>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Unless this Section 6.3.1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01" w:right="459" w:bottom="1440" w:gutter="0" w:footer="0" w:header="0"/>
        </w:sectPr>
      </w:pPr>
    </w:p>
    <w:bookmarkStart w:id="150" w:name="page151"/>
    <w:bookmarkEnd w:id="150"/>
    <w:p>
      <w:pPr>
        <w:jc w:val="both"/>
        <w:spacing w:after="0" w:line="247" w:lineRule="auto"/>
        <w:rPr>
          <w:sz w:val="20"/>
          <w:szCs w:val="20"/>
          <w:color w:val="auto"/>
        </w:rPr>
      </w:pPr>
      <w:r>
        <w:rPr>
          <w:rFonts w:ascii="Arial" w:cs="Arial" w:eastAsia="Arial" w:hAnsi="Arial"/>
          <w:sz w:val="20"/>
          <w:szCs w:val="20"/>
          <w:color w:val="auto"/>
        </w:rPr>
        <w:t xml:space="preserve">6.3.2 </w:t>
      </w:r>
      <w:r>
        <w:rPr>
          <w:rFonts w:ascii="Arial" w:cs="Arial" w:eastAsia="Arial" w:hAnsi="Arial"/>
          <w:sz w:val="21"/>
          <w:szCs w:val="21"/>
          <w:u w:val="single" w:color="auto"/>
          <w:color w:val="auto"/>
        </w:rPr>
        <w:t>Additional Forfeiture Terms</w:t>
      </w:r>
      <w:r>
        <w:rPr>
          <w:rFonts w:ascii="Arial" w:cs="Arial" w:eastAsia="Arial" w:hAnsi="Arial"/>
          <w:sz w:val="21"/>
          <w:szCs w:val="21"/>
          <w:color w:val="auto"/>
        </w:rPr>
        <w:t>. The Administrator may specify when providing for an award under the Plan that the</w:t>
      </w:r>
      <w:r>
        <w:rPr>
          <w:rFonts w:ascii="Arial" w:cs="Arial" w:eastAsia="Arial" w:hAnsi="Arial"/>
          <w:sz w:val="20"/>
          <w:szCs w:val="20"/>
          <w:color w:val="auto"/>
        </w:rPr>
        <w:t xml:space="preserve"> </w:t>
      </w:r>
      <w:r>
        <w:rPr>
          <w:rFonts w:ascii="Arial" w:cs="Arial" w:eastAsia="Arial" w:hAnsi="Arial"/>
          <w:sz w:val="21"/>
          <w:szCs w:val="21"/>
          <w:color w:val="auto"/>
        </w:rPr>
        <w:t>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6.3.3 </w:t>
      </w:r>
      <w:r>
        <w:rPr>
          <w:rFonts w:ascii="Arial" w:cs="Arial" w:eastAsia="Arial" w:hAnsi="Arial"/>
          <w:sz w:val="21"/>
          <w:szCs w:val="21"/>
          <w:u w:val="single" w:color="auto"/>
          <w:color w:val="auto"/>
        </w:rPr>
        <w:t>Accounting Restatements</w:t>
      </w:r>
      <w:r>
        <w:rPr>
          <w:rFonts w:ascii="Arial" w:cs="Arial" w:eastAsia="Arial" w:hAnsi="Arial"/>
          <w:sz w:val="21"/>
          <w:szCs w:val="21"/>
          <w:color w:val="auto"/>
        </w:rPr>
        <w:t>. If the Company is required to prepare an accounting restatement due to the material</w:t>
      </w:r>
      <w:r>
        <w:rPr>
          <w:rFonts w:ascii="Arial" w:cs="Arial" w:eastAsia="Arial" w:hAnsi="Arial"/>
          <w:sz w:val="20"/>
          <w:szCs w:val="20"/>
          <w:color w:val="auto"/>
        </w:rPr>
        <w:t xml:space="preserve"> </w:t>
      </w:r>
      <w:r>
        <w:rPr>
          <w:rFonts w:ascii="Arial" w:cs="Arial" w:eastAsia="Arial" w:hAnsi="Arial"/>
          <w:sz w:val="21"/>
          <w:szCs w:val="21"/>
          <w:color w:val="auto"/>
        </w:rPr>
        <w:t>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1"/>
          <w:szCs w:val="21"/>
          <w:u w:val="single" w:color="auto"/>
          <w:color w:val="auto"/>
        </w:rPr>
        <w:t>Successors</w:t>
      </w:r>
      <w:r>
        <w:rPr>
          <w:rFonts w:ascii="Arial" w:cs="Arial" w:eastAsia="Arial" w:hAnsi="Arial"/>
          <w:sz w:val="21"/>
          <w:szCs w:val="21"/>
          <w:color w:val="auto"/>
        </w:rPr>
        <w:t>. All obligations of the Company under the Plan, with respect to awards under the Plan, will be binding on</w:t>
      </w:r>
      <w:r>
        <w:rPr>
          <w:rFonts w:ascii="Arial" w:cs="Arial" w:eastAsia="Arial" w:hAnsi="Arial"/>
          <w:sz w:val="20"/>
          <w:szCs w:val="20"/>
          <w:color w:val="auto"/>
        </w:rPr>
        <w:t xml:space="preserve"> </w:t>
      </w:r>
      <w:r>
        <w:rPr>
          <w:rFonts w:ascii="Arial" w:cs="Arial" w:eastAsia="Arial" w:hAnsi="Arial"/>
          <w:sz w:val="21"/>
          <w:szCs w:val="21"/>
          <w:color w:val="auto"/>
        </w:rPr>
        <w:t>any successor to the Company, whether the existence of such successor is the result of a direct or indirect purchase, merger, consolidation, or otherwise, of all or substantially all of the business or assets of the Company.</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9"/>
          <w:szCs w:val="19"/>
          <w:u w:val="single" w:color="auto"/>
          <w:color w:val="auto"/>
        </w:rPr>
        <w:t>Nontransferability of Awards</w:t>
      </w:r>
      <w:r>
        <w:rPr>
          <w:rFonts w:ascii="Arial" w:cs="Arial" w:eastAsia="Arial" w:hAnsi="Arial"/>
          <w:sz w:val="19"/>
          <w:szCs w:val="19"/>
          <w:color w:val="auto"/>
        </w:rPr>
        <w:t>. No award under the Plan may be sold, transferred, pledged, assigned, or otherwise</w:t>
      </w:r>
      <w:r>
        <w:rPr>
          <w:rFonts w:ascii="Arial" w:cs="Arial" w:eastAsia="Arial" w:hAnsi="Arial"/>
          <w:sz w:val="18"/>
          <w:szCs w:val="18"/>
          <w:color w:val="auto"/>
        </w:rPr>
        <w:t xml:space="preserve"> </w:t>
      </w:r>
      <w:r>
        <w:rPr>
          <w:rFonts w:ascii="Arial" w:cs="Arial" w:eastAsia="Arial" w:hAnsi="Arial"/>
          <w:sz w:val="19"/>
          <w:szCs w:val="19"/>
          <w:color w:val="auto"/>
        </w:rPr>
        <w:t>alienated or hypothecated, other than by will or by the laws of descent and distribution, and except as provided in Section 5.3. All rights with respect to an award granted to a Participant will be available during his or her lifetime only to the Participant.</w:t>
      </w:r>
    </w:p>
    <w:p>
      <w:pPr>
        <w:spacing w:after="0" w:line="173" w:lineRule="exact"/>
        <w:rPr>
          <w:sz w:val="20"/>
          <w:szCs w:val="20"/>
          <w:color w:val="auto"/>
        </w:rPr>
      </w:pPr>
    </w:p>
    <w:p>
      <w:pPr>
        <w:ind w:left="1500" w:hanging="758"/>
        <w:spacing w:after="0"/>
        <w:tabs>
          <w:tab w:leader="none" w:pos="1500"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Amendment, Termination, and Duration</w:t>
      </w:r>
      <w:r>
        <w:rPr>
          <w:rFonts w:ascii="Arial" w:cs="Arial" w:eastAsia="Arial" w:hAnsi="Arial"/>
          <w:sz w:val="22"/>
          <w:szCs w:val="22"/>
          <w:color w:val="auto"/>
        </w:rPr>
        <w:t>.</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9"/>
          <w:szCs w:val="19"/>
          <w:u w:val="single" w:color="auto"/>
          <w:color w:val="auto"/>
        </w:rPr>
        <w:t>Amendment, Suspension, or Termination</w:t>
      </w:r>
      <w:r>
        <w:rPr>
          <w:rFonts w:ascii="Arial" w:cs="Arial" w:eastAsia="Arial" w:hAnsi="Arial"/>
          <w:sz w:val="19"/>
          <w:szCs w:val="19"/>
          <w:color w:val="auto"/>
        </w:rPr>
        <w:t>. The Administrator may amend or terminate the Plan, or any part thereof, at</w:t>
      </w:r>
      <w:r>
        <w:rPr>
          <w:rFonts w:ascii="Arial" w:cs="Arial" w:eastAsia="Arial" w:hAnsi="Arial"/>
          <w:sz w:val="18"/>
          <w:szCs w:val="18"/>
          <w:color w:val="auto"/>
        </w:rPr>
        <w:t xml:space="preserve"> </w:t>
      </w:r>
      <w:r>
        <w:rPr>
          <w:rFonts w:ascii="Arial" w:cs="Arial" w:eastAsia="Arial" w:hAnsi="Arial"/>
          <w:sz w:val="19"/>
          <w:szCs w:val="19"/>
          <w:color w:val="auto"/>
        </w:rPr>
        <w:t>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 Any payments under this Plan, including the method of calculating such payments, do not create any contractual or other acquired right to participate in a similar Plan, receive any similar payments (or benefits in lieu) or have the Participant’s payments calculated in a certain way in the future. The actual or anticipated value of any awards under the Plan will not be taken into account in assessing any other employment benefits or termination payments, including any payments in lieu of notice or severance, except as required by applicable law.</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Duration of Plan</w:t>
      </w:r>
      <w:r>
        <w:rPr>
          <w:rFonts w:ascii="Arial" w:cs="Arial" w:eastAsia="Arial" w:hAnsi="Arial"/>
          <w:sz w:val="21"/>
          <w:szCs w:val="21"/>
          <w:color w:val="auto"/>
        </w:rPr>
        <w:t>. The Plan will commence on the date first adopted by the Board or the Compensation Committee of</w:t>
      </w:r>
      <w:r>
        <w:rPr>
          <w:rFonts w:ascii="Arial" w:cs="Arial" w:eastAsia="Arial" w:hAnsi="Arial"/>
          <w:sz w:val="20"/>
          <w:szCs w:val="20"/>
          <w:color w:val="auto"/>
        </w:rPr>
        <w:t xml:space="preserve"> </w:t>
      </w:r>
      <w:r>
        <w:rPr>
          <w:rFonts w:ascii="Arial" w:cs="Arial" w:eastAsia="Arial" w:hAnsi="Arial"/>
          <w:sz w:val="21"/>
          <w:szCs w:val="21"/>
          <w:color w:val="auto"/>
        </w:rPr>
        <w:t>the Board, and subject to Section 7.1 (regarding the Administrator’s right to amend or terminate the Plan), will remain in effect thereafter until terminated.</w:t>
      </w: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01" w:right="459" w:bottom="1440" w:gutter="0" w:footer="0" w:header="0"/>
        </w:sectPr>
      </w:pPr>
    </w:p>
    <w:bookmarkStart w:id="151" w:name="page152"/>
    <w:bookmarkEnd w:id="151"/>
    <w:p>
      <w:pPr>
        <w:ind w:left="1507" w:hanging="758"/>
        <w:spacing w:after="0"/>
        <w:tabs>
          <w:tab w:leader="none" w:pos="1507" w:val="left"/>
        </w:tabs>
        <w:numPr>
          <w:ilvl w:val="0"/>
          <w:numId w:val="93"/>
        </w:numPr>
        <w:rPr>
          <w:rFonts w:ascii="Arial" w:cs="Arial" w:eastAsia="Arial" w:hAnsi="Arial"/>
          <w:sz w:val="20"/>
          <w:szCs w:val="20"/>
          <w:color w:val="auto"/>
        </w:rPr>
      </w:pPr>
      <w:r>
        <w:rPr>
          <w:rFonts w:ascii="Arial" w:cs="Arial" w:eastAsia="Arial" w:hAnsi="Arial"/>
          <w:sz w:val="22"/>
          <w:szCs w:val="22"/>
          <w:u w:val="single" w:color="auto"/>
          <w:color w:val="auto"/>
        </w:rPr>
        <w:t>Legal Construction</w:t>
      </w:r>
      <w:r>
        <w:rPr>
          <w:rFonts w:ascii="Arial" w:cs="Arial" w:eastAsia="Arial" w:hAnsi="Arial"/>
          <w:sz w:val="22"/>
          <w:szCs w:val="22"/>
          <w:color w:val="auto"/>
        </w:rPr>
        <w:t>.</w:t>
      </w:r>
    </w:p>
    <w:p>
      <w:pPr>
        <w:spacing w:after="0" w:line="246" w:lineRule="exact"/>
        <w:rPr>
          <w:sz w:val="20"/>
          <w:szCs w:val="20"/>
          <w:color w:val="auto"/>
        </w:rPr>
      </w:pPr>
    </w:p>
    <w:p>
      <w:pPr>
        <w:jc w:val="both"/>
        <w:ind w:left="7"/>
        <w:spacing w:after="0" w:line="257"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1"/>
          <w:szCs w:val="21"/>
          <w:u w:val="single" w:color="auto"/>
          <w:color w:val="auto"/>
        </w:rPr>
        <w:t>Gender and Number</w:t>
      </w:r>
      <w:r>
        <w:rPr>
          <w:rFonts w:ascii="Arial" w:cs="Arial" w:eastAsia="Arial" w:hAnsi="Arial"/>
          <w:sz w:val="21"/>
          <w:szCs w:val="21"/>
          <w:color w:val="auto"/>
        </w:rPr>
        <w:t>. Unless otherwise indicated by the context, any feminine term used herein also will include the</w:t>
      </w:r>
      <w:r>
        <w:rPr>
          <w:rFonts w:ascii="Arial" w:cs="Arial" w:eastAsia="Arial" w:hAnsi="Arial"/>
          <w:sz w:val="20"/>
          <w:szCs w:val="20"/>
          <w:color w:val="auto"/>
        </w:rPr>
        <w:t xml:space="preserve"> </w:t>
      </w:r>
      <w:r>
        <w:rPr>
          <w:rFonts w:ascii="Arial" w:cs="Arial" w:eastAsia="Arial" w:hAnsi="Arial"/>
          <w:sz w:val="21"/>
          <w:szCs w:val="21"/>
          <w:color w:val="auto"/>
        </w:rPr>
        <w:t>masculine and any masculine term used herein also will include the feminine; the plural will include the singular and the singular will include the plural.</w:t>
      </w:r>
    </w:p>
    <w:p>
      <w:pPr>
        <w:spacing w:after="0" w:line="168" w:lineRule="exact"/>
        <w:rPr>
          <w:sz w:val="20"/>
          <w:szCs w:val="20"/>
          <w:color w:val="auto"/>
        </w:rPr>
      </w:pPr>
    </w:p>
    <w:p>
      <w:pPr>
        <w:jc w:val="both"/>
        <w:ind w:left="7"/>
        <w:spacing w:after="0" w:line="252"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or becomes or is deemed to be invalid, illegal, or unenforceable for any</w:t>
      </w:r>
      <w:r>
        <w:rPr>
          <w:rFonts w:ascii="Arial" w:cs="Arial" w:eastAsia="Arial" w:hAnsi="Arial"/>
          <w:sz w:val="20"/>
          <w:szCs w:val="20"/>
          <w:color w:val="auto"/>
        </w:rPr>
        <w:t xml:space="preserve"> </w:t>
      </w:r>
      <w:r>
        <w:rPr>
          <w:rFonts w:ascii="Arial" w:cs="Arial" w:eastAsia="Arial" w:hAnsi="Arial"/>
          <w:sz w:val="21"/>
          <w:szCs w:val="21"/>
          <w:color w:val="auto"/>
        </w:rPr>
        <w:t>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72" w:lineRule="exact"/>
        <w:rPr>
          <w:sz w:val="20"/>
          <w:szCs w:val="20"/>
          <w:color w:val="auto"/>
        </w:rPr>
      </w:pPr>
    </w:p>
    <w:p>
      <w:pPr>
        <w:jc w:val="both"/>
        <w:ind w:left="7"/>
        <w:spacing w:after="0" w:line="27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9"/>
          <w:szCs w:val="19"/>
          <w:u w:val="single" w:color="auto"/>
          <w:color w:val="auto"/>
        </w:rPr>
        <w:t>Governing Law</w:t>
      </w:r>
      <w:r>
        <w:rPr>
          <w:rFonts w:ascii="Arial" w:cs="Arial" w:eastAsia="Arial" w:hAnsi="Arial"/>
          <w:sz w:val="19"/>
          <w:szCs w:val="19"/>
          <w:color w:val="auto"/>
        </w:rPr>
        <w:t>. The Plan and all awards and all determinations made and actions taken under the Plan will be</w:t>
      </w:r>
      <w:r>
        <w:rPr>
          <w:rFonts w:ascii="Arial" w:cs="Arial" w:eastAsia="Arial" w:hAnsi="Arial"/>
          <w:sz w:val="18"/>
          <w:szCs w:val="18"/>
          <w:color w:val="auto"/>
        </w:rPr>
        <w:t xml:space="preserve"> </w:t>
      </w:r>
      <w:r>
        <w:rPr>
          <w:rFonts w:ascii="Arial" w:cs="Arial" w:eastAsia="Arial" w:hAnsi="Arial"/>
          <w:sz w:val="19"/>
          <w:szCs w:val="19"/>
          <w:color w:val="auto"/>
        </w:rPr>
        <w:t>construed in accordance with and governed by the laws of the State of California, but without regard to its conflict of law provisions. For purposes of litigating any dispute that arises under this Plan, a Participant’s acceptance of an award is his or her consent to the jurisdiction of the State of California resides, and agreement that any such litigation will be conducted in Orange County, California, or the federal courts for the United States for the Southern District of California, and no other courts, regardless of where a Participant’s services are performed. Notwithstanding the foregoing, an Applicable Appendix may provide that, with respect to the Participant, the Plan and one or more awards and determinations actions taken under the Plan will be construed in accordance with and governed by, the country where the Participant permanently resides or, to the fullest extent permitted by applicable law, such other jurisdiction as the Applicable Appendix may provide, and may provide for consent to jurisdiction, and agreement that litigation will be conducted in, the country where the Participant permanently resides or, to the fullest extent permitted by applicable law, such other jurisdiction as the Applicable Appendix may provide.</w:t>
      </w:r>
    </w:p>
    <w:p>
      <w:pPr>
        <w:spacing w:after="0" w:line="27" w:lineRule="exact"/>
        <w:rPr>
          <w:sz w:val="20"/>
          <w:szCs w:val="20"/>
          <w:color w:val="auto"/>
        </w:rPr>
      </w:pPr>
    </w:p>
    <w:p>
      <w:pPr>
        <w:ind w:left="7"/>
        <w:spacing w:after="0"/>
        <w:tabs>
          <w:tab w:leader="none" w:pos="727"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u w:val="single" w:color="auto"/>
          <w:color w:val="auto"/>
        </w:rPr>
        <w:t>Bonus Plan</w:t>
      </w:r>
      <w:r>
        <w:rPr>
          <w:rFonts w:ascii="Arial" w:cs="Arial" w:eastAsia="Arial" w:hAnsi="Arial"/>
          <w:sz w:val="19"/>
          <w:szCs w:val="19"/>
          <w:color w:val="auto"/>
        </w:rPr>
        <w:t>. The Plan is intended to be a “bonus program” as defined under</w:t>
      </w:r>
    </w:p>
    <w:p>
      <w:pPr>
        <w:spacing w:after="0" w:line="31" w:lineRule="exact"/>
        <w:rPr>
          <w:sz w:val="20"/>
          <w:szCs w:val="20"/>
          <w:color w:val="auto"/>
        </w:rPr>
      </w:pPr>
    </w:p>
    <w:p>
      <w:pPr>
        <w:ind w:left="7" w:right="440"/>
        <w:spacing w:after="0" w:line="236" w:lineRule="auto"/>
        <w:rPr>
          <w:sz w:val="20"/>
          <w:szCs w:val="20"/>
          <w:color w:val="auto"/>
        </w:rPr>
      </w:pPr>
      <w:r>
        <w:rPr>
          <w:rFonts w:ascii="Arial" w:cs="Arial" w:eastAsia="Arial" w:hAnsi="Arial"/>
          <w:sz w:val="22"/>
          <w:szCs w:val="22"/>
          <w:color w:val="auto"/>
        </w:rPr>
        <w:t>U.S. Department of Labor regulations section 2510.3-2(c) and will be construed and administered in accordance with such intention.</w:t>
      </w:r>
    </w:p>
    <w:p>
      <w:pPr>
        <w:spacing w:after="0" w:line="226" w:lineRule="exact"/>
        <w:rPr>
          <w:sz w:val="20"/>
          <w:szCs w:val="20"/>
          <w:color w:val="auto"/>
        </w:rPr>
      </w:pPr>
    </w:p>
    <w:p>
      <w:pPr>
        <w:jc w:val="both"/>
        <w:ind w:left="7"/>
        <w:spacing w:after="0" w:line="273"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1"/>
          <w:szCs w:val="21"/>
          <w:u w:val="single" w:color="auto"/>
          <w:color w:val="auto"/>
        </w:rPr>
        <w:t>Headings</w:t>
      </w:r>
      <w:r>
        <w:rPr>
          <w:rFonts w:ascii="Arial" w:cs="Arial" w:eastAsia="Arial" w:hAnsi="Arial"/>
          <w:sz w:val="21"/>
          <w:szCs w:val="21"/>
          <w:color w:val="auto"/>
        </w:rPr>
        <w:t>. Headings are provided herein for convenience only, and will not serve as a basis for interpretation or</w:t>
      </w:r>
      <w:r>
        <w:rPr>
          <w:rFonts w:ascii="Arial" w:cs="Arial" w:eastAsia="Arial" w:hAnsi="Arial"/>
          <w:sz w:val="20"/>
          <w:szCs w:val="20"/>
          <w:color w:val="auto"/>
        </w:rPr>
        <w:t xml:space="preserve"> </w:t>
      </w:r>
      <w:r>
        <w:rPr>
          <w:rFonts w:ascii="Arial" w:cs="Arial" w:eastAsia="Arial" w:hAnsi="Arial"/>
          <w:sz w:val="21"/>
          <w:szCs w:val="21"/>
          <w:color w:val="auto"/>
        </w:rPr>
        <w:t>construction of the Plan.</w:t>
      </w:r>
    </w:p>
    <w:p>
      <w:pPr>
        <w:spacing w:after="0" w:line="179" w:lineRule="exact"/>
        <w:rPr>
          <w:sz w:val="20"/>
          <w:szCs w:val="20"/>
          <w:color w:val="auto"/>
        </w:rPr>
      </w:pPr>
    </w:p>
    <w:p>
      <w:pPr>
        <w:jc w:val="both"/>
        <w:ind w:left="7"/>
        <w:spacing w:after="0" w:line="276" w:lineRule="auto"/>
        <w:rPr>
          <w:sz w:val="20"/>
          <w:szCs w:val="20"/>
          <w:color w:val="auto"/>
        </w:rPr>
      </w:pPr>
      <w:r>
        <w:rPr>
          <w:rFonts w:ascii="Arial" w:cs="Arial" w:eastAsia="Arial" w:hAnsi="Arial"/>
          <w:sz w:val="19"/>
          <w:szCs w:val="19"/>
          <w:color w:val="auto"/>
        </w:rPr>
        <w:t xml:space="preserve">8.6 </w:t>
      </w: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one or more of the provisions contained in the Plan shall for any reason be held to be invalid,</w:t>
      </w:r>
      <w:r>
        <w:rPr>
          <w:rFonts w:ascii="Arial" w:cs="Arial" w:eastAsia="Arial" w:hAnsi="Arial"/>
          <w:sz w:val="19"/>
          <w:szCs w:val="19"/>
          <w:color w:val="auto"/>
        </w:rPr>
        <w:t xml:space="preserve"> </w:t>
      </w:r>
      <w:r>
        <w:rPr>
          <w:rFonts w:ascii="Arial" w:cs="Arial" w:eastAsia="Arial" w:hAnsi="Arial"/>
          <w:sz w:val="20"/>
          <w:szCs w:val="20"/>
          <w:color w:val="auto"/>
        </w:rPr>
        <w:t>illegal or unenforceable in any respect, such invalidity, illegality or unenforceability shall not affect any other provision of the Plan, but the Plan shall be construed as if such invalid, illegal or unenforceable provisions had never been contained herein.</w:t>
      </w:r>
    </w:p>
    <w:p>
      <w:pPr>
        <w:spacing w:after="0" w:line="191" w:lineRule="exact"/>
        <w:rPr>
          <w:sz w:val="20"/>
          <w:szCs w:val="20"/>
          <w:color w:val="auto"/>
        </w:rPr>
      </w:pPr>
    </w:p>
    <w:p>
      <w:pPr>
        <w:jc w:val="both"/>
        <w:ind w:left="7" w:hanging="7"/>
        <w:spacing w:after="0" w:line="235" w:lineRule="auto"/>
        <w:tabs>
          <w:tab w:leader="none" w:pos="748"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Awards under the Plan (including without limitation the granting of such awards) will be subject to all applicable laws, rules and regulations, and to such approvals by any governmental agencies or national securities exchanges as may be required.</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186055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401" w:right="4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PARTICIPANT ACKNOWLEDGEMENT FORM</w:t>
      </w:r>
    </w:p>
    <w:p>
      <w:pPr>
        <w:spacing w:after="0" w:line="31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You have been designated as a Participant who may be eligible to participate in the Executive Incentive Compensation Plan (“</w:t>
      </w:r>
      <w:r>
        <w:rPr>
          <w:rFonts w:ascii="Arial" w:cs="Arial" w:eastAsia="Arial" w:hAnsi="Arial"/>
          <w:sz w:val="22"/>
          <w:szCs w:val="22"/>
          <w:u w:val="single" w:color="auto"/>
          <w:color w:val="auto"/>
        </w:rPr>
        <w:t>Plan</w:t>
      </w:r>
      <w:r>
        <w:rPr>
          <w:rFonts w:ascii="Arial" w:cs="Arial" w:eastAsia="Arial" w:hAnsi="Arial"/>
          <w:sz w:val="22"/>
          <w:szCs w:val="22"/>
          <w:color w:val="auto"/>
        </w:rPr>
        <w:t>”), subject to meeting the terms of the Plan and this Acknowledgment Form. You must sign and return this Acknowledgment Form to become an eligible Participant in the Plan. Relevant details in relation to your participation in the Plan are set out in the Plan.</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By signing below, you acknowledge and agree that you received a copy of the Plan and have read and understand its terms. You acknowledge that you have not relied upon any representations or statements made by the Company or any of its affiliates which are not specifically set out in the Plan. You understand that the Plan, your participation in the Plan and any awards made under the Plan are discretionary and that the Company may amend, suspend, replace or terminate the Plan at any time and for any reason, in its sole discretion in accordance with the terms of the Plan to the full extent permitted under applicable law.</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2619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3261995" cy="825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-17780</wp:posOffset>
            </wp:positionV>
            <wp:extent cx="1485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42125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421259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-17780</wp:posOffset>
            </wp:positionV>
            <wp:extent cx="7727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48895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95" w:right="4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225" w:lineRule="exact"/>
        <w:rPr>
          <w:sz w:val="20"/>
          <w:szCs w:val="20"/>
          <w:color w:val="auto"/>
        </w:rPr>
      </w:pPr>
    </w:p>
    <w:p>
      <w:pPr>
        <w:ind w:left="740" w:hanging="378"/>
        <w:spacing w:after="0"/>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Registration Statement (Form S-3 No. 333-266651) of RxSight, Inc,</w:t>
      </w:r>
    </w:p>
    <w:p>
      <w:pPr>
        <w:spacing w:after="0" w:line="116" w:lineRule="exact"/>
        <w:rPr>
          <w:rFonts w:ascii="Arial" w:cs="Arial" w:eastAsia="Arial" w:hAnsi="Arial"/>
          <w:sz w:val="18"/>
          <w:szCs w:val="18"/>
          <w:color w:val="auto"/>
        </w:rPr>
      </w:pPr>
    </w:p>
    <w:p>
      <w:pPr>
        <w:ind w:left="740" w:right="360" w:hanging="378"/>
        <w:spacing w:after="0" w:line="277" w:lineRule="auto"/>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Registration Statement (Form S-8 No. 333-258292) pertaining to the 2021 Equity Incentive Plan, 2021 Employee Stock Purchase Plan, 2015 Equity Incentive Plan and 2006 Stock Plan of RxSight, Inc., and</w:t>
      </w:r>
    </w:p>
    <w:p>
      <w:pPr>
        <w:spacing w:after="0" w:line="61" w:lineRule="exact"/>
        <w:rPr>
          <w:rFonts w:ascii="Arial" w:cs="Arial" w:eastAsia="Arial" w:hAnsi="Arial"/>
          <w:sz w:val="18"/>
          <w:szCs w:val="18"/>
          <w:color w:val="auto"/>
        </w:rPr>
      </w:pPr>
    </w:p>
    <w:p>
      <w:pPr>
        <w:ind w:left="740" w:right="300" w:hanging="378"/>
        <w:spacing w:after="0" w:line="277" w:lineRule="auto"/>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Registration Statement (Form S-8 No. 333-263374) pertaining to the 2021 Equity Incentive Plan, and 2021 Employee Stock Purchase Plan of RxSight, Inc.;</w:t>
      </w:r>
    </w:p>
    <w:p>
      <w:pPr>
        <w:spacing w:after="0" w:line="62" w:lineRule="exact"/>
        <w:rPr>
          <w:sz w:val="20"/>
          <w:szCs w:val="20"/>
          <w:color w:val="auto"/>
        </w:rPr>
      </w:pPr>
    </w:p>
    <w:p>
      <w:pPr>
        <w:ind w:left="1120" w:right="380"/>
        <w:spacing w:after="0" w:line="277" w:lineRule="auto"/>
        <w:rPr>
          <w:sz w:val="20"/>
          <w:szCs w:val="20"/>
          <w:color w:val="auto"/>
        </w:rPr>
      </w:pPr>
      <w:r>
        <w:rPr>
          <w:rFonts w:ascii="Arial" w:cs="Arial" w:eastAsia="Arial" w:hAnsi="Arial"/>
          <w:sz w:val="18"/>
          <w:szCs w:val="18"/>
          <w:color w:val="auto"/>
        </w:rPr>
        <w:t>of our report dated March 6, 2023, with respect to the consolidated financial statements of RxSight, Inc. included in this Annual Report (Form 10-K) of RxSight, Inc. for the year ended December 31, 2022.</w:t>
      </w:r>
    </w:p>
    <w:p>
      <w:pPr>
        <w:spacing w:after="0" w:line="38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626745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3"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225"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RxSight,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2" w:lineRule="exact"/>
        <w:rPr>
          <w:rFonts w:ascii="Arial" w:cs="Arial" w:eastAsia="Arial" w:hAnsi="Arial"/>
          <w:sz w:val="18"/>
          <w:szCs w:val="18"/>
          <w:color w:val="auto"/>
        </w:rPr>
      </w:pPr>
    </w:p>
    <w:p>
      <w:pPr>
        <w:ind w:left="1020" w:right="34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2" w:lineRule="exact"/>
        <w:rPr>
          <w:rFonts w:ascii="Arial" w:cs="Arial" w:eastAsia="Arial" w:hAnsi="Arial"/>
          <w:sz w:val="18"/>
          <w:szCs w:val="18"/>
          <w:color w:val="auto"/>
        </w:rPr>
      </w:pPr>
    </w:p>
    <w:p>
      <w:pPr>
        <w:jc w:val="both"/>
        <w:ind w:left="1020" w:right="500" w:hanging="503"/>
        <w:spacing w:after="0" w:line="341"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41"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6, 2023</w:t>
            </w:r>
          </w:p>
        </w:tc>
        <w:tc>
          <w:tcPr>
            <w:tcW w:w="252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 Kurtz, M.D.</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Ron Kurtz, M.D.</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1005"/>
        </w:trPr>
        <w:tc>
          <w:tcPr>
            <w:tcW w:w="36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225"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RxSight,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2" w:lineRule="exact"/>
        <w:rPr>
          <w:rFonts w:ascii="Arial" w:cs="Arial" w:eastAsia="Arial" w:hAnsi="Arial"/>
          <w:sz w:val="18"/>
          <w:szCs w:val="18"/>
          <w:color w:val="auto"/>
        </w:rPr>
      </w:pPr>
    </w:p>
    <w:p>
      <w:pPr>
        <w:ind w:left="1020" w:right="34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2" w:lineRule="exact"/>
        <w:rPr>
          <w:rFonts w:ascii="Arial" w:cs="Arial" w:eastAsia="Arial" w:hAnsi="Arial"/>
          <w:sz w:val="18"/>
          <w:szCs w:val="18"/>
          <w:color w:val="auto"/>
        </w:rPr>
      </w:pPr>
    </w:p>
    <w:p>
      <w:pPr>
        <w:jc w:val="both"/>
        <w:ind w:left="1020" w:right="500" w:hanging="503"/>
        <w:spacing w:after="0" w:line="341"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41"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6, 2023</w:t>
            </w:r>
          </w:p>
        </w:tc>
        <w:tc>
          <w:tcPr>
            <w:tcW w:w="252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Shelley Thunen</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Shelley Thunen</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r>
      <w:tr>
        <w:trPr>
          <w:trHeight w:val="560"/>
        </w:trPr>
        <w:tc>
          <w:tcPr>
            <w:tcW w:w="36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520" w:firstLine="509"/>
        <w:spacing w:after="0" w:line="263" w:lineRule="auto"/>
        <w:rPr>
          <w:sz w:val="20"/>
          <w:szCs w:val="20"/>
          <w:color w:val="auto"/>
        </w:rPr>
      </w:pPr>
      <w:r>
        <w:rPr>
          <w:rFonts w:ascii="Arial" w:cs="Arial" w:eastAsia="Arial" w:hAnsi="Arial"/>
          <w:sz w:val="18"/>
          <w:szCs w:val="18"/>
          <w:color w:val="auto"/>
        </w:rPr>
        <w:t>In connection with the annual report of RxSight,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3"/>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6, 2023</w:t>
            </w:r>
          </w:p>
        </w:tc>
        <w:tc>
          <w:tcPr>
            <w:tcW w:w="252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 Kurtz, M.D.</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Ron Kurtz, M.D.</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220"/>
        </w:trPr>
        <w:tc>
          <w:tcPr>
            <w:tcW w:w="36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520" w:firstLine="509"/>
        <w:spacing w:after="0" w:line="263" w:lineRule="auto"/>
        <w:rPr>
          <w:sz w:val="20"/>
          <w:szCs w:val="20"/>
          <w:color w:val="auto"/>
        </w:rPr>
      </w:pPr>
      <w:r>
        <w:rPr>
          <w:rFonts w:ascii="Arial" w:cs="Arial" w:eastAsia="Arial" w:hAnsi="Arial"/>
          <w:sz w:val="18"/>
          <w:szCs w:val="18"/>
          <w:color w:val="auto"/>
        </w:rPr>
        <w:t>In connection with the annual report of RxSight,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3"/>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6, 2023</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Shelley Thunen</w:t>
            </w:r>
          </w:p>
        </w:tc>
      </w:tr>
      <w:tr>
        <w:trPr>
          <w:trHeight w:val="208"/>
        </w:trPr>
        <w:tc>
          <w:tcPr>
            <w:tcW w:w="3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1"/>
              </w:rPr>
              <w:t>Shelley Thunen</w:t>
            </w:r>
          </w:p>
        </w:tc>
      </w:tr>
      <w:tr>
        <w:trPr>
          <w:trHeight w:val="229"/>
        </w:trPr>
        <w:tc>
          <w:tcPr>
            <w:tcW w:w="3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775"/>
        </w:trPr>
        <w:tc>
          <w:tcPr>
            <w:tcW w:w="3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00"/>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endash "/>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2"/>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4"/>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1)"/>
      <w:numFmt w:val="lowerRoman"/>
      <w:start w:val="3"/>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lowerRoman"/>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lowerLetter"/>
      <w:start w:val="1"/>
    </w:lvl>
    <w:lvl w:ilvl="1">
      <w:lvlJc w:val="left"/>
      <w:lvlText w:val="(%2)"/>
      <w:numFmt w:val="decimal"/>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4A2AC315"/>
    <w:multiLevelType w:val="hybridMultilevel"/>
    <w:lvl w:ilvl="0">
      <w:lvlJc w:val="left"/>
      <w:lvlText w:val="%1"/>
      <w:numFmt w:val="lowerLetter"/>
      <w:start w:val="1"/>
    </w:lvl>
    <w:lvl w:ilvl="1">
      <w:lvlJc w:val="left"/>
      <w:lvlText w:val="%2."/>
      <w:numFmt w:val="decimal"/>
      <w:start w:val="1"/>
    </w:lvl>
  </w:abstractNum>
  <w:abstractNum w:abstractNumId="84">
    <w:nsid w:val="39EE015C"/>
    <w:multiLevelType w:val="hybridMultilevel"/>
    <w:lvl w:ilvl="0">
      <w:lvlJc w:val="left"/>
      <w:lvlText w:val="(%1)"/>
      <w:numFmt w:val="lowerLetter"/>
      <w:start w:val="2"/>
    </w:lvl>
    <w:lvl w:ilvl="1">
      <w:lvlJc w:val="left"/>
      <w:lvlText w:val="%2"/>
      <w:numFmt w:val="decimal"/>
      <w:start w:val="1"/>
    </w:lvl>
  </w:abstractNum>
  <w:abstractNum w:abstractNumId="85">
    <w:nsid w:val="57FC4FBB"/>
    <w:multiLevelType w:val="hybridMultilevel"/>
    <w:lvl w:ilvl="0">
      <w:lvlJc w:val="left"/>
      <w:lvlText w:val="%1."/>
      <w:numFmt w:val="decimal"/>
      <w:start w:val="2"/>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decimal"/>
      <w:start w:val="3"/>
    </w:lvl>
  </w:abstractNum>
  <w:abstractNum w:abstractNumId="88">
    <w:nsid w:val="60EF0119"/>
    <w:multiLevelType w:val="hybridMultilevel"/>
    <w:lvl w:ilvl="0">
      <w:lvlJc w:val="left"/>
      <w:lvlText w:val="%1."/>
      <w:numFmt w:val="decimal"/>
      <w:start w:val="4"/>
    </w:lvl>
  </w:abstractNum>
  <w:abstractNum w:abstractNumId="89">
    <w:nsid w:val="26F324BA"/>
    <w:multiLevelType w:val="hybridMultilevel"/>
    <w:lvl w:ilvl="0">
      <w:lvlJc w:val="left"/>
      <w:lvlText w:val="%1."/>
      <w:numFmt w:val="decimal"/>
      <w:start w:val="5"/>
    </w:lvl>
  </w:abstractNum>
  <w:abstractNum w:abstractNumId="90">
    <w:nsid w:val="7F01579B"/>
    <w:multiLevelType w:val="hybridMultilevel"/>
    <w:lvl w:ilvl="0">
      <w:lvlJc w:val="left"/>
      <w:lvlText w:val="%1."/>
      <w:numFmt w:val="decimal"/>
      <w:start w:val="6"/>
    </w:lvl>
  </w:abstractNum>
  <w:abstractNum w:abstractNumId="91">
    <w:nsid w:val="49DA307D"/>
    <w:multiLevelType w:val="hybridMultilevel"/>
    <w:lvl w:ilvl="0">
      <w:lvlJc w:val="left"/>
      <w:lvlText w:val="%1."/>
      <w:numFmt w:val="decimal"/>
      <w:start w:val="7"/>
    </w:lvl>
  </w:abstractNum>
  <w:abstractNum w:abstractNumId="92">
    <w:nsid w:val="7055A5F5"/>
    <w:multiLevelType w:val="hybridMultilevel"/>
    <w:lvl w:ilvl="0">
      <w:lvlJc w:val="left"/>
      <w:lvlText w:val="%1."/>
      <w:numFmt w:val="decimal"/>
      <w:start w:val="8"/>
    </w:lvl>
  </w:abstractNum>
  <w:abstractNum w:abstractNumId="93">
    <w:nsid w:val="5FB8370B"/>
    <w:multiLevelType w:val="hybridMultilevel"/>
    <w:lvl w:ilvl="0">
      <w:lvlJc w:val="left"/>
      <w:lvlText w:val="%1."/>
      <w:numFmt w:val="decimal"/>
      <w:start w:val="9"/>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14" Type="http://schemas.openxmlformats.org/officeDocument/2006/relationships/hyperlink" Target="https://www.sec.gov/Archives/edgar/data/0001111485/000095017021004155/rxst-ex3_1.htm" TargetMode="External"/><Relationship Id="rId315" Type="http://schemas.openxmlformats.org/officeDocument/2006/relationships/hyperlink" Target="https://www.sec.gov/Archives/edgar/data/1111485/000095017022026362/rxst-ex3_1.htm" TargetMode="External"/><Relationship Id="rId316" Type="http://schemas.openxmlformats.org/officeDocument/2006/relationships/hyperlink" Target="https://www.sec.gov/Archives/edgar/data/0001111485/000119312521223690/d237930dex42.htm" TargetMode="External"/><Relationship Id="rId317" Type="http://schemas.openxmlformats.org/officeDocument/2006/relationships/hyperlink" Target="https://www.sec.gov/Archives/edgar/data/1111485/000095017022003135/rxst-ex4_2.htm" TargetMode="External"/><Relationship Id="rId318" Type="http://schemas.openxmlformats.org/officeDocument/2006/relationships/hyperlink" Target="https://www.sec.gov/Archives/edgar/data/0001111485/000119312521211793/d237930dex101.htm" TargetMode="External"/><Relationship Id="rId319" Type="http://schemas.openxmlformats.org/officeDocument/2006/relationships/hyperlink" Target="https://www.sec.gov/Archives/edgar/data/0001111485/000119312521223690/d237930dex102.htm" TargetMode="External"/><Relationship Id="rId320" Type="http://schemas.openxmlformats.org/officeDocument/2006/relationships/hyperlink" Target="https://www.sec.gov/Archives/edgar/data/1111485/000095017021004155/rxst-ex10_2.htm" TargetMode="External"/><Relationship Id="rId321" Type="http://schemas.openxmlformats.org/officeDocument/2006/relationships/hyperlink" Target="https://www.sec.gov/Archives/edgar/data/1111485/000095017021004155/rxst-ex10_3.htm" TargetMode="External"/><Relationship Id="rId322" Type="http://schemas.openxmlformats.org/officeDocument/2006/relationships/hyperlink" Target="https://www.sec.gov/Archives/edgar/data/0001111485/000119312521211793/d237930dex105.htm" TargetMode="External"/><Relationship Id="rId323" Type="http://schemas.openxmlformats.org/officeDocument/2006/relationships/hyperlink" Target="https://www.sec.gov/Archives/edgar/data/0001111485/000119312521223690/d237930dex106.htm" TargetMode="External"/><Relationship Id="rId324" Type="http://schemas.openxmlformats.org/officeDocument/2006/relationships/hyperlink" Target="https://www.sec.gov/Archives/edgar/data/1111485/000095017022007878/rxst-ex10_3.htm" TargetMode="External"/><Relationship Id="rId327" Type="http://schemas.openxmlformats.org/officeDocument/2006/relationships/hyperlink" Target="https://www.sec.gov/Archives/edgar/data/0001111485/000119312521211793/d237930dex106.htm" TargetMode="External"/><Relationship Id="rId328" Type="http://schemas.openxmlformats.org/officeDocument/2006/relationships/hyperlink" Target="https://www.sec.gov/Archives/edgar/data/0001111485/000119312521211793/d237930dex108.htm" TargetMode="External"/><Relationship Id="rId329" Type="http://schemas.openxmlformats.org/officeDocument/2006/relationships/hyperlink" Target="https://www.sec.gov/Archives/edgar/data/0001111485/000119312521211793/d237930dex109.htm" TargetMode="External"/><Relationship Id="rId330" Type="http://schemas.openxmlformats.org/officeDocument/2006/relationships/hyperlink" Target="https://www.sec.gov/Archives/edgar/data/0001111485/000119312521211793/d237930dex1010.htm" TargetMode="External"/><Relationship Id="rId331" Type="http://schemas.openxmlformats.org/officeDocument/2006/relationships/hyperlink" Target="https://www.sec.gov/Archives/edgar/data/0001111485/000119312521211793/d237930dex1011.htm" TargetMode="External"/><Relationship Id="rId332" Type="http://schemas.openxmlformats.org/officeDocument/2006/relationships/hyperlink" Target="https://www.sec.gov/Archives/edgar/data/0001111485/000119312521211793/d237930dex1012.htm" TargetMode="External"/><Relationship Id="rId333" Type="http://schemas.openxmlformats.org/officeDocument/2006/relationships/hyperlink" Target="https://www.sec.gov/Archives/edgar/data/0001111485/000119312521211793/d237930dex1013.htm" TargetMode="External"/><Relationship Id="rId334" Type="http://schemas.openxmlformats.org/officeDocument/2006/relationships/hyperlink" Target="https://www.sec.gov/Archives/edgar/data/1111485/000095017022007878/rxst-ex10_1.htm" TargetMode="External"/><Relationship Id="rId335" Type="http://schemas.openxmlformats.org/officeDocument/2006/relationships/hyperlink" Target="https://www.sec.gov/Archives/edgar/data/1111485/000095017022007878/rxst-ex10_2.htm" TargetMode="External"/><Relationship Id="rId336" Type="http://schemas.openxmlformats.org/officeDocument/2006/relationships/hyperlink" Target="https://www.sec.gov/Archives/edgar/data/1111485/000095017022015528/rxst-ex10_1.htm" TargetMode="External"/><Relationship Id="rId339" Type="http://schemas.openxmlformats.org/officeDocument/2006/relationships/hyperlink" Target="https://www.sec.gov/Archives/edgar/data/0001111485/000119312521211793/d237930dex1014.htm" TargetMode="External"/><Relationship Id="rId340" Type="http://schemas.openxmlformats.org/officeDocument/2006/relationships/hyperlink" Target="https://www.sec.gov/Archives/edgar/data/0001111485/000119312521211793/d237930dex1015.htm" TargetMode="External"/><Relationship Id="rId341" Type="http://schemas.openxmlformats.org/officeDocument/2006/relationships/hyperlink" Target="https://www.sec.gov/Archives/edgar/data/0001111485/000119312521211793/d237930dex1016.htm" TargetMode="External"/><Relationship Id="rId342" Type="http://schemas.openxmlformats.org/officeDocument/2006/relationships/hyperlink" Target="https://www.sec.gov/Archives/edgar/data/0001111485/000119312521211793/d237930dex1017.htm" TargetMode="External"/><Relationship Id="rId343" Type="http://schemas.openxmlformats.org/officeDocument/2006/relationships/hyperlink" Target="https://www.sec.gov/Archives/edgar/data/0001111485/000119312521211793/d237930dex1018.htm" TargetMode="External"/><Relationship Id="rId344" Type="http://schemas.openxmlformats.org/officeDocument/2006/relationships/hyperlink" Target="https://www.sec.gov/Archives/edgar/data/0001111485/000119312521211793/d237930dex1019.htm" TargetMode="External"/><Relationship Id="rId345" Type="http://schemas.openxmlformats.org/officeDocument/2006/relationships/hyperlink" Target="https://www.sec.gov/Archives/edgar/data/0001111485/000119312521211793/d237930dex1020.htm" TargetMode="External"/><Relationship Id="rId346" Type="http://schemas.openxmlformats.org/officeDocument/2006/relationships/hyperlink" Target="https://www.sec.gov/Archives/edgar/data/0001111485/000119312521211793/d237930dex1021.htm" TargetMode="External"/><Relationship Id="rId347" Type="http://schemas.openxmlformats.org/officeDocument/2006/relationships/hyperlink" Target="https://www.sec.gov/Archives/edgar/data/0001111485/000119312521211793/d237930dex1022.htm" TargetMode="External"/><Relationship Id="rId348" Type="http://schemas.openxmlformats.org/officeDocument/2006/relationships/hyperlink" Target="https://www.sec.gov/Archives/edgar/data/0001111485/000119312521223690/d237930dex1024.htm" TargetMode="External"/><Relationship Id="rId349" Type="http://schemas.openxmlformats.org/officeDocument/2006/relationships/hyperlink" Target="https://www.sec.gov/Archives/edgar/data/0001111485/000119312521211793/d237930dex1023.htm" TargetMode="External"/><Relationship Id="rId350" Type="http://schemas.openxmlformats.org/officeDocument/2006/relationships/hyperlink" Target="https://www.sec.gov/Archives/edgar/data/0001111485/000119312521211793/d237930dex1024.htm" TargetMode="External"/><Relationship Id="rId353" Type="http://schemas.openxmlformats.org/officeDocument/2006/relationships/hyperlink" Target="https://www.sec.gov/Archives/edgar/data/0001111485/000119312521223690/d237930dex1027.htm" TargetMode="External"/><Relationship Id="rId354" Type="http://schemas.openxmlformats.org/officeDocument/2006/relationships/hyperlink" Target="https://www.sec.gov/Archives/edgar/data/1111485/000095017022003135/rxst-ex10_28.htm" TargetMode="External"/><Relationship Id="rId355" Type="http://schemas.openxmlformats.org/officeDocument/2006/relationships/hyperlink" Target="https://www.sec.gov/Archives/edgar/data/1111485/000119312522214924/d383901dex12.htm" TargetMode="External"/><Relationship Id="rId356" Type="http://schemas.openxmlformats.org/officeDocument/2006/relationships/hyperlink" Target="https://www.sec.gov/Archives/edgar/data/1111485/000119312523027742/d426433dex11.htm" TargetMode="External"/><Relationship Id="rId357" Type="http://schemas.openxmlformats.org/officeDocument/2006/relationships/hyperlink" Target="https://www.sec.gov/Archives/edgar/data/1111485/000095017022003135/rxst-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2023-03-06T15:41:34Z</dcterms:created>
  <dcterms:modified xsi:type="dcterms:W3CDTF">2023-03-06T15:41:34Z</dcterms:modified>
</cp:coreProperties>
</file>