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Weinberg Eric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RXSIGHT,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COLUMBIA</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RxSight,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RXST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85"/>
        <w:spacing w:after="0"/>
        <w:rPr>
          <w:sz w:val="20"/>
          <w:szCs w:val="20"/>
          <w:color w:val="auto"/>
        </w:rPr>
      </w:pPr>
      <w:r>
        <w:rPr>
          <w:rFonts w:ascii="Times New Roman" w:cs="Times New Roman" w:eastAsia="Times New Roman" w:hAnsi="Times New Roman"/>
          <w:sz w:val="17"/>
          <w:szCs w:val="17"/>
          <w:color w:val="0000FF"/>
        </w:rPr>
        <w:t>See remarks</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ALISO VIEJO   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92656</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28.21</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02/27/2025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125,000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02/26/2035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125,000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125,000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4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 continuing to be a Service Provider (as defined in the Issuer's 2021 Equity Incentive Plan) through each applicable date, one forty-eighth (1/48th) of the shares subject to the option shall vest each month following the Vesting Commencement Date on the same day of the month as the Vesting Commencement Date (and if there is no corresponding day, on the last day of the month). "Vesting Commencement Date" shall mean February 27, 2025.</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Co-President and Chief Commercial Officer</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Shelley Thunen, as Attorney- </w:t>
      </w:r>
      <w:r>
        <w:rPr>
          <w:rFonts w:ascii="Times New Roman" w:cs="Times New Roman" w:eastAsia="Times New Roman" w:hAnsi="Times New Roman"/>
          <w:sz w:val="33"/>
          <w:szCs w:val="33"/>
          <w:color w:val="0000FF"/>
          <w:vertAlign w:val="subscript"/>
        </w:rPr>
        <w:t>02/27/2025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97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95814" TargetMode="External"/><Relationship Id="rId14" Type="http://schemas.openxmlformats.org/officeDocument/2006/relationships/hyperlink" Target="http://www.sec.gov/cgi-bin/browse-edgar?action=getcompany&amp;CIK=00011114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2025-02-27T19:15:54Z</dcterms:created>
  <dcterms:modified xsi:type="dcterms:W3CDTF">2025-02-27T19:15:54Z</dcterms:modified>
</cp:coreProperties>
</file>