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RxSight,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78349D107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78349D107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151,216.00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172,091.00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172,091.00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RxSight,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COLUMBIA STREET, 100 COLUMBIA STREET, ALISO VIEJO, CALIFORNIA, 92656.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78349D107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172,091.00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151,216.00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172,091.00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0"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Pierce Fenner</w:t>
      </w:r>
    </w:p>
    <w:p>
      <w:pPr>
        <w:spacing w:after="0" w:line="1" w:lineRule="exact"/>
        <w:rPr>
          <w:sz w:val="20"/>
          <w:szCs w:val="20"/>
          <w:color w:val="auto"/>
        </w:rPr>
      </w:pPr>
    </w:p>
    <w:p>
      <w:pPr>
        <w:ind w:right="1220" w:firstLine="6"/>
        <w:spacing w:after="0" w:line="237" w:lineRule="auto"/>
        <w:tabs>
          <w:tab w:leader="none" w:pos="22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Smith, Inc., a broker dealer registered under section 15 of the Act (15 U.S.C. 78o); and Merrill Lynch International, a non-U.S. institution in accordance with section 240.13d-1(b)(1)(ii)(J).</w:t>
      </w:r>
    </w:p>
    <w:p>
      <w:pPr>
        <w:spacing w:after="0" w:line="16" w:lineRule="exact"/>
        <w:rPr>
          <w:sz w:val="20"/>
          <w:szCs w:val="20"/>
          <w:color w:val="auto"/>
        </w:rPr>
      </w:pPr>
    </w:p>
    <w:p>
      <w:pPr>
        <w:sectPr>
          <w:pgSz w:w="11900" w:h="16860"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60" w:orient="portrait"/>
          <w:cols w:equalWidth="0" w:num="1">
            <w:col w:w="11140"/>
          </w:cols>
          <w:pgMar w:left="360" w:top="126" w:right="399" w:bottom="0" w:gutter="0" w:footer="0" w:header="0"/>
          <w:type w:val="continuous"/>
        </w:sectPr>
      </w:pPr>
    </w:p>
    <w:bookmarkStart w:id="3" w:name="page4"/>
    <w:bookmarkEnd w:id="3"/>
    <w:p>
      <w:pPr>
        <w:ind w:left="4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Andres Ortiz</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sectPr>
      <w:pgSz w:w="11900" w:h="16838" w:orient="portrait"/>
      <w:cols w:equalWidth="0" w:num="1">
        <w:col w:w="10060"/>
      </w:cols>
      <w:pgMar w:left="144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8"/>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2025-08-13T09:26:46Z</dcterms:created>
  <dcterms:modified xsi:type="dcterms:W3CDTF">2025-08-13T09:26:46Z</dcterms:modified>
</cp:coreProperties>
</file>