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RxSight,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001-40690</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94-3268801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100 Columbia</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Aliso Viejo, California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92656</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(949) 521-7830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RXST</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3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held our 2026 Annual Meeting of Stockholders (“Annual Meeting”) on June 16, 2026. Of the 41,396,609 shares of our common stock outstanding as of April 21, 2026, 33,299,192 shares of common stock were represented, either by attending the virtual annual meeting or by proxy, constituting, of the shares entitled to vote, approximately 80.4% of the outstanding shares of common stock. The matters voted on at the Annual Meeting and the votes cast with respect to each such matter are set forth below.</w:t>
      </w:r>
    </w:p>
    <w:p>
      <w:pPr>
        <w:spacing w:after="0" w:line="284" w:lineRule="exact"/>
        <w:rPr>
          <w:sz w:val="20"/>
          <w:szCs w:val="20"/>
          <w:color w:val="auto"/>
        </w:rPr>
      </w:pPr>
    </w:p>
    <w:p>
      <w:pPr>
        <w:ind w:left="1020" w:right="160" w:hanging="503"/>
        <w:spacing w:after="0" w:line="286" w:lineRule="auto"/>
        <w:tabs>
          <w:tab w:leader="none" w:pos="10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Election of Three Class II Directors. </w:t>
      </w:r>
      <w:r>
        <w:rPr>
          <w:rFonts w:ascii="Times New Roman" w:cs="Times New Roman" w:eastAsia="Times New Roman" w:hAnsi="Times New Roman"/>
          <w:sz w:val="18"/>
          <w:szCs w:val="18"/>
          <w:color w:val="auto"/>
        </w:rPr>
        <w:t>The following nominees were re-elected by the holders of our common stock to serve as our Class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to hold office until our 2029 annual meeting of stockholders and until their successors have been duly elected and qualified: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60" w:type="dxa"/>
            <w:vAlign w:val="bottom"/>
          </w:tcPr>
          <w:p>
            <w:pPr>
              <w:spacing w:after="0"/>
              <w:rPr>
                <w:sz w:val="20"/>
                <w:szCs w:val="20"/>
                <w:color w:val="auto"/>
              </w:rPr>
            </w:pPr>
          </w:p>
        </w:tc>
        <w:tc>
          <w:tcPr>
            <w:tcW w:w="20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0" w:type="dxa"/>
            <w:vAlign w:val="bottom"/>
          </w:tcPr>
          <w:p>
            <w:pPr>
              <w:spacing w:after="0"/>
              <w:rPr>
                <w:sz w:val="20"/>
                <w:szCs w:val="20"/>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0" w:type="dxa"/>
            <w:vAlign w:val="bottom"/>
          </w:tcPr>
          <w:p>
            <w:pPr>
              <w:spacing w:after="0"/>
              <w:rPr>
                <w:sz w:val="20"/>
                <w:szCs w:val="20"/>
                <w:color w:val="auto"/>
              </w:rPr>
            </w:pPr>
          </w:p>
        </w:tc>
        <w:tc>
          <w:tcPr>
            <w:tcW w:w="2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J. Link</w:t>
            </w:r>
          </w:p>
        </w:tc>
        <w:tc>
          <w:tcPr>
            <w:tcW w:w="160" w:type="dxa"/>
            <w:vAlign w:val="bottom"/>
          </w:tcPr>
          <w:p>
            <w:pPr>
              <w:spacing w:after="0"/>
              <w:rPr>
                <w:sz w:val="18"/>
                <w:szCs w:val="18"/>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21,086,793</w:t>
            </w:r>
          </w:p>
        </w:tc>
        <w:tc>
          <w:tcPr>
            <w:tcW w:w="260" w:type="dxa"/>
            <w:vAlign w:val="bottom"/>
          </w:tcPr>
          <w:p>
            <w:pPr>
              <w:spacing w:after="0"/>
              <w:rPr>
                <w:sz w:val="18"/>
                <w:szCs w:val="18"/>
                <w:color w:val="auto"/>
              </w:rPr>
            </w:pPr>
          </w:p>
        </w:tc>
        <w:tc>
          <w:tcPr>
            <w:tcW w:w="146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2,935,396</w:t>
            </w:r>
          </w:p>
        </w:tc>
        <w:tc>
          <w:tcPr>
            <w:tcW w:w="220" w:type="dxa"/>
            <w:vAlign w:val="bottom"/>
          </w:tcPr>
          <w:p>
            <w:pPr>
              <w:spacing w:after="0"/>
              <w:rPr>
                <w:sz w:val="18"/>
                <w:szCs w:val="18"/>
                <w:color w:val="auto"/>
              </w:rPr>
            </w:pPr>
          </w:p>
        </w:tc>
        <w:tc>
          <w:tcPr>
            <w:tcW w:w="2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9,277,003</w:t>
            </w:r>
          </w:p>
        </w:tc>
        <w:tc>
          <w:tcPr>
            <w:tcW w:w="100" w:type="dxa"/>
            <w:vAlign w:val="bottom"/>
          </w:tcPr>
          <w:p>
            <w:pPr>
              <w:spacing w:after="0"/>
              <w:rPr>
                <w:sz w:val="18"/>
                <w:szCs w:val="18"/>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Robert Warner</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15,667,180</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8,355,009</w:t>
            </w:r>
          </w:p>
        </w:tc>
        <w:tc>
          <w:tcPr>
            <w:tcW w:w="2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9,277,003</w:t>
            </w:r>
          </w:p>
        </w:tc>
        <w:tc>
          <w:tcPr>
            <w:tcW w:w="100" w:type="dxa"/>
            <w:vAlign w:val="bottom"/>
            <w:shd w:val="clear" w:color="auto" w:fill="CFF0FC"/>
          </w:tcPr>
          <w:p>
            <w:pPr>
              <w:spacing w:after="0"/>
              <w:rPr>
                <w:sz w:val="18"/>
                <w:szCs w:val="18"/>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Shweta Singh Maniar</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13,850,389</w:t>
            </w:r>
          </w:p>
        </w:tc>
        <w:tc>
          <w:tcPr>
            <w:tcW w:w="260" w:type="dxa"/>
            <w:vAlign w:val="bottom"/>
          </w:tcPr>
          <w:p>
            <w:pPr>
              <w:spacing w:after="0"/>
              <w:rPr>
                <w:sz w:val="20"/>
                <w:szCs w:val="20"/>
                <w:color w:val="auto"/>
              </w:rPr>
            </w:pPr>
          </w:p>
        </w:tc>
        <w:tc>
          <w:tcPr>
            <w:tcW w:w="146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10,171,800</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9,277,003</w:t>
            </w:r>
          </w:p>
        </w:tc>
        <w:tc>
          <w:tcPr>
            <w:tcW w:w="100" w:type="dxa"/>
            <w:vAlign w:val="bottom"/>
          </w:tcPr>
          <w:p>
            <w:pPr>
              <w:spacing w:after="0"/>
              <w:rPr>
                <w:sz w:val="20"/>
                <w:szCs w:val="20"/>
                <w:color w:val="auto"/>
              </w:rPr>
            </w:pPr>
          </w:p>
        </w:tc>
      </w:tr>
    </w:tbl>
    <w:p>
      <w:pPr>
        <w:spacing w:after="0" w:line="283" w:lineRule="exact"/>
        <w:rPr>
          <w:sz w:val="20"/>
          <w:szCs w:val="20"/>
          <w:color w:val="auto"/>
        </w:rPr>
      </w:pPr>
    </w:p>
    <w:p>
      <w:pPr>
        <w:ind w:left="1020" w:right="240" w:hanging="503"/>
        <w:spacing w:after="0" w:line="286" w:lineRule="auto"/>
        <w:tabs>
          <w:tab w:leader="none" w:pos="10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Advisory Vote on Executive Compensation. </w:t>
      </w:r>
      <w:r>
        <w:rPr>
          <w:rFonts w:ascii="Times New Roman" w:cs="Times New Roman" w:eastAsia="Times New Roman" w:hAnsi="Times New Roman"/>
          <w:sz w:val="18"/>
          <w:szCs w:val="18"/>
          <w:color w:val="auto"/>
        </w:rPr>
        <w:t>The stockholders approved, on an advisory basis, the compensation of our named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as disclosed in the proxy statement based on the following results of voting: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20"/>
                <w:szCs w:val="20"/>
                <w:color w:val="auto"/>
              </w:rPr>
            </w:pPr>
          </w:p>
        </w:tc>
        <w:tc>
          <w:tcPr>
            <w:tcW w:w="25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0" w:type="dxa"/>
            <w:vAlign w:val="bottom"/>
          </w:tcPr>
          <w:p>
            <w:pPr>
              <w:spacing w:after="0"/>
              <w:rPr>
                <w:sz w:val="20"/>
                <w:szCs w:val="20"/>
                <w:color w:val="auto"/>
              </w:rPr>
            </w:pPr>
          </w:p>
        </w:tc>
        <w:tc>
          <w:tcPr>
            <w:tcW w:w="18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00" w:type="dxa"/>
            <w:vAlign w:val="bottom"/>
          </w:tcPr>
          <w:p>
            <w:pPr>
              <w:spacing w:after="0"/>
              <w:rPr>
                <w:sz w:val="20"/>
                <w:szCs w:val="20"/>
                <w:color w:val="auto"/>
              </w:rPr>
            </w:pPr>
          </w:p>
        </w:tc>
        <w:tc>
          <w:tcPr>
            <w:tcW w:w="24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10"/>
        </w:trPr>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21,236,615</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2,742,189</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43,385</w:t>
            </w:r>
          </w:p>
        </w:tc>
        <w:tc>
          <w:tcPr>
            <w:tcW w:w="2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9,277,003</w:t>
            </w:r>
          </w:p>
        </w:tc>
        <w:tc>
          <w:tcPr>
            <w:tcW w:w="100" w:type="dxa"/>
            <w:vAlign w:val="bottom"/>
            <w:shd w:val="clear" w:color="auto" w:fill="CFF0FC"/>
          </w:tcPr>
          <w:p>
            <w:pPr>
              <w:spacing w:after="0"/>
              <w:rPr>
                <w:sz w:val="18"/>
                <w:szCs w:val="18"/>
                <w:color w:val="auto"/>
              </w:rPr>
            </w:pPr>
          </w:p>
        </w:tc>
      </w:tr>
    </w:tbl>
    <w:p>
      <w:pPr>
        <w:spacing w:after="0" w:line="302" w:lineRule="exact"/>
        <w:rPr>
          <w:sz w:val="20"/>
          <w:szCs w:val="20"/>
          <w:color w:val="auto"/>
        </w:rPr>
      </w:pPr>
    </w:p>
    <w:p>
      <w:pPr>
        <w:ind w:left="1020" w:right="300" w:hanging="503"/>
        <w:spacing w:after="0" w:line="268" w:lineRule="auto"/>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Ratification of Appointment of Independent Registered Public Accounting Firm. </w:t>
      </w:r>
      <w:r>
        <w:rPr>
          <w:rFonts w:ascii="Times New Roman" w:cs="Times New Roman" w:eastAsia="Times New Roman" w:hAnsi="Times New Roman"/>
          <w:sz w:val="18"/>
          <w:szCs w:val="18"/>
          <w:color w:val="auto"/>
        </w:rPr>
        <w:t>The appointment of Ernst &amp; Young LLP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registered public accounting firm for the fiscal year ending December 31, 2026 was ratified based on the following results of voting: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Borders>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For</w:t>
            </w:r>
          </w:p>
        </w:tc>
        <w:tc>
          <w:tcPr>
            <w:tcW w:w="340" w:type="dxa"/>
            <w:vAlign w:val="bottom"/>
          </w:tcPr>
          <w:p>
            <w:pPr>
              <w:spacing w:after="0"/>
              <w:rPr>
                <w:sz w:val="20"/>
                <w:szCs w:val="20"/>
                <w:color w:val="auto"/>
              </w:rPr>
            </w:pPr>
          </w:p>
        </w:tc>
        <w:tc>
          <w:tcPr>
            <w:tcW w:w="25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0" w:type="dxa"/>
            <w:vAlign w:val="bottom"/>
          </w:tcPr>
          <w:p>
            <w:pPr>
              <w:spacing w:after="0"/>
              <w:rPr>
                <w:sz w:val="20"/>
                <w:szCs w:val="20"/>
                <w:color w:val="auto"/>
              </w:rPr>
            </w:pPr>
          </w:p>
        </w:tc>
        <w:tc>
          <w:tcPr>
            <w:tcW w:w="18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40" w:type="dxa"/>
            <w:vAlign w:val="bottom"/>
          </w:tcPr>
          <w:p>
            <w:pPr>
              <w:spacing w:after="0"/>
              <w:rPr>
                <w:sz w:val="20"/>
                <w:szCs w:val="20"/>
                <w:color w:val="auto"/>
              </w:rPr>
            </w:pPr>
          </w:p>
        </w:tc>
        <w:tc>
          <w:tcPr>
            <w:tcW w:w="23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100" w:type="dxa"/>
            <w:vAlign w:val="bottom"/>
          </w:tcPr>
          <w:p>
            <w:pPr>
              <w:spacing w:after="0"/>
              <w:rPr>
                <w:sz w:val="20"/>
                <w:szCs w:val="20"/>
                <w:color w:val="auto"/>
              </w:rPr>
            </w:pPr>
          </w:p>
        </w:tc>
      </w:tr>
      <w:tr>
        <w:trPr>
          <w:trHeight w:val="210"/>
        </w:trPr>
        <w:tc>
          <w:tcPr>
            <w:tcW w:w="3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33,062,585</w:t>
            </w:r>
          </w:p>
        </w:tc>
        <w:tc>
          <w:tcPr>
            <w:tcW w:w="2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92,653</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143,954</w:t>
            </w:r>
          </w:p>
        </w:tc>
        <w:tc>
          <w:tcPr>
            <w:tcW w:w="24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ind w:left="2120"/>
              <w:spacing w:after="0"/>
              <w:rPr>
                <w:sz w:val="20"/>
                <w:szCs w:val="20"/>
                <w:color w:val="auto"/>
              </w:rPr>
            </w:pPr>
            <w:r>
              <w:rPr>
                <w:rFonts w:ascii="Times New Roman" w:cs="Times New Roman" w:eastAsia="Times New Roman" w:hAnsi="Times New Roman"/>
                <w:sz w:val="18"/>
                <w:szCs w:val="18"/>
                <w:color w:val="auto"/>
              </w:rPr>
              <w:t>—</w:t>
            </w:r>
          </w:p>
        </w:tc>
      </w:tr>
      <w:tr>
        <w:trPr>
          <w:trHeight w:val="979"/>
        </w:trPr>
        <w:tc>
          <w:tcPr>
            <w:tcW w:w="3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RxSight,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June 16, 2026</w:t>
      </w:r>
      <w:r>
        <w:rPr>
          <w:sz w:val="20"/>
          <w:szCs w:val="20"/>
          <w:color w:val="auto"/>
        </w:rPr>
        <w:tab/>
      </w:r>
      <w:r>
        <w:rPr>
          <w:rFonts w:ascii="Times New Roman" w:cs="Times New Roman" w:eastAsia="Times New Roman" w:hAnsi="Times New Roman"/>
          <w:sz w:val="18"/>
          <w:szCs w:val="18"/>
          <w:color w:val="auto"/>
        </w:rPr>
        <w:t>By:</w:t>
        <w:tab/>
        <w:t>/s/ Mark Wilterding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Mark Wilterding</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2026-06-16T15:33:55Z</dcterms:created>
  <dcterms:modified xsi:type="dcterms:W3CDTF">2026-06-16T15:33:55Z</dcterms:modified>
</cp:coreProperties>
</file>