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xst-20230930.htm"/>
      <w:bookmarkStart w:id="1" w:name="ksrxst20230930"/>
      <w:bookmarkEnd w:id="0"/>
      <w:bookmarkEnd w:id="1"/>
      <w:r>
        <w:rPr/>
        <w:t> </w:t>
      </w:r>
    </w:p>
    <w:p>
      <w:pPr>
        <w:pStyle w:val="TextBody"/>
        <w:pBdr>
          <w:top w:val="double" w:sz="6" w:space="1" w:color="000000"/>
        </w:pBdr>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spacing w:before="90" w:after="283"/>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001-40690</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RxSIGHT,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94-3268801</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vAlign w:val="center"/>
          </w:tcPr>
          <w:p>
            <w:pPr>
              <w:pStyle w:val="TableContents"/>
              <w:bidi w:val="0"/>
              <w:spacing w:before="120" w:after="15"/>
              <w:jc w:val="center"/>
              <w:rPr>
                <w:rFonts w:ascii="Times New Roman" w:hAnsi="Times New Roman"/>
                <w:b/>
                <w:color w:val="000000"/>
                <w:sz w:val="16"/>
              </w:rPr>
            </w:pPr>
            <w:r>
              <w:rPr>
                <w:rFonts w:ascii="Times New Roman" w:hAnsi="Times New Roman"/>
                <w:b/>
                <w:color w:val="000000"/>
                <w:sz w:val="16"/>
              </w:rPr>
              <w:t>100 Columbia</w:t>
            </w:r>
          </w:p>
          <w:p>
            <w:pPr>
              <w:pStyle w:val="TableContents"/>
              <w:bidi w:val="0"/>
              <w:spacing w:before="0" w:after="283"/>
              <w:jc w:val="center"/>
              <w:rPr>
                <w:rFonts w:ascii="Times New Roman" w:hAnsi="Times New Roman"/>
                <w:sz w:val="16"/>
              </w:rPr>
            </w:pPr>
            <w:r>
              <w:rPr>
                <w:rFonts w:ascii="Times New Roman" w:hAnsi="Times New Roman"/>
                <w:b/>
                <w:color w:val="000000"/>
                <w:sz w:val="16"/>
              </w:rPr>
              <w:t>Aliso Viejo, CA</w:t>
            </w:r>
            <w:r>
              <w:rPr>
                <w:rFonts w:ascii="Times New Roman" w:hAnsi="Times New Roman"/>
                <w:color w:val="000000"/>
                <w:sz w:val="16"/>
              </w:rPr>
              <w:t xml:space="preserve"> </w:t>
            </w:r>
          </w:p>
        </w:tc>
        <w:tc>
          <w:tcPr>
            <w:tcW w:w="1486" w:type="dxa"/>
            <w:tcBorders/>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92656</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(949) 521-7830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6"/>
              </w:rPr>
              <w:t>Common Stock, par value $0.001 per share</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RXST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8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As of October 31, 2023, the registrant had 35,861,604</w:t>
      </w:r>
      <w:r>
        <w:rPr>
          <w:rFonts w:ascii="Times New Roman" w:hAnsi="Times New Roman"/>
          <w:color w:val="000000"/>
          <w:sz w:val="20"/>
        </w:rPr>
        <w:t xml:space="preserve"> </w:t>
      </w:r>
      <w:r>
        <w:rPr>
          <w:rFonts w:ascii="Times New Roman" w:hAnsi="Times New Roman"/>
          <w:b w:val="false"/>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both"/>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both"/>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INFORMATION</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s">
              <w:r>
                <w:rPr>
                  <w:rStyle w:val="InternetLink"/>
                  <w:rFonts w:ascii="Times New Roman" w:hAnsi="Times New Roman"/>
                  <w:b w:val="false"/>
                  <w:color w:val="0000FF"/>
                  <w:sz w:val="20"/>
                  <w:u w:val="single"/>
                </w:rPr>
                <w:t>Financial Statements (Unaudited)</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b w:val="false"/>
                  <w:color w:val="0000FF"/>
                  <w:sz w:val="20"/>
                  <w:u w:val="single"/>
                </w:rPr>
                <w:t>Condensed Consolidated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b w:val="false"/>
                  <w:color w:val="0000FF"/>
                  <w:sz w:val="20"/>
                  <w:u w:val="single"/>
                </w:rPr>
                <w:t>Condensed Consolidated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b w:val="false"/>
                  <w:color w:val="0000FF"/>
                  <w:sz w:val="20"/>
                  <w:u w:val="single"/>
                </w:rPr>
                <w:t>Condensed Consolidated Statements of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b w:val="false"/>
                  <w:color w:val="0000FF"/>
                  <w:sz w:val="20"/>
                  <w:u w:val="single"/>
                </w:rPr>
                <w:t>Condensed Consolidated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b w:val="false"/>
                  <w:color w:val="0000FF"/>
                  <w:sz w:val="20"/>
                  <w:u w:val="single"/>
                </w:rPr>
                <w:t>Notes to Unaudited Condensed Consolidated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b w:val="false"/>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INFORMATION</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bookmarkStart w:id="2" w:name="toc_page"/>
              <w:bookmarkEnd w:id="2"/>
              <w:r>
                <w:rPr>
                  <w:rStyle w:val="InternetLink"/>
                  <w:rFonts w:ascii="Times New Roman" w:hAnsi="Times New Roman"/>
                  <w:b w:val="false"/>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defaults">
              <w:r>
                <w:rPr>
                  <w:rStyle w:val="InternetLink"/>
                  <w:rFonts w:ascii="Times New Roman" w:hAnsi="Times New Roman"/>
                  <w:b w:val="false"/>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Times New Roman" w:hAnsi="Times New Roman"/>
                  <w:b w:val="false"/>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Forward-looking statements include, but are not limited to, statements concerning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plans to conduct further clinical trials and any expectations related to the timing or outcomes of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plans and expected timelines related to our products, or developing new products, to address additional indications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expected acceptance and use of our products by doctors;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obtain, maintain and expand regulatory clearances for our products and any new products we create;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expected growth of our business and our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intentions regarding investment in our business as we pursue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expected uses of our existing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government and third-party payer coverage and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recruit and retain key personnel, including the continued development of a sales and marketing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obtain an adequate supply of materials and components for our products from our third-party suppliers, including single and sole source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manufacture sufficient quantities of our products with appropriate quality;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obtain, maintain and enforce intellectual property protection for our products and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expand our business into new geographic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comply with applicable SEC rules and Nasdaq continued listing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comply with existing and future government laws, rules and regulations both in the United States and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the allocation of resources toward expenses associated with being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estimates of our expenses, ongoing losses, future revenue, capital requirements and our need for, or ability to obtain,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expectations regarding the time during which we will be an emerging growth company under the Jumpstart Our Business Startups Act of 2012 (the “JOBS Act”) and a smaller reporting company under the Exchange Act;</w:t>
      </w:r>
    </w:p>
    <w:p>
      <w:pPr>
        <w:pStyle w:val="TextBody"/>
        <w:bidi w:val="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volatility of the trading price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identify and develop new and planned products and/or acquire new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development and projections relating to our competitors or our industry, including anticipated growth rates for the conventional and premium intraocular lens (“IOL”)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local, regional, national or political conditions and events;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worldwide political and economic conditions and unknown future events on our business, financial condition and results of operations.</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160" w:after="283"/>
        <w:jc w:val="center"/>
        <w:rPr>
          <w:rFonts w:ascii="Times New Roman" w:hAnsi="Times New Roman"/>
          <w:sz w:val="20"/>
        </w:rPr>
      </w:pPr>
      <w:r>
        <w:rPr>
          <w:rFonts w:ascii="Times New Roman" w:hAnsi="Times New Roman"/>
          <w:b/>
          <w:color w:val="000000"/>
          <w:sz w:val="20"/>
        </w:rPr>
        <w:t>DISCUSSION AND ANALYSIS OF OUR FINANCIAL CONDITION</w:t>
      </w:r>
      <w:r>
        <w:rPr>
          <w:rFonts w:ascii="Times New Roman" w:hAnsi="Times New Roman"/>
          <w:color w:val="000000"/>
          <w:sz w:val="20"/>
        </w:rPr>
        <w:t xml:space="preserve"> </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Our discussion and analysis of our financial condition and results of operations is based upon our unaudited condensed consolidated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revenues and expenses. On an ongoing basis, we evaluate our estimates including those related to revenue recognition,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the Company’s Annual Report on Form 10-K filed with the SEC on March 6, 2023.</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INDUSTRY, BUSINESS AND MARKET DATA</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TRADEMARKS, SERVICE MARKS AND TRADE NAMES</w:t>
      </w:r>
    </w:p>
    <w:p>
      <w:pPr>
        <w:pStyle w:val="TextBody"/>
        <w:bidi w:val="0"/>
        <w:spacing w:before="160" w:after="283"/>
        <w:jc w:val="left"/>
        <w:rPr>
          <w:rFonts w:ascii="Times New Roman" w:hAnsi="Times New Roman"/>
          <w:sz w:val="20"/>
        </w:rPr>
      </w:pPr>
      <w:r>
        <w:rPr>
          <w:rFonts w:ascii="Times New Roman" w:hAnsi="Times New Roman"/>
          <w:b w:val="false"/>
          <w:color w:val="000000"/>
          <w:sz w:val="20"/>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r>
        <w:rPr>
          <w:rFonts w:ascii="Times New Roman" w:hAnsi="Times New Roman"/>
          <w:color w:val="000000"/>
          <w:sz w:val="20"/>
        </w:rPr>
        <w:t xml:space="preserve"> </w:t>
      </w:r>
    </w:p>
    <w:p>
      <w:pPr>
        <w:pStyle w:val="TextBody"/>
        <w:bidi w:val="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2"/>
        </w:rPr>
      </w:pPr>
      <w:bookmarkStart w:id="3" w:name="item_1_fs"/>
      <w:bookmarkEnd w:id="3"/>
      <w:r>
        <w:rPr>
          <w:rFonts w:ascii="Times New Roman" w:hAnsi="Times New Roman"/>
          <w:b/>
          <w:color w:val="000000"/>
          <w:sz w:val="22"/>
        </w:rPr>
        <w:t>Item 1: Financial Statements (Unaudited)</w:t>
      </w:r>
    </w:p>
    <w:p>
      <w:pPr>
        <w:pStyle w:val="TextBody"/>
        <w:bidi w:val="0"/>
        <w:jc w:val="center"/>
        <w:rPr>
          <w:rFonts w:ascii="Times New Roman" w:hAnsi="Times New Roman"/>
          <w:sz w:val="20"/>
        </w:rPr>
      </w:pPr>
      <w:r>
        <w:rPr>
          <w:rFonts w:ascii="Times New Roman" w:hAnsi="Times New Roman"/>
          <w:b/>
          <w:color w:val="000000"/>
          <w:sz w:val="20"/>
        </w:rPr>
        <w:t>RxSIGHT,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CONSOLIDATED BALANCE SHEETS</w:t>
      </w:r>
    </w:p>
    <w:p>
      <w:pPr>
        <w:pStyle w:val="TextBody"/>
        <w:pBdr>
          <w:bottom w:val="single" w:sz="12" w:space="1" w:color="000000"/>
        </w:pBdr>
        <w:bidi w:val="0"/>
        <w:jc w:val="center"/>
        <w:rPr>
          <w:rFonts w:ascii="Times New Roman" w:hAnsi="Times New Roman"/>
          <w:b w:val="false"/>
          <w:color w:val="000000"/>
          <w:sz w:val="22"/>
        </w:rPr>
      </w:pPr>
      <w:r>
        <w:rPr>
          <w:rFonts w:ascii="Times New Roman" w:hAnsi="Times New Roman"/>
          <w:b w:val="false"/>
          <w:color w:val="000000"/>
          <w:sz w:val="22"/>
        </w:rPr>
        <w:t>(In thousands, except share and per share amounts)</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550" w:type="dxa"/>
        <w:jc w:val="left"/>
        <w:tblInd w:w="0" w:type="dxa"/>
        <w:tblLayout w:type="fixed"/>
        <w:tblCellMar>
          <w:top w:w="28" w:type="dxa"/>
          <w:left w:w="28" w:type="dxa"/>
          <w:bottom w:w="28" w:type="dxa"/>
          <w:right w:w="28" w:type="dxa"/>
        </w:tblCellMar>
      </w:tblPr>
      <w:tblGrid>
        <w:gridCol w:w="6246"/>
        <w:gridCol w:w="146"/>
        <w:gridCol w:w="236"/>
        <w:gridCol w:w="904"/>
        <w:gridCol w:w="166"/>
        <w:gridCol w:w="146"/>
        <w:gridCol w:w="226"/>
        <w:gridCol w:w="869"/>
        <w:gridCol w:w="611"/>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Current assets:</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11,834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Short-term investments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93,968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Accounts receivable</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10,956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Inventories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14,835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Prepaid and other current assets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current assets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134,555</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Property and equipment, net</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10,138</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Operating leases right-of-use assets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3,943</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Restricted cash</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761</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assets</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150,164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Current liabilities:</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Accrued expenses and other current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12,672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Lease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current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17,237</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Long-term lease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2,856</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Term loan, net</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40,169</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long-term liabilities</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60,262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Commitments and contingencies (Note 9)</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Stockholders' equity:</w:t>
            </w:r>
          </w:p>
        </w:tc>
        <w:tc>
          <w:tcPr>
            <w:tcW w:w="146" w:type="dxa"/>
            <w:tcBorders/>
            <w:shd w:fill="FFFFFF" w:val="clear"/>
            <w:vAlign w:val="center"/>
          </w:tcPr>
          <w:p>
            <w:pPr>
              <w:pStyle w:val="TableContents"/>
              <w:bidi w:val="0"/>
              <w:spacing w:before="0" w:after="283"/>
              <w:jc w:val="righ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Common stock, $0.001</w:t>
            </w:r>
            <w:r>
              <w:rPr>
                <w:rFonts w:ascii="Times New Roman" w:hAnsi="Times New Roman"/>
                <w:color w:val="000000"/>
                <w:sz w:val="20"/>
              </w:rPr>
              <w:t> </w:t>
            </w:r>
            <w:r>
              <w:rPr>
                <w:rFonts w:ascii="Times New Roman" w:hAnsi="Times New Roman"/>
                <w:b w:val="false"/>
                <w:color w:val="000000"/>
                <w:sz w:val="16"/>
              </w:rPr>
              <w:t>par value, 900,000,000</w:t>
            </w:r>
            <w:r>
              <w:rPr>
                <w:rFonts w:ascii="Times New Roman" w:hAnsi="Times New Roman"/>
                <w:color w:val="000000"/>
                <w:sz w:val="20"/>
              </w:rPr>
              <w:t> </w:t>
            </w:r>
            <w:r>
              <w:rPr>
                <w:rFonts w:ascii="Times New Roman" w:hAnsi="Times New Roman"/>
                <w:b w:val="false"/>
                <w:color w:val="000000"/>
                <w:sz w:val="16"/>
              </w:rPr>
              <w:t>shares authorized, 35,847,685</w:t>
            </w:r>
            <w:r>
              <w:rPr>
                <w:rFonts w:ascii="Times New Roman" w:hAnsi="Times New Roman"/>
                <w:color w:val="000000"/>
                <w:sz w:val="20"/>
              </w:rPr>
              <w:t> </w:t>
            </w:r>
            <w:r>
              <w:rPr>
                <w:rFonts w:ascii="Times New Roman" w:hAnsi="Times New Roman"/>
                <w:b w:val="false"/>
                <w:color w:val="000000"/>
                <w:sz w:val="16"/>
              </w:rPr>
              <w:t>shares</w:t>
              <w:br/>
              <w:t>  issued and outstanding as of September 30, 2023 and 28,268,389</w:t>
            </w:r>
            <w:r>
              <w:rPr>
                <w:rFonts w:ascii="Times New Roman" w:hAnsi="Times New Roman"/>
                <w:color w:val="000000"/>
                <w:sz w:val="20"/>
              </w:rPr>
              <w:t> </w:t>
            </w:r>
            <w:r>
              <w:rPr>
                <w:rFonts w:ascii="Times New Roman" w:hAnsi="Times New Roman"/>
                <w:b w:val="false"/>
                <w:color w:val="000000"/>
                <w:sz w:val="16"/>
              </w:rPr>
              <w:t xml:space="preserve">shares </w:t>
              <w:br/>
              <w:t>  issued and outstanding as of December 31, 2022</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Preferred stock, $0.001</w:t>
            </w:r>
            <w:r>
              <w:rPr>
                <w:rFonts w:ascii="Times New Roman" w:hAnsi="Times New Roman"/>
                <w:color w:val="000000"/>
                <w:sz w:val="20"/>
              </w:rPr>
              <w:t> </w:t>
            </w:r>
            <w:r>
              <w:rPr>
                <w:rFonts w:ascii="Times New Roman" w:hAnsi="Times New Roman"/>
                <w:b w:val="false"/>
                <w:color w:val="000000"/>
                <w:sz w:val="16"/>
              </w:rPr>
              <w:t>par value, 100,000,000</w:t>
            </w:r>
            <w:r>
              <w:rPr>
                <w:rFonts w:ascii="Times New Roman" w:hAnsi="Times New Roman"/>
                <w:color w:val="000000"/>
                <w:sz w:val="20"/>
              </w:rPr>
              <w:t> </w:t>
            </w:r>
            <w:r>
              <w:rPr>
                <w:rFonts w:ascii="Times New Roman" w:hAnsi="Times New Roman"/>
                <w:b w:val="false"/>
                <w:color w:val="000000"/>
                <w:sz w:val="16"/>
              </w:rPr>
              <w:t>shares authorized, no</w:t>
            </w:r>
            <w:r>
              <w:rPr>
                <w:rFonts w:ascii="Times New Roman" w:hAnsi="Times New Roman"/>
                <w:color w:val="000000"/>
                <w:sz w:val="20"/>
              </w:rPr>
              <w:t> </w:t>
            </w:r>
            <w:r>
              <w:rPr>
                <w:rFonts w:ascii="Times New Roman" w:hAnsi="Times New Roman"/>
                <w:b w:val="false"/>
                <w:color w:val="000000"/>
                <w:sz w:val="16"/>
              </w:rPr>
              <w:t>shares issued</w:t>
              <w:br/>
              <w:t>  and outstanding</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Additional paid-in capital</w:t>
            </w:r>
          </w:p>
        </w:tc>
        <w:tc>
          <w:tcPr>
            <w:tcW w:w="146" w:type="dxa"/>
            <w:tcBorders/>
            <w:shd w:fill="CFF0FC" w:val="clear"/>
            <w:vAlign w:val="center"/>
          </w:tcPr>
          <w:p>
            <w:pPr>
              <w:pStyle w:val="TableContents"/>
              <w:bidi w:val="0"/>
              <w:spacing w:before="0" w:after="283"/>
              <w:jc w:val="right"/>
              <w:rPr/>
            </w:pPr>
            <w:r>
              <w:rPr/>
              <w:t> </w:t>
            </w:r>
          </w:p>
        </w:tc>
        <w:tc>
          <w:tcPr>
            <w:tcW w:w="236"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636,001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Accumulated other comprehensive loss</w:t>
            </w:r>
          </w:p>
        </w:tc>
        <w:tc>
          <w:tcPr>
            <w:tcW w:w="146"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Accumulated deficit</w:t>
            </w:r>
          </w:p>
        </w:tc>
        <w:tc>
          <w:tcPr>
            <w:tcW w:w="146" w:type="dxa"/>
            <w:tcBorders/>
            <w:shd w:fill="CFF0FC" w:val="cle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(585,463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(546,032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Total stockholders' equity</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89,902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181,850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150,164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unaudited condensed consolidated financial statements.</w:t>
      </w:r>
    </w:p>
    <w:p>
      <w:pPr>
        <w:pStyle w:val="TextBody"/>
        <w:bidi w:val="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LOSS (UNAUDITED)</w:t>
      </w:r>
    </w:p>
    <w:p>
      <w:pPr>
        <w:pStyle w:val="TextBody"/>
        <w:pBdr>
          <w:bottom w:val="single" w:sz="12" w:space="1" w:color="000000"/>
        </w:pBdr>
        <w:bidi w:val="0"/>
        <w:jc w:val="center"/>
        <w:rPr>
          <w:rFonts w:ascii="Times New Roman" w:hAnsi="Times New Roman"/>
          <w:b w:val="false"/>
          <w:color w:val="000000"/>
          <w:sz w:val="22"/>
        </w:rPr>
      </w:pPr>
      <w:r>
        <w:rPr>
          <w:rFonts w:ascii="Times New Roman" w:hAnsi="Times New Roman"/>
          <w:b w:val="false"/>
          <w:color w:val="000000"/>
          <w:sz w:val="22"/>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8"/>
        <w:gridCol w:w="746"/>
        <w:gridCol w:w="201"/>
        <w:gridCol w:w="944"/>
        <w:gridCol w:w="170"/>
        <w:gridCol w:w="150"/>
        <w:gridCol w:w="201"/>
        <w:gridCol w:w="944"/>
        <w:gridCol w:w="166"/>
        <w:gridCol w:w="146"/>
        <w:gridCol w:w="198"/>
        <w:gridCol w:w="926"/>
        <w:gridCol w:w="167"/>
        <w:gridCol w:w="147"/>
        <w:gridCol w:w="198"/>
        <w:gridCol w:w="926"/>
        <w:gridCol w:w="797"/>
      </w:tblGrid>
      <w:tr>
        <w:trPr/>
        <w:tc>
          <w:tcPr>
            <w:tcW w:w="317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4" w:type="dxa"/>
            <w:gridSpan w:val="2"/>
            <w:tcBorders/>
            <w:shd w:fill="FFFFFF" w:val="cle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center"/>
              <w:rPr/>
            </w:pPr>
            <w:r>
              <w:rPr/>
              <w:t> </w:t>
            </w:r>
          </w:p>
        </w:tc>
        <w:tc>
          <w:tcPr>
            <w:tcW w:w="797" w:type="dxa"/>
            <w:tcBorders/>
            <w:shd w:fill="FFFFFF" w:val="cle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Sales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22,199</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60,497</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32,917</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Cost of sales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8,468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24,386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19,011</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Gross profit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13,731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36,111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13,906</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Operating expenses: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Selling, general and administrative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19,142</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14,926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53,634</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42,934</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Research and development</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7,101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21,710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19,300</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8"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Total operating expenses</w:t>
            </w:r>
          </w:p>
        </w:tc>
        <w:tc>
          <w:tcPr>
            <w:tcW w:w="746" w:type="dxa"/>
            <w:tcBorders/>
            <w:shd w:fill="CFF0FC" w:val="clear"/>
            <w:vAlign w:val="center"/>
          </w:tcPr>
          <w:p>
            <w:pPr>
              <w:pStyle w:val="TableContents"/>
              <w:bidi w:val="0"/>
              <w:spacing w:before="0" w:after="283"/>
              <w:ind w:left="600" w:right="0" w:firstLine="6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26,243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75,344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62,234</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178"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Loss from operations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(12,512</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(15,958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(39,233</w:t>
            </w:r>
          </w:p>
        </w:tc>
        <w:tc>
          <w:tcPr>
            <w:tcW w:w="16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(48,328</w:t>
            </w:r>
          </w:p>
        </w:tc>
        <w:tc>
          <w:tcPr>
            <w:tcW w:w="797"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Other income (expense), net:</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Interest expense</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(230</w:t>
            </w:r>
          </w:p>
        </w:tc>
        <w:tc>
          <w:tcPr>
            <w:tcW w:w="17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(3,304</w:t>
            </w:r>
          </w:p>
        </w:tc>
        <w:tc>
          <w:tcPr>
            <w:tcW w:w="167"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(3,495</w:t>
            </w:r>
          </w:p>
        </w:tc>
        <w:tc>
          <w:tcPr>
            <w:tcW w:w="797"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Interest and other income</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1,746</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4,913</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681</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Loss on extinguishment of term loan</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(1,769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Loss before income taxes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(12,403</w:t>
            </w:r>
          </w:p>
        </w:tc>
        <w:tc>
          <w:tcPr>
            <w:tcW w:w="1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(16,818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(39,393</w:t>
            </w:r>
          </w:p>
        </w:tc>
        <w:tc>
          <w:tcPr>
            <w:tcW w:w="16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(51,142</w:t>
            </w:r>
          </w:p>
        </w:tc>
        <w:tc>
          <w:tcPr>
            <w:tcW w:w="79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Income tax expense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600"/>
              <w:jc w:val="left"/>
              <w:rPr/>
            </w:pPr>
            <w:r>
              <w:rPr/>
              <w:t> </w:t>
            </w:r>
          </w:p>
        </w:tc>
      </w:tr>
      <w:tr>
        <w:trPr/>
        <w:tc>
          <w:tcPr>
            <w:tcW w:w="3178"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Net loss</w:t>
            </w:r>
          </w:p>
        </w:tc>
        <w:tc>
          <w:tcPr>
            <w:tcW w:w="746" w:type="dxa"/>
            <w:tcBorders/>
            <w:shd w:fill="FFFFFF" w:val="clear"/>
            <w:vAlign w:val="center"/>
          </w:tcPr>
          <w:p>
            <w:pPr>
              <w:pStyle w:val="TableContents"/>
              <w:bidi w:val="0"/>
              <w:spacing w:before="0" w:after="283"/>
              <w:ind w:left="600" w:right="0" w:firstLine="600"/>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(12,415</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(39,431</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(51,146</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Other comprehensive income (loss)</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400"/>
              <w:jc w:val="left"/>
              <w:rPr/>
            </w:pPr>
            <w:r>
              <w:rPr/>
              <w:t> </w:t>
            </w:r>
          </w:p>
        </w:tc>
      </w:tr>
      <w:tr>
        <w:trPr/>
        <w:tc>
          <w:tcPr>
            <w:tcW w:w="3178"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Unrealized gain (loss) on short-term investments</w:t>
            </w:r>
          </w:p>
        </w:tc>
        <w:tc>
          <w:tcPr>
            <w:tcW w:w="746" w:type="dxa"/>
            <w:tcBorders/>
            <w:shd w:fill="FFFFFF" w:val="clear"/>
            <w:vAlign w:val="center"/>
          </w:tcPr>
          <w:p>
            <w:pPr>
              <w:pStyle w:val="TableContents"/>
              <w:bidi w:val="0"/>
              <w:spacing w:before="0" w:after="283"/>
              <w:ind w:left="400" w:right="0" w:firstLine="400"/>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38</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797"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Foreign currency translation (loss)</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CFF0FC" w:val="cle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Total other comprehensive income (loss)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(118</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Comprehensive loss</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(12,402</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(39,396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(51,264</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CFF0FC" w:val="clear"/>
            <w:vAlign w:val="center"/>
          </w:tcPr>
          <w:p>
            <w:pPr>
              <w:pStyle w:val="TableContents"/>
              <w:bidi w:val="0"/>
              <w:spacing w:before="0" w:after="283"/>
              <w:jc w:val="left"/>
              <w:rPr>
                <w:sz w:val="4"/>
                <w:szCs w:val="4"/>
              </w:rPr>
            </w:pPr>
            <w:r>
              <w:rPr>
                <w:sz w:val="4"/>
                <w:szCs w:val="4"/>
              </w:rPr>
            </w:r>
          </w:p>
        </w:tc>
        <w:tc>
          <w:tcPr>
            <w:tcW w:w="746"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114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ind w:left="0" w:right="0" w:firstLine="200"/>
              <w:jc w:val="left"/>
              <w:rPr/>
            </w:pPr>
            <w:r>
              <w:rPr/>
              <w:t> </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Net loss per share: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400"/>
              <w:jc w:val="left"/>
              <w:rPr/>
            </w:pPr>
            <w:r>
              <w:rPr/>
              <w:t> </w:t>
            </w:r>
          </w:p>
        </w:tc>
      </w:tr>
      <w:tr>
        <w:trPr/>
        <w:tc>
          <w:tcPr>
            <w:tcW w:w="3178"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Basic &amp; diluted</w:t>
            </w:r>
          </w:p>
        </w:tc>
        <w:tc>
          <w:tcPr>
            <w:tcW w:w="746" w:type="dxa"/>
            <w:tcBorders/>
            <w:shd w:fill="CFF0FC" w:val="clear"/>
            <w:vAlign w:val="center"/>
          </w:tcPr>
          <w:p>
            <w:pPr>
              <w:pStyle w:val="TableContents"/>
              <w:bidi w:val="0"/>
              <w:spacing w:before="0" w:after="283"/>
              <w:ind w:left="400" w:right="0" w:firstLine="400"/>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(0.35</w:t>
            </w:r>
          </w:p>
        </w:tc>
        <w:tc>
          <w:tcPr>
            <w:tcW w:w="17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(0.61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w:t>
            </w:r>
          </w:p>
        </w:tc>
        <w:tc>
          <w:tcPr>
            <w:tcW w:w="167"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(1.86</w:t>
            </w:r>
          </w:p>
        </w:tc>
        <w:tc>
          <w:tcPr>
            <w:tcW w:w="797"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317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Weighted-average shares used in computing net loss per share:</w:t>
            </w:r>
          </w:p>
        </w:tc>
        <w:tc>
          <w:tcPr>
            <w:tcW w:w="746" w:type="dxa"/>
            <w:tcBorders/>
            <w:shd w:fill="FFFFFF" w:val="clear"/>
            <w:vAlign w:val="center"/>
          </w:tcPr>
          <w:p>
            <w:pPr>
              <w:pStyle w:val="TableContents"/>
              <w:bidi w:val="0"/>
              <w:spacing w:before="0" w:after="283"/>
              <w:ind w:left="200" w:right="0" w:firstLine="200"/>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firstLine="200"/>
              <w:jc w:val="left"/>
              <w:rPr/>
            </w:pPr>
            <w:r>
              <w:rPr/>
              <w:t> </w:t>
            </w:r>
          </w:p>
        </w:tc>
      </w:tr>
      <w:tr>
        <w:trPr/>
        <w:tc>
          <w:tcPr>
            <w:tcW w:w="317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Attributable to common stock, basic &amp; diluted</w:t>
            </w:r>
          </w:p>
        </w:tc>
        <w:tc>
          <w:tcPr>
            <w:tcW w:w="746" w:type="dxa"/>
            <w:tcBorders/>
            <w:shd w:fill="CFF0FC" w:val="clear"/>
            <w:vAlign w:val="center"/>
          </w:tcPr>
          <w:p>
            <w:pPr>
              <w:pStyle w:val="TableContents"/>
              <w:bidi w:val="0"/>
              <w:spacing w:before="0" w:after="283"/>
              <w:ind w:left="200" w:right="0" w:firstLine="200"/>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35,662,397</w:t>
            </w:r>
          </w:p>
        </w:tc>
        <w:tc>
          <w:tcPr>
            <w:tcW w:w="17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27,665,842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33,947,331</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92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27,551,333</w:t>
            </w:r>
          </w:p>
        </w:tc>
        <w:tc>
          <w:tcPr>
            <w:tcW w:w="797"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unaudited condensed consolidated financial statements.</w:t>
      </w:r>
    </w:p>
    <w:p>
      <w:pPr>
        <w:pStyle w:val="TextBody"/>
        <w:bidi w:val="0"/>
        <w:jc w:val="center"/>
        <w:rPr/>
      </w:pPr>
      <w:r>
        <w:rPr/>
        <w:t> </w:t>
      </w:r>
    </w:p>
    <w:p>
      <w:pPr>
        <w:pStyle w:val="TextBody"/>
        <w:bidi w:val="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RxSIGHT, INC.</w:t>
      </w:r>
    </w:p>
    <w:p>
      <w:pPr>
        <w:pStyle w:val="TextBody"/>
        <w:bidi w:val="0"/>
        <w:jc w:val="center"/>
        <w:rPr>
          <w:rFonts w:ascii="Times New Roman" w:hAnsi="Times New Roman"/>
          <w:b/>
          <w:color w:val="000000"/>
          <w:sz w:val="16"/>
        </w:rPr>
      </w:pPr>
      <w:bookmarkStart w:id="6" w:name="equity"/>
      <w:bookmarkEnd w:id="6"/>
      <w:r>
        <w:rPr>
          <w:rFonts w:ascii="Times New Roman" w:hAnsi="Times New Roman"/>
          <w:b/>
          <w:color w:val="000000"/>
          <w:sz w:val="16"/>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16"/>
        </w:rPr>
        <w:t>(UNAUDITED)</w:t>
      </w:r>
      <w:r>
        <w:rPr>
          <w:rFonts w:ascii="Times New Roman" w:hAnsi="Times New Roman"/>
          <w:color w:val="000000"/>
          <w:sz w:val="20"/>
        </w:rPr>
        <w:t xml:space="preserve"> </w:t>
      </w:r>
    </w:p>
    <w:p>
      <w:pPr>
        <w:pStyle w:val="TextBody"/>
        <w:pBdr>
          <w:bottom w:val="single" w:sz="12" w:space="1" w:color="000000"/>
        </w:pBdr>
        <w:bidi w:val="0"/>
        <w:jc w:val="center"/>
        <w:rPr>
          <w:rFonts w:ascii="Times New Roman" w:hAnsi="Times New Roman"/>
          <w:b w:val="false"/>
          <w:color w:val="000000"/>
          <w:sz w:val="16"/>
        </w:rPr>
      </w:pPr>
      <w:r>
        <w:rPr>
          <w:rFonts w:ascii="Times New Roman" w:hAnsi="Times New Roman"/>
          <w:b w:val="false"/>
          <w:color w:val="000000"/>
          <w:sz w:val="16"/>
        </w:rPr>
        <w:t>(In thousands, except number of shares)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29"/>
        <w:gridCol w:w="146"/>
        <w:gridCol w:w="146"/>
        <w:gridCol w:w="916"/>
        <w:gridCol w:w="166"/>
        <w:gridCol w:w="146"/>
        <w:gridCol w:w="271"/>
        <w:gridCol w:w="480"/>
        <w:gridCol w:w="146"/>
        <w:gridCol w:w="146"/>
        <w:gridCol w:w="221"/>
        <w:gridCol w:w="785"/>
        <w:gridCol w:w="166"/>
        <w:gridCol w:w="146"/>
        <w:gridCol w:w="532"/>
        <w:gridCol w:w="755"/>
        <w:gridCol w:w="166"/>
        <w:gridCol w:w="146"/>
        <w:gridCol w:w="233"/>
        <w:gridCol w:w="893"/>
        <w:gridCol w:w="166"/>
        <w:gridCol w:w="146"/>
        <w:gridCol w:w="251"/>
        <w:gridCol w:w="892"/>
        <w:gridCol w:w="215"/>
      </w:tblGrid>
      <w:tr>
        <w:trPr/>
        <w:tc>
          <w:tcPr>
            <w:tcW w:w="1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1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5" w:type="dxa"/>
            <w:tcBorders/>
            <w:shd w:fill="FFFFFF" w:val="cle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28,268,389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636,001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(546,032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89,902</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exercise of stock options</w:t>
              <w:br/>
              <w:t>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243,598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761</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redeemed for employee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(24,631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(337</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3,295</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common stock for public offering, net of underwriting discounts, commissions and offering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53,600</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Issuance of common stock for at-the-market offerings, </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879,341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10,914</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Unrealized gain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84</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(13,212</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33,966,697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704,228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(559,244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145,009</w:t>
            </w:r>
          </w:p>
        </w:tc>
        <w:tc>
          <w:tcPr>
            <w:tcW w:w="21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exercise of stock options</w:t>
              <w:br/>
              <w:t>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316,092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2,599</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3,955</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50,504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536</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Issuance of common stock for at-the-market offerings, </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834,748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18,957</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Unrealized loss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(13,804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35,168,041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730,274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(573,048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157,188</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exercise of stock options</w:t>
              <w:br/>
              <w:t>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289,010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1,994</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redeemed for employee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(37,366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(1,084</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0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4,071</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Issuance of common stock for at-the-market offerings, </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11,712</w:t>
            </w:r>
          </w:p>
        </w:tc>
        <w:tc>
          <w:tcPr>
            <w:tcW w:w="215"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Unrealized gain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w:t>
            </w:r>
          </w:p>
        </w:tc>
        <w:tc>
          <w:tcPr>
            <w:tcW w:w="215" w:type="dxa"/>
            <w:tcBorders/>
            <w:shd w:fill="CFF0FC" w:val="clear"/>
            <w:vAlign w:val="center"/>
          </w:tcPr>
          <w:p>
            <w:pPr>
              <w:pStyle w:val="TableContents"/>
              <w:bidi w:val="0"/>
              <w:spacing w:before="0" w:after="283"/>
              <w:jc w:val="left"/>
              <w:rPr/>
            </w:pPr>
            <w:r>
              <w:rPr/>
              <w:t> </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w:t>
            </w:r>
          </w:p>
        </w:tc>
        <w:tc>
          <w:tcPr>
            <w:tcW w:w="21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2"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(12,415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(12,415</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35,847,685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746,966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(585,463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161,479</w:t>
            </w:r>
          </w:p>
        </w:tc>
        <w:tc>
          <w:tcPr>
            <w:tcW w:w="21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unaudited condensed consolidated financial statements</w:t>
      </w:r>
    </w:p>
    <w:p>
      <w:pPr>
        <w:pStyle w:val="TextBody"/>
        <w:bidi w:val="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RxSIGHT,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16"/>
        </w:rPr>
        <w:t>CONDENSED CONSOLIDATED STATEMENTS OF STOCKHOLDERS’ EQUITY</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16"/>
        </w:rPr>
      </w:pPr>
      <w:r>
        <w:rPr>
          <w:rFonts w:ascii="Times New Roman" w:hAnsi="Times New Roman"/>
          <w:b/>
          <w:caps/>
          <w:color w:val="000000"/>
          <w:sz w:val="16"/>
        </w:rPr>
        <w:t>(UNAUDITED)</w:t>
      </w:r>
    </w:p>
    <w:p>
      <w:pPr>
        <w:pStyle w:val="TextBody"/>
        <w:pBdr>
          <w:bottom w:val="single" w:sz="12" w:space="1" w:color="000000"/>
        </w:pBdr>
        <w:bidi w:val="0"/>
        <w:jc w:val="center"/>
        <w:rPr>
          <w:rFonts w:ascii="Times New Roman" w:hAnsi="Times New Roman"/>
          <w:b w:val="false"/>
          <w:color w:val="000000"/>
          <w:sz w:val="16"/>
        </w:rPr>
      </w:pPr>
      <w:r>
        <w:rPr>
          <w:rFonts w:ascii="Times New Roman" w:hAnsi="Times New Roman"/>
          <w:b w:val="false"/>
          <w:color w:val="000000"/>
          <w:sz w:val="16"/>
        </w:rPr>
        <w:t>(In thousands, except number of shares)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6"/>
        <w:gridCol w:w="146"/>
        <w:gridCol w:w="146"/>
        <w:gridCol w:w="916"/>
        <w:gridCol w:w="166"/>
        <w:gridCol w:w="146"/>
        <w:gridCol w:w="271"/>
        <w:gridCol w:w="480"/>
        <w:gridCol w:w="146"/>
        <w:gridCol w:w="146"/>
        <w:gridCol w:w="238"/>
        <w:gridCol w:w="845"/>
        <w:gridCol w:w="166"/>
        <w:gridCol w:w="146"/>
        <w:gridCol w:w="473"/>
        <w:gridCol w:w="856"/>
        <w:gridCol w:w="166"/>
        <w:gridCol w:w="146"/>
        <w:gridCol w:w="233"/>
        <w:gridCol w:w="893"/>
        <w:gridCol w:w="166"/>
        <w:gridCol w:w="146"/>
        <w:gridCol w:w="265"/>
        <w:gridCol w:w="941"/>
        <w:gridCol w:w="216"/>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9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gridSpan w:val="2"/>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gridSpan w:val="2"/>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6" w:type="dxa"/>
            <w:tcBorders/>
            <w:shd w:fill="FFFFFF" w:val="clear"/>
            <w:vAlign w:val="center"/>
          </w:tcPr>
          <w:p>
            <w:pPr>
              <w:pStyle w:val="TableContents"/>
              <w:bidi w:val="0"/>
              <w:spacing w:before="0" w:after="283"/>
              <w:jc w:val="center"/>
              <w:rPr/>
            </w:pPr>
            <w:r>
              <w:rPr/>
              <w:t> </w:t>
            </w:r>
          </w:p>
        </w:tc>
      </w:tr>
      <w:tr>
        <w:trPr/>
        <w:tc>
          <w:tcPr>
            <w:tcW w:w="1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27,366,746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617,511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(479,276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138,242</w:t>
            </w:r>
          </w:p>
        </w:tc>
        <w:tc>
          <w:tcPr>
            <w:tcW w:w="216" w:type="dxa"/>
            <w:tcBorders/>
            <w:shd w:fill="CFF0FC" w:val="clear"/>
            <w:vAlign w:val="center"/>
          </w:tcPr>
          <w:p>
            <w:pPr>
              <w:pStyle w:val="TableContents"/>
              <w:bidi w:val="0"/>
              <w:spacing w:before="0" w:after="283"/>
              <w:jc w:val="left"/>
              <w:rPr/>
            </w:pPr>
            <w:r>
              <w:rPr/>
              <w:t> </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exercise of stock options</w:t>
              <w:br/>
              <w:t>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308</w:t>
            </w:r>
          </w:p>
        </w:tc>
        <w:tc>
          <w:tcPr>
            <w:tcW w:w="216" w:type="dxa"/>
            <w:tcBorders/>
            <w:shd w:fill="FFFFFF" w:val="cle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redeemed for employee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(26,983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2,649</w:t>
            </w:r>
          </w:p>
        </w:tc>
        <w:tc>
          <w:tcPr>
            <w:tcW w:w="216" w:type="dxa"/>
            <w:tcBorders/>
            <w:shd w:fill="FFFFFF" w:val="cle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Unrealized loss on short-term investments </w:t>
              <w:br/>
              <w:t> and cash equivalents,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(17,596</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27,485,685</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4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620,106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(496,872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123,163</w:t>
            </w:r>
          </w:p>
        </w:tc>
        <w:tc>
          <w:tcPr>
            <w:tcW w:w="216" w:type="dxa"/>
            <w:tcBorders/>
            <w:shd w:fill="FFFFFF" w:val="cle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exercise of stock options</w:t>
              <w:br/>
              <w:t> and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99,743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w:t>
            </w:r>
          </w:p>
        </w:tc>
        <w:tc>
          <w:tcPr>
            <w:tcW w:w="216" w:type="dxa"/>
            <w:tcBorders/>
            <w:shd w:fill="CFF0FC" w:val="clear"/>
            <w:vAlign w:val="center"/>
          </w:tcPr>
          <w:p>
            <w:pPr>
              <w:pStyle w:val="TableContents"/>
              <w:bidi w:val="0"/>
              <w:spacing w:before="0" w:after="283"/>
              <w:jc w:val="left"/>
              <w:rPr/>
            </w:pPr>
            <w:r>
              <w:rPr/>
              <w:t> </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2,904</w:t>
            </w:r>
          </w:p>
        </w:tc>
        <w:tc>
          <w:tcPr>
            <w:tcW w:w="216" w:type="dxa"/>
            <w:tcBorders/>
            <w:shd w:fill="FFFFFF" w:val="cle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459</w:t>
            </w:r>
          </w:p>
        </w:tc>
        <w:tc>
          <w:tcPr>
            <w:tcW w:w="216" w:type="dxa"/>
            <w:tcBorders/>
            <w:shd w:fill="CFF0FC" w:val="clear"/>
            <w:vAlign w:val="center"/>
          </w:tcPr>
          <w:p>
            <w:pPr>
              <w:pStyle w:val="TableContents"/>
              <w:bidi w:val="0"/>
              <w:spacing w:before="0" w:after="283"/>
              <w:jc w:val="left"/>
              <w:rPr/>
            </w:pPr>
            <w:r>
              <w:rPr/>
              <w:t> </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Unrealized loss on short-term investments </w:t>
              <w:br/>
              <w:t> and cash equivalents,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(76</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(16,732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27,631,479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623,746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(513,604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109,986</w:t>
            </w:r>
          </w:p>
        </w:tc>
        <w:tc>
          <w:tcPr>
            <w:tcW w:w="216" w:type="dxa"/>
            <w:tcBorders/>
            <w:shd w:fill="CFF0FC" w:val="clear"/>
            <w:vAlign w:val="center"/>
          </w:tcPr>
          <w:p>
            <w:pPr>
              <w:pStyle w:val="TableContents"/>
              <w:bidi w:val="0"/>
              <w:spacing w:before="0" w:after="283"/>
              <w:jc w:val="left"/>
              <w:rPr/>
            </w:pPr>
            <w:r>
              <w:rPr/>
              <w:t> </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exercise of stock options</w:t>
              <w:br/>
              <w:t>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110,126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145</w:t>
            </w:r>
          </w:p>
        </w:tc>
        <w:tc>
          <w:tcPr>
            <w:tcW w:w="216" w:type="dxa"/>
            <w:tcBorders/>
            <w:shd w:fill="FFFFFF" w:val="cle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redeemed for employee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(22,473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(281</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2,882</w:t>
            </w:r>
          </w:p>
        </w:tc>
        <w:tc>
          <w:tcPr>
            <w:tcW w:w="216" w:type="dxa"/>
            <w:tcBorders/>
            <w:shd w:fill="FFFFFF" w:val="cle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Shares issued for the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color w:val="000000"/>
              </w:rPr>
            </w:pPr>
            <w:r>
              <w:rPr>
                <w:color w:val="000000"/>
              </w:rPr>
              <w:t>—</w:t>
            </w:r>
          </w:p>
        </w:tc>
        <w:tc>
          <w:tcPr>
            <w:tcW w:w="216" w:type="dxa"/>
            <w:tcBorders/>
            <w:shd w:fill="CFF0FC" w:val="clear"/>
            <w:vAlign w:val="center"/>
          </w:tcPr>
          <w:p>
            <w:pPr>
              <w:pStyle w:val="TableContents"/>
              <w:bidi w:val="0"/>
              <w:spacing w:before="0" w:after="283"/>
              <w:jc w:val="left"/>
              <w:rPr/>
            </w:pPr>
            <w:r>
              <w:rPr/>
              <w:t> </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 xml:space="preserve">Unrealized gain on short-term investments </w:t>
              <w:br/>
              <w:t> and cash equivalents,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w:t>
            </w:r>
          </w:p>
        </w:tc>
        <w:tc>
          <w:tcPr>
            <w:tcW w:w="216" w:type="dxa"/>
            <w:tcBorders/>
            <w:shd w:fill="FFFFFF" w:val="clear"/>
            <w:vAlign w:val="center"/>
          </w:tcPr>
          <w:p>
            <w:pPr>
              <w:pStyle w:val="TableContents"/>
              <w:bidi w:val="0"/>
              <w:spacing w:before="0" w:after="283"/>
              <w:jc w:val="left"/>
              <w:rPr/>
            </w:pPr>
            <w:r>
              <w:rPr/>
              <w:t> </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(16,818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(16,818</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74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27,719,132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4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626,491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(530,422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95,959</w:t>
            </w:r>
          </w:p>
        </w:tc>
        <w:tc>
          <w:tcPr>
            <w:tcW w:w="21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unaudited condensed consolidated financial statements</w:t>
      </w:r>
    </w:p>
    <w:p>
      <w:pPr>
        <w:pStyle w:val="TextBody"/>
        <w:bidi w:val="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1"/>
        </w:rPr>
      </w:pPr>
      <w:r>
        <w:rPr>
          <w:rFonts w:ascii="Times New Roman" w:hAnsi="Times New Roman"/>
          <w:b/>
          <w:caps/>
          <w:color w:val="000000"/>
          <w:sz w:val="21"/>
        </w:rPr>
        <w:t>RxSIGHT, INC.</w:t>
      </w:r>
    </w:p>
    <w:p>
      <w:pPr>
        <w:pStyle w:val="TextBody"/>
        <w:bidi w:val="0"/>
        <w:jc w:val="center"/>
        <w:rPr>
          <w:rFonts w:ascii="Times New Roman" w:hAnsi="Times New Roman"/>
          <w:b/>
          <w:caps/>
          <w:color w:val="000000"/>
          <w:sz w:val="21"/>
        </w:rPr>
      </w:pPr>
      <w:bookmarkStart w:id="7" w:name="condensed_statements_cash_flows"/>
      <w:bookmarkEnd w:id="7"/>
      <w:r>
        <w:rPr>
          <w:rFonts w:ascii="Times New Roman" w:hAnsi="Times New Roman"/>
          <w:b/>
          <w:caps/>
          <w:color w:val="000000"/>
          <w:sz w:val="21"/>
        </w:rPr>
        <w:t>CONDENSED CONSOLIDATED STATEMENTS OF CASH FLOWS</w:t>
      </w:r>
    </w:p>
    <w:p>
      <w:pPr>
        <w:pStyle w:val="TextBody"/>
        <w:bidi w:val="0"/>
        <w:jc w:val="center"/>
        <w:rPr>
          <w:rFonts w:ascii="Times New Roman" w:hAnsi="Times New Roman"/>
          <w:b/>
          <w:caps/>
          <w:color w:val="000000"/>
          <w:sz w:val="21"/>
        </w:rPr>
      </w:pPr>
      <w:r>
        <w:rPr>
          <w:rFonts w:ascii="Times New Roman" w:hAnsi="Times New Roman"/>
          <w:b/>
          <w:caps/>
          <w:color w:val="000000"/>
          <w:sz w:val="21"/>
        </w:rPr>
        <w:t>(UNAUDITED)</w:t>
      </w:r>
    </w:p>
    <w:p>
      <w:pPr>
        <w:pStyle w:val="TextBody"/>
        <w:pBdr>
          <w:bottom w:val="single" w:sz="12" w:space="1" w:color="000000"/>
        </w:pBdr>
        <w:bidi w:val="0"/>
        <w:jc w:val="center"/>
        <w:rPr>
          <w:rFonts w:ascii="Times New Roman" w:hAnsi="Times New Roman"/>
          <w:b/>
          <w:color w:val="000000"/>
          <w:sz w:val="21"/>
        </w:rPr>
      </w:pPr>
      <w:r>
        <w:rPr>
          <w:rFonts w:ascii="Times New Roman" w:hAnsi="Times New Roman"/>
          <w:b/>
          <w:color w:val="000000"/>
          <w:sz w:val="21"/>
        </w:rPr>
        <w:t>(In thousands)</w:t>
      </w:r>
    </w:p>
    <w:p>
      <w:pPr>
        <w:pStyle w:val="TextBody"/>
        <w:bidi w:val="0"/>
        <w:jc w:val="left"/>
        <w:rPr/>
      </w:pPr>
      <w:r>
        <w:rPr/>
        <w:t> </w:t>
      </w:r>
    </w:p>
    <w:tbl>
      <w:tblPr>
        <w:tblW w:w="9315" w:type="dxa"/>
        <w:jc w:val="left"/>
        <w:tblInd w:w="0" w:type="dxa"/>
        <w:tblLayout w:type="fixed"/>
        <w:tblCellMar>
          <w:top w:w="28" w:type="dxa"/>
          <w:left w:w="28" w:type="dxa"/>
          <w:bottom w:w="28" w:type="dxa"/>
          <w:right w:w="28" w:type="dxa"/>
        </w:tblCellMar>
      </w:tblPr>
      <w:tblGrid>
        <w:gridCol w:w="5781"/>
        <w:gridCol w:w="146"/>
        <w:gridCol w:w="240"/>
        <w:gridCol w:w="859"/>
        <w:gridCol w:w="200"/>
        <w:gridCol w:w="194"/>
        <w:gridCol w:w="240"/>
        <w:gridCol w:w="859"/>
        <w:gridCol w:w="796"/>
      </w:tblGrid>
      <w:tr>
        <w:trPr/>
        <w:tc>
          <w:tcPr>
            <w:tcW w:w="5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796" w:type="dxa"/>
            <w:tcBorders/>
            <w:shd w:fill="FFFFFF" w:val="clear"/>
            <w:vAlign w:val="center"/>
          </w:tcPr>
          <w:p>
            <w:pPr>
              <w:pStyle w:val="TableContents"/>
              <w:bidi w:val="0"/>
              <w:spacing w:before="0" w:after="283"/>
              <w:jc w:val="center"/>
              <w:rPr/>
            </w:pPr>
            <w:r>
              <w:rPr/>
              <w:t> </w:t>
            </w:r>
          </w:p>
        </w:tc>
      </w:tr>
      <w:tr>
        <w:trPr/>
        <w:tc>
          <w:tcPr>
            <w:tcW w:w="5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(39,431</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(51,146</w:t>
            </w:r>
          </w:p>
        </w:tc>
        <w:tc>
          <w:tcPr>
            <w:tcW w:w="796"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Adjustments to reconcile net loss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3,027</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2,966</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Amortization of right-of-use lease assets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132</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95</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Amortization of debt issuance costs and premium</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287</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408</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1,769</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Amortization of discount on short-term investments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(4,545</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(622</w:t>
            </w:r>
          </w:p>
        </w:tc>
        <w:tc>
          <w:tcPr>
            <w:tcW w:w="79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11,321</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8,435</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Provision for excess and obsolete inventory</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454</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Accounts receivable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(4,288</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(4,159</w:t>
            </w:r>
          </w:p>
        </w:tc>
        <w:tc>
          <w:tcPr>
            <w:tcW w:w="796"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Inventories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(4,101</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(7,758</w:t>
            </w:r>
          </w:p>
        </w:tc>
        <w:tc>
          <w:tcPr>
            <w:tcW w:w="796"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Prepaid and other assets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997</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1,613</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Accounts payable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1,408</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2,331</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119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2,387</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8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(33,292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(44,996</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(3,223</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(2,031</w:t>
            </w:r>
          </w:p>
        </w:tc>
        <w:tc>
          <w:tcPr>
            <w:tcW w:w="796"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Maturity of short-term investments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205,000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210,000</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(228,472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(178,424</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(26,695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29,545</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Proceeds from term loan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20,000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Repayment of term loan</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(60,000</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Proceeds from issuance of common stock from public offering</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54,050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Proceeds from issuance of common stock for at-the-market offerings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42,433</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Proceeds from issuance of common stock</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5,890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1,189</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Payments for employee taxes related to stock compensation</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(1,421</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(643</w:t>
            </w:r>
          </w:p>
        </w:tc>
        <w:tc>
          <w:tcPr>
            <w:tcW w:w="796"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Principal payments on finance lease liabilities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(119</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(82</w:t>
            </w:r>
          </w:p>
        </w:tc>
        <w:tc>
          <w:tcPr>
            <w:tcW w:w="796"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Payments of deferred offering costs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(647</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(295</w:t>
            </w:r>
          </w:p>
        </w:tc>
        <w:tc>
          <w:tcPr>
            <w:tcW w:w="796"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Payments of debt issuance costs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(2,224</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(144</w:t>
            </w:r>
          </w:p>
        </w:tc>
        <w:tc>
          <w:tcPr>
            <w:tcW w:w="796"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5"/>
              </w:rPr>
            </w:pPr>
            <w:r>
              <w:rPr>
                <w:rFonts w:ascii="Times New Roman" w:hAnsi="Times New Roman"/>
                <w:b w:val="false"/>
                <w:color w:val="000000"/>
                <w:sz w:val="15"/>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57,962</w:t>
            </w:r>
          </w:p>
        </w:tc>
        <w:tc>
          <w:tcPr>
            <w:tcW w:w="200"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25</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Effect of foreign exchange rate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(23</w:t>
            </w:r>
          </w:p>
        </w:tc>
        <w:tc>
          <w:tcPr>
            <w:tcW w:w="796" w:type="dxa"/>
            <w:tcBorders/>
            <w:shd w:fill="CFF0FC"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(2,026</w:t>
            </w:r>
          </w:p>
        </w:tc>
        <w:tc>
          <w:tcPr>
            <w:tcW w:w="200"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(15,449</w:t>
            </w:r>
          </w:p>
        </w:tc>
        <w:tc>
          <w:tcPr>
            <w:tcW w:w="796"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beginning of period</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12,595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25,172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end of period</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10,569</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9,723</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1,666</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1,518</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Cash paid for income taxes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Cash paid for interest on financing leases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Cash paid for interest on term loan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3,464</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3,025</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Right-of-use assets obtained in exchange for lease obligations:</w:t>
            </w:r>
          </w:p>
        </w:tc>
        <w:tc>
          <w:tcPr>
            <w:tcW w:w="146"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1099"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Operating lease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1,090</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Finance lease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311</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Lease obligations recorded for right-of-use assets:</w:t>
            </w:r>
          </w:p>
        </w:tc>
        <w:tc>
          <w:tcPr>
            <w:tcW w:w="146"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99"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Operating lease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8</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1,090</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5"/>
              </w:rPr>
            </w:pPr>
            <w:r>
              <w:rPr>
                <w:rFonts w:ascii="Times New Roman" w:hAnsi="Times New Roman"/>
                <w:b w:val="false"/>
                <w:color w:val="000000"/>
                <w:sz w:val="15"/>
              </w:rPr>
              <w:t>Finance lease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color w:val="000000"/>
              </w:rPr>
            </w:pPr>
            <w:r>
              <w:rPr>
                <w:color w:val="000000"/>
              </w:rPr>
              <w:t>—</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280</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 xml:space="preserve">Acquisition of property and equipment included in accounts payable and accrued expenses </w:t>
              <w:br/>
              <w:t>  and other current liabilities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211</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151</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Deferred offering costs included in 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159</w:t>
            </w:r>
          </w:p>
        </w:tc>
        <w:tc>
          <w:tcPr>
            <w:tcW w:w="20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350</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5"/>
              </w:rPr>
            </w:pPr>
            <w:r>
              <w:rPr>
                <w:rFonts w:ascii="Times New Roman" w:hAnsi="Times New Roman"/>
                <w:b w:val="false"/>
                <w:color w:val="000000"/>
                <w:sz w:val="15"/>
              </w:rPr>
              <w:t>Reclassification of deferred financing costs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1,300</w:t>
            </w:r>
          </w:p>
        </w:tc>
        <w:tc>
          <w:tcPr>
            <w:tcW w:w="200"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color w:val="000000"/>
              </w:rPr>
            </w:pPr>
            <w:r>
              <w:rPr>
                <w:color w:val="000000"/>
              </w:rPr>
              <w:t>—</w:t>
            </w:r>
          </w:p>
        </w:tc>
        <w:tc>
          <w:tcPr>
            <w:tcW w:w="796"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unaudited condensed consolidated financial statements.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b/>
          <w:color w:val="000000"/>
          <w:sz w:val="20"/>
        </w:rPr>
      </w:pPr>
      <w:bookmarkStart w:id="8" w:name="notes_to_condensed_financial_statements"/>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Organization and Basis of Presentation</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Description of Business</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RxSight®, Inc. (the “Company”) is a Delaware corporation headquartered in Aliso Viejo, California with one</w:t>
      </w:r>
      <w:r>
        <w:rPr>
          <w:rFonts w:ascii="Times New Roman" w:hAnsi="Times New Roman"/>
          <w:color w:val="000000"/>
          <w:sz w:val="20"/>
        </w:rPr>
        <w:t xml:space="preserve"> </w:t>
      </w:r>
      <w:r>
        <w:rPr>
          <w:rFonts w:ascii="Times New Roman" w:hAnsi="Times New Roman"/>
          <w:b w:val="false"/>
          <w:color w:val="000000"/>
          <w:sz w:val="20"/>
        </w:rPr>
        <w:t>wholly owned subsidiary located in Amsterdam, Netherlands (“RxSight, B.V.”). The wholly owned subsidiary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w:t>
      </w:r>
      <w:r>
        <w:rPr>
          <w:rFonts w:ascii="Times New Roman" w:hAnsi="Times New Roman"/>
          <w:color w:val="000000"/>
          <w:sz w:val="20"/>
        </w:rPr>
        <w:t xml:space="preserve">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Company’s products, which include the light adjustable lens (“LAL®”) and a specially designed machine for delivering light to the eye, the Light Delivery Device (“LDD”),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Basis of Presentation and Principles of Consolidation</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Company’s condensed consolidated financial statements have been prepared in accordance with accounting principles generally accepted in the United States of America (“GAAP”) for interim financial information and pursuant to Form 10-Q and Article 8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2022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2022 Annual Report on Form 10-K filed with the SEC on March 6, 2023. The operating results presented in these unaudited condensed consolidated financial statements are not necessarily indicative of the results that may be expected for any future periods.</w:t>
      </w:r>
    </w:p>
    <w:p>
      <w:pPr>
        <w:pStyle w:val="TextBody"/>
        <w:bidi w:val="0"/>
        <w:spacing w:before="120" w:after="160"/>
        <w:jc w:val="left"/>
        <w:rPr>
          <w:rFonts w:ascii="Times New Roman" w:hAnsi="Times New Roman"/>
          <w:sz w:val="20"/>
        </w:rPr>
      </w:pPr>
      <w:r>
        <w:rPr>
          <w:rFonts w:ascii="Times New Roman" w:hAnsi="Times New Roman"/>
          <w:b w:val="false"/>
          <w:i/>
          <w:color w:val="000000"/>
          <w:sz w:val="20"/>
        </w:rPr>
        <w:t>Operating Segments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The Company determined that it operates and manages its business (including its non-U.S. subsidiaries) in one</w:t>
      </w:r>
      <w:r>
        <w:rPr>
          <w:rFonts w:ascii="Times New Roman" w:hAnsi="Times New Roman"/>
          <w:color w:val="000000"/>
          <w:sz w:val="20"/>
        </w:rPr>
        <w:t xml:space="preserve"> </w:t>
      </w:r>
      <w:r>
        <w:rPr>
          <w:rFonts w:ascii="Times New Roman" w:hAnsi="Times New Roman"/>
          <w:b w:val="false"/>
          <w:color w:val="000000"/>
          <w:sz w:val="20"/>
        </w:rPr>
        <w:t>reportable segment: the research and development, manufacture and sale of light adjustable lenses and related capital equipment.</w:t>
      </w:r>
      <w:r>
        <w:rPr>
          <w:rFonts w:ascii="Times New Roman" w:hAnsi="Times New Roman"/>
          <w:color w:val="000000"/>
          <w:sz w:val="20"/>
        </w:rPr>
        <w:t xml:space="preserve"> </w:t>
      </w:r>
    </w:p>
    <w:p>
      <w:pPr>
        <w:pStyle w:val="TextBody"/>
        <w:bidi w:val="0"/>
        <w:spacing w:before="120" w:after="160"/>
        <w:jc w:val="left"/>
        <w:rPr>
          <w:rFonts w:ascii="Times New Roman" w:hAnsi="Times New Roman"/>
          <w:b w:val="false"/>
          <w:i/>
          <w:color w:val="000000"/>
          <w:sz w:val="20"/>
        </w:rPr>
      </w:pPr>
      <w:r>
        <w:rPr>
          <w:rFonts w:ascii="Times New Roman" w:hAnsi="Times New Roman"/>
          <w:b w:val="false"/>
          <w:i/>
          <w:color w:val="000000"/>
          <w:sz w:val="20"/>
        </w:rPr>
        <w:t>Liquidity</w:t>
      </w:r>
    </w:p>
    <w:p>
      <w:pPr>
        <w:pStyle w:val="TextBody"/>
        <w:bidi w:val="0"/>
        <w:jc w:val="left"/>
        <w:rPr>
          <w:rFonts w:ascii="Times New Roman" w:hAnsi="Times New Roman"/>
          <w:sz w:val="20"/>
        </w:rPr>
      </w:pPr>
      <w:r>
        <w:rPr>
          <w:rFonts w:ascii="Times New Roman" w:hAnsi="Times New Roman"/>
          <w:b w:val="false"/>
          <w:i/>
          <w:color w:val="000000"/>
          <w:sz w:val="20"/>
        </w:rPr>
        <w:t>Shelf Registration Statement</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August 8, 2022, the Company filed a $200.0</w:t>
      </w:r>
      <w:r>
        <w:rPr>
          <w:rFonts w:ascii="Times New Roman" w:hAnsi="Times New Roman"/>
          <w:color w:val="000000"/>
          <w:sz w:val="20"/>
        </w:rPr>
        <w:t xml:space="preserve"> </w:t>
      </w:r>
      <w:r>
        <w:rPr>
          <w:rFonts w:ascii="Times New Roman" w:hAnsi="Times New Roman"/>
          <w:b w:val="false"/>
          <w:color w:val="000000"/>
          <w:sz w:val="20"/>
        </w:rPr>
        <w:t>million shelf registration statement on Form S-3 (“shelf registration statement”) which became effective on August 12, 2022. The shelf registration statement is effective for three years and permits the Company to sell, from time to time, up to $200.0</w:t>
      </w:r>
      <w:r>
        <w:rPr>
          <w:rFonts w:ascii="Times New Roman" w:hAnsi="Times New Roman"/>
          <w:color w:val="000000"/>
          <w:sz w:val="20"/>
        </w:rPr>
        <w:t xml:space="preserve"> </w:t>
      </w:r>
      <w:r>
        <w:rPr>
          <w:rFonts w:ascii="Times New Roman" w:hAnsi="Times New Roman"/>
          <w:b w:val="false"/>
          <w:color w:val="000000"/>
          <w:sz w:val="20"/>
        </w:rPr>
        <w:t>million in aggregate value of common stock, preferred stock, debt securities, warrants, and/or units. The shelf registration statement is intended to provide the Company with flexibility to access additional capital. At the time of filing the shelf registration statement, the Company also filed a prospectus supplement to sell up to an aggregate value of $50.0</w:t>
      </w:r>
      <w:r>
        <w:rPr>
          <w:rFonts w:ascii="Times New Roman" w:hAnsi="Times New Roman"/>
          <w:color w:val="000000"/>
          <w:sz w:val="20"/>
        </w:rPr>
        <w:t xml:space="preserve"> </w:t>
      </w:r>
      <w:r>
        <w:rPr>
          <w:rFonts w:ascii="Times New Roman" w:hAnsi="Times New Roman"/>
          <w:b w:val="false"/>
          <w:color w:val="000000"/>
          <w:sz w:val="20"/>
        </w:rPr>
        <w:t>million dollars of common</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stock through an “at-the-market” (“ATM”) offering. The Company sold the remaining authorized value of the common stock of $11.7</w:t>
      </w:r>
      <w:r>
        <w:rPr>
          <w:rFonts w:ascii="Times New Roman" w:hAnsi="Times New Roman"/>
          <w:color w:val="000000"/>
          <w:sz w:val="20"/>
        </w:rPr>
        <w:t xml:space="preserve"> </w:t>
      </w:r>
      <w:r>
        <w:rPr>
          <w:rFonts w:ascii="Times New Roman" w:hAnsi="Times New Roman"/>
          <w:b w:val="false"/>
          <w:color w:val="000000"/>
          <w:sz w:val="20"/>
        </w:rPr>
        <w:t>million under the ATM offering in the third quarter of 2023.</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ATM Offering</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As of September 30, 2023, through the ATM offering, a total of 2,617,964</w:t>
      </w:r>
      <w:r>
        <w:rPr>
          <w:rFonts w:ascii="Times New Roman" w:hAnsi="Times New Roman"/>
          <w:color w:val="000000"/>
          <w:sz w:val="20"/>
        </w:rPr>
        <w:t xml:space="preserve"> </w:t>
      </w:r>
      <w:r>
        <w:rPr>
          <w:rFonts w:ascii="Times New Roman" w:hAnsi="Times New Roman"/>
          <w:b w:val="false"/>
          <w:color w:val="000000"/>
          <w:sz w:val="20"/>
        </w:rPr>
        <w:t>shares of the Company's common stock, for total net proceeds of $47.5</w:t>
      </w:r>
      <w:r>
        <w:rPr>
          <w:rFonts w:ascii="Times New Roman" w:hAnsi="Times New Roman"/>
          <w:color w:val="000000"/>
          <w:sz w:val="20"/>
        </w:rPr>
        <w:t xml:space="preserve"> </w:t>
      </w:r>
      <w:r>
        <w:rPr>
          <w:rFonts w:ascii="Times New Roman" w:hAnsi="Times New Roman"/>
          <w:b w:val="false"/>
          <w:color w:val="000000"/>
          <w:sz w:val="20"/>
        </w:rPr>
        <w:t>million, have been issued and sold, of which 2,142,089</w:t>
      </w:r>
      <w:r>
        <w:rPr>
          <w:rFonts w:ascii="Times New Roman" w:hAnsi="Times New Roman"/>
          <w:color w:val="000000"/>
          <w:sz w:val="20"/>
        </w:rPr>
        <w:t xml:space="preserve"> </w:t>
      </w:r>
      <w:r>
        <w:rPr>
          <w:rFonts w:ascii="Times New Roman" w:hAnsi="Times New Roman"/>
          <w:b w:val="false"/>
          <w:color w:val="000000"/>
          <w:sz w:val="20"/>
        </w:rPr>
        <w:t>shares of the Company's common stock, for net proceeds of $41.6</w:t>
      </w:r>
      <w:r>
        <w:rPr>
          <w:rFonts w:ascii="Times New Roman" w:hAnsi="Times New Roman"/>
          <w:color w:val="000000"/>
          <w:sz w:val="20"/>
        </w:rPr>
        <w:t xml:space="preserve"> </w:t>
      </w:r>
      <w:r>
        <w:rPr>
          <w:rFonts w:ascii="Times New Roman" w:hAnsi="Times New Roman"/>
          <w:b w:val="false"/>
          <w:color w:val="000000"/>
          <w:sz w:val="20"/>
        </w:rPr>
        <w:t>million, were sold during the nine months ended September 30, 2023.</w:t>
      </w:r>
      <w:r>
        <w:rPr>
          <w:rFonts w:ascii="Times New Roman" w:hAnsi="Times New Roman"/>
          <w:color w:val="000000"/>
          <w:sz w:val="20"/>
        </w:rPr>
        <w:t xml:space="preserve">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Public Offering</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February 7, 2023, the Company entered into an underwriting agreement with BofA Securities, Inc., in which the Company agreed to issue and sell 4,000,000</w:t>
      </w:r>
      <w:r>
        <w:rPr>
          <w:rFonts w:ascii="Times New Roman" w:hAnsi="Times New Roman"/>
          <w:color w:val="000000"/>
          <w:sz w:val="20"/>
        </w:rPr>
        <w:t xml:space="preserve"> </w:t>
      </w:r>
      <w:r>
        <w:rPr>
          <w:rFonts w:ascii="Times New Roman" w:hAnsi="Times New Roman"/>
          <w:b w:val="false"/>
          <w:color w:val="000000"/>
          <w:sz w:val="20"/>
        </w:rPr>
        <w:t>shares of the Company's common stock in a public offering (“Public Offering”), pursuant to the shelf registration statement. The shares of common stock were sold at a price to the public of $12.50</w:t>
      </w:r>
      <w:r>
        <w:rPr>
          <w:rFonts w:ascii="Times New Roman" w:hAnsi="Times New Roman"/>
          <w:color w:val="000000"/>
          <w:sz w:val="20"/>
        </w:rPr>
        <w:t xml:space="preserve"> </w:t>
      </w:r>
      <w:r>
        <w:rPr>
          <w:rFonts w:ascii="Times New Roman" w:hAnsi="Times New Roman"/>
          <w:b w:val="false"/>
          <w:color w:val="000000"/>
          <w:sz w:val="20"/>
        </w:rPr>
        <w:t>per share. Under the terms of the underwriting agreement, the Company also granted the underwriters an option exercisable for 30 days from the date of the underwriting agreement to purchase up to an additional 600,000</w:t>
      </w:r>
      <w:r>
        <w:rPr>
          <w:rFonts w:ascii="Times New Roman" w:hAnsi="Times New Roman"/>
          <w:color w:val="000000"/>
          <w:sz w:val="20"/>
        </w:rPr>
        <w:t xml:space="preserve"> </w:t>
      </w:r>
      <w:r>
        <w:rPr>
          <w:rFonts w:ascii="Times New Roman" w:hAnsi="Times New Roman"/>
          <w:b w:val="false"/>
          <w:color w:val="000000"/>
          <w:sz w:val="20"/>
        </w:rPr>
        <w:t>shares of common stock on the same terms and conditions. The underwriters' option was exercised in full on February 10, 2023 and closed on February 14, 2023. The Company received net proceeds of approximately $53.6</w:t>
      </w:r>
      <w:r>
        <w:rPr>
          <w:rFonts w:ascii="Times New Roman" w:hAnsi="Times New Roman"/>
          <w:color w:val="000000"/>
          <w:sz w:val="20"/>
        </w:rPr>
        <w:t xml:space="preserve"> </w:t>
      </w:r>
      <w:r>
        <w:rPr>
          <w:rFonts w:ascii="Times New Roman" w:hAnsi="Times New Roman"/>
          <w:b w:val="false"/>
          <w:color w:val="000000"/>
          <w:sz w:val="20"/>
        </w:rPr>
        <w:t>million from the Public Offering, after deducting underwriters' discounts and commissions of $3.5</w:t>
      </w:r>
      <w:r>
        <w:rPr>
          <w:rFonts w:ascii="Times New Roman" w:hAnsi="Times New Roman"/>
          <w:color w:val="000000"/>
          <w:sz w:val="20"/>
        </w:rPr>
        <w:t xml:space="preserve"> </w:t>
      </w:r>
      <w:r>
        <w:rPr>
          <w:rFonts w:ascii="Times New Roman" w:hAnsi="Times New Roman"/>
          <w:b w:val="false"/>
          <w:color w:val="000000"/>
          <w:sz w:val="20"/>
        </w:rPr>
        <w:t>million and offering expenses of $0.5</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As of September 30, 2023 and December 31, 2022 the Company had cash, cash equivalents and short-term investments of $131.9</w:t>
      </w:r>
      <w:r>
        <w:rPr>
          <w:rFonts w:ascii="Times New Roman" w:hAnsi="Times New Roman"/>
          <w:color w:val="000000"/>
          <w:sz w:val="20"/>
        </w:rPr>
        <w:t xml:space="preserve"> </w:t>
      </w:r>
      <w:r>
        <w:rPr>
          <w:rFonts w:ascii="Times New Roman" w:hAnsi="Times New Roman"/>
          <w:b w:val="false"/>
          <w:color w:val="000000"/>
          <w:sz w:val="20"/>
        </w:rPr>
        <w:t>million and $105.8</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September 30, 2023 and 2022, the Company incurred losses from operations of $12.5</w:t>
      </w:r>
      <w:r>
        <w:rPr>
          <w:rFonts w:ascii="Times New Roman" w:hAnsi="Times New Roman"/>
          <w:color w:val="000000"/>
          <w:sz w:val="20"/>
        </w:rPr>
        <w:t xml:space="preserve"> </w:t>
      </w:r>
      <w:r>
        <w:rPr>
          <w:rFonts w:ascii="Times New Roman" w:hAnsi="Times New Roman"/>
          <w:b w:val="false"/>
          <w:color w:val="000000"/>
          <w:sz w:val="20"/>
        </w:rPr>
        <w:t>million and $16.0</w:t>
      </w:r>
      <w:r>
        <w:rPr>
          <w:rFonts w:ascii="Times New Roman" w:hAnsi="Times New Roman"/>
          <w:color w:val="000000"/>
          <w:sz w:val="20"/>
        </w:rPr>
        <w:t xml:space="preserve"> </w:t>
      </w:r>
      <w:r>
        <w:rPr>
          <w:rFonts w:ascii="Times New Roman" w:hAnsi="Times New Roman"/>
          <w:b w:val="false"/>
          <w:color w:val="000000"/>
          <w:sz w:val="20"/>
        </w:rPr>
        <w:t>million, respectively. For the nine months ended September 30, 2023 and 2022, the Company incurred losses from operations of $39.2</w:t>
      </w:r>
      <w:r>
        <w:rPr>
          <w:rFonts w:ascii="Times New Roman" w:hAnsi="Times New Roman"/>
          <w:color w:val="000000"/>
          <w:sz w:val="20"/>
        </w:rPr>
        <w:t xml:space="preserve"> </w:t>
      </w:r>
      <w:r>
        <w:rPr>
          <w:rFonts w:ascii="Times New Roman" w:hAnsi="Times New Roman"/>
          <w:b w:val="false"/>
          <w:color w:val="000000"/>
          <w:sz w:val="20"/>
        </w:rPr>
        <w:t>million and $48.3</w:t>
      </w:r>
      <w:r>
        <w:rPr>
          <w:rFonts w:ascii="Times New Roman" w:hAnsi="Times New Roman"/>
          <w:color w:val="000000"/>
          <w:sz w:val="20"/>
        </w:rPr>
        <w:t xml:space="preserve"> </w:t>
      </w:r>
      <w:r>
        <w:rPr>
          <w:rFonts w:ascii="Times New Roman" w:hAnsi="Times New Roman"/>
          <w:b w:val="false"/>
          <w:color w:val="000000"/>
          <w:sz w:val="20"/>
        </w:rPr>
        <w:t>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however for the near future, the Company expects to continue to incur operating losses and negative cash flows. The Company plans to continue to fund its losses from operations using its cash, cash equivalents and short-term investments as of September 30, 2023</w:t>
      </w:r>
      <w:r>
        <w:rPr>
          <w:rFonts w:ascii="Times New Roman" w:hAnsi="Times New Roman"/>
          <w:color w:val="000000"/>
          <w:sz w:val="20"/>
        </w:rPr>
        <w:t xml:space="preserve"> </w:t>
      </w:r>
      <w:r>
        <w:rPr>
          <w:rFonts w:ascii="Times New Roman" w:hAnsi="Times New Roman"/>
          <w:b w:val="false"/>
          <w:color w:val="000000"/>
          <w:sz w:val="20"/>
        </w:rPr>
        <w:t>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2 - Summary of Accounting Policies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Use of Estimates</w:t>
      </w:r>
      <w:r>
        <w:rPr>
          <w:rFonts w:ascii="Times New Roman" w:hAnsi="Times New Roman"/>
          <w:color w:val="000000"/>
          <w:sz w:val="20"/>
        </w:rPr>
        <w:t xml:space="preserve">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Significant Accounting Policies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There have been no significant changes to the accounting policies during the nine months ended September 30, 2023, as compared to the significant accounting policies described in Note 2 of the “Notes to Consolidated Financial Statements” in the Company’s audited consolidated financial statements included in its Annual Report on Form 10-K filed with the SEC on March 6, 2023.</w:t>
      </w:r>
    </w:p>
    <w:p>
      <w:pPr>
        <w:pStyle w:val="TextBody"/>
        <w:bidi w:val="0"/>
        <w:spacing w:before="160" w:after="283"/>
        <w:jc w:val="left"/>
        <w:rPr>
          <w:rFonts w:ascii="Times New Roman" w:hAnsi="Times New Roman"/>
          <w:sz w:val="20"/>
        </w:rPr>
      </w:pPr>
      <w:r>
        <w:rPr>
          <w:rFonts w:ascii="Times New Roman" w:hAnsi="Times New Roman"/>
          <w:b w:val="false"/>
          <w:i/>
          <w:color w:val="000000"/>
          <w:sz w:val="20"/>
        </w:rPr>
        <w:t>Cash Equivalents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val="false"/>
          <w:i/>
          <w:color w:val="000000"/>
          <w:sz w:val="20"/>
        </w:rPr>
        <w:t>Short-term Investments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 xml:space="preserve">whether the investment has been in a continuous loss position for over 12 months;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 xml:space="preserve">the duration to maturity of investments;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 xml:space="preserve">intention and ability to hold the investment to maturity and if it is not more likely than not that the Company will be required to sell the investment before recovery of the amortized cost basis;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 xml:space="preserve">the credit rating, financial condition and near-term prospects of the issuer;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 xml:space="preserve">the type of investments made.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had $38,000</w:t>
      </w:r>
      <w:r>
        <w:rPr>
          <w:rFonts w:ascii="Times New Roman" w:hAnsi="Times New Roman"/>
          <w:color w:val="000000"/>
          <w:sz w:val="20"/>
        </w:rPr>
        <w:t xml:space="preserve"> </w:t>
      </w:r>
      <w:r>
        <w:rPr>
          <w:rFonts w:ascii="Times New Roman" w:hAnsi="Times New Roman"/>
          <w:b w:val="false"/>
          <w:color w:val="000000"/>
          <w:sz w:val="20"/>
        </w:rPr>
        <w:t>and $75,000</w:t>
      </w:r>
      <w:r>
        <w:rPr>
          <w:rFonts w:ascii="Times New Roman" w:hAnsi="Times New Roman"/>
          <w:color w:val="000000"/>
          <w:sz w:val="20"/>
        </w:rPr>
        <w:t xml:space="preserve"> </w:t>
      </w:r>
      <w:r>
        <w:rPr>
          <w:rFonts w:ascii="Times New Roman" w:hAnsi="Times New Roman"/>
          <w:b w:val="false"/>
          <w:color w:val="000000"/>
          <w:sz w:val="20"/>
        </w:rPr>
        <w:t>of net unrealized losses related to short-term investments as of September 30, 2023 and December 31, 2022, respectively.</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i/>
          <w:color w:val="000000"/>
          <w:sz w:val="20"/>
        </w:rPr>
        <w:t>Concentration of Credit Risk and Other Risks and Uncertainties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r>
        <w:rPr>
          <w:rFonts w:ascii="Times New Roman" w:hAnsi="Times New Roman"/>
          <w:color w:val="000000"/>
          <w:sz w:val="20"/>
        </w:rPr>
        <w:t xml:space="preserve">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Company is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Accounts Receivable</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has a diverse customer base and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the Company did not have any customers who individually accounted for greater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September 30, 2023 or December 31, 2022.</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Fair Value of Financial Instruments</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Level 1—Observable inputs such as 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Company’s financial instruments consist principally of cash, cash equivalents, short-term investments, accounts receivable, accounts payable, operating lease liabilities and a term loan.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September 30, 2023 and December 31, 2022 and amended term loan as of December 31, 2022</w:t>
      </w:r>
      <w:r>
        <w:rPr>
          <w:rFonts w:ascii="Times New Roman" w:hAnsi="Times New Roman"/>
          <w:color w:val="000000"/>
          <w:sz w:val="20"/>
        </w:rPr>
        <w:t xml:space="preserve"> </w:t>
      </w:r>
      <w:r>
        <w:rPr>
          <w:rFonts w:ascii="Times New Roman" w:hAnsi="Times New Roman"/>
          <w:b w:val="false"/>
          <w:color w:val="000000"/>
          <w:sz w:val="20"/>
        </w:rPr>
        <w:t>approximated their carrying values, based on the borrowing rates that were available for loans with similar terms as of such date.</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Inventories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pStyle w:val="TextBody"/>
        <w:bidi w:val="0"/>
        <w:spacing w:before="160" w:after="160"/>
        <w:jc w:val="left"/>
        <w:rPr>
          <w:rFonts w:ascii="Times New Roman" w:hAnsi="Times New Roman"/>
          <w:b w:val="false"/>
          <w:i/>
          <w:color w:val="000000"/>
          <w:sz w:val="20"/>
        </w:rPr>
      </w:pPr>
      <w:r>
        <w:rPr>
          <w:rFonts w:ascii="Times New Roman" w:hAnsi="Times New Roman"/>
          <w:b w:val="false"/>
          <w:i/>
          <w:color w:val="000000"/>
          <w:sz w:val="20"/>
        </w:rPr>
        <w:t>Leases</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r>
        <w:rPr>
          <w:rFonts w:ascii="Times New Roman" w:hAnsi="Times New Roman"/>
          <w:color w:val="000000"/>
          <w:sz w:val="20"/>
        </w:rPr>
        <w:t xml:space="preserve"> </w:t>
      </w:r>
    </w:p>
    <w:p>
      <w:pPr>
        <w:pStyle w:val="TextBody"/>
        <w:bidi w:val="0"/>
        <w:spacing w:before="160" w:after="160"/>
        <w:jc w:val="left"/>
        <w:rPr>
          <w:rFonts w:ascii="Times New Roman" w:hAnsi="Times New Roman"/>
          <w:b w:val="false"/>
          <w:i/>
          <w:color w:val="000000"/>
          <w:sz w:val="20"/>
        </w:rPr>
      </w:pPr>
      <w:r>
        <w:rPr>
          <w:rFonts w:ascii="Times New Roman" w:hAnsi="Times New Roman"/>
          <w:b w:val="false"/>
          <w:i/>
          <w:color w:val="000000"/>
          <w:sz w:val="20"/>
        </w:rPr>
        <w:t>Net Loss per Share</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1"/>
        <w:gridCol w:w="155"/>
        <w:gridCol w:w="991"/>
        <w:gridCol w:w="155"/>
        <w:gridCol w:w="155"/>
        <w:gridCol w:w="155"/>
        <w:gridCol w:w="991"/>
        <w:gridCol w:w="146"/>
        <w:gridCol w:w="146"/>
        <w:gridCol w:w="153"/>
        <w:gridCol w:w="980"/>
        <w:gridCol w:w="153"/>
        <w:gridCol w:w="153"/>
        <w:gridCol w:w="153"/>
        <w:gridCol w:w="980"/>
        <w:gridCol w:w="398"/>
      </w:tblGrid>
      <w:tr>
        <w:trPr/>
        <w:tc>
          <w:tcPr>
            <w:tcW w:w="43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341" w:type="dxa"/>
            <w:tcBorders/>
            <w:shd w:fill="FFFFFF" w:val="clear"/>
            <w:vAlign w:val="center"/>
          </w:tcPr>
          <w:p>
            <w:pPr>
              <w:pStyle w:val="TableContents"/>
              <w:bidi w:val="0"/>
              <w:spacing w:before="0" w:after="283"/>
              <w:jc w:val="left"/>
              <w:rPr/>
            </w:pPr>
            <w:r>
              <w:rPr/>
              <w:t> </w:t>
            </w:r>
          </w:p>
        </w:tc>
        <w:tc>
          <w:tcPr>
            <w:tcW w:w="2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3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 options issued and outstanding under the Calhoun Vision, Inc. 2006 Stock Plan, Calhoun Vision, Inc. 2015 Equity Incentive Plan and the 2021 Equity Incentive Plan</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6,963,498</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1,894,845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5,816,203</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1,947,260</w:t>
            </w:r>
          </w:p>
        </w:tc>
        <w:tc>
          <w:tcPr>
            <w:tcW w:w="398" w:type="dxa"/>
            <w:tcBorders/>
            <w:shd w:fill="CFF0FC" w:val="clear"/>
            <w:vAlign w:val="center"/>
          </w:tcPr>
          <w:p>
            <w:pPr>
              <w:pStyle w:val="TableContents"/>
              <w:bidi w:val="0"/>
              <w:spacing w:before="0" w:after="283"/>
              <w:ind w:left="0" w:right="0" w:firstLine="200"/>
              <w:jc w:val="left"/>
              <w:rPr/>
            </w:pPr>
            <w:r>
              <w:rPr/>
              <w:t> </w:t>
            </w:r>
          </w:p>
        </w:tc>
      </w:tr>
      <w:tr>
        <w:trPr/>
        <w:tc>
          <w:tcPr>
            <w:tcW w:w="43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stock units issued under the 2021 Equity Incentive Plan</w:t>
            </w:r>
          </w:p>
        </w:tc>
        <w:tc>
          <w:tcPr>
            <w:tcW w:w="15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730,419</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546,908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696,696</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567,203</w:t>
            </w:r>
          </w:p>
        </w:tc>
        <w:tc>
          <w:tcPr>
            <w:tcW w:w="398" w:type="dxa"/>
            <w:tcBorders/>
            <w:shd w:fill="FFFFFF" w:val="clear"/>
            <w:vAlign w:val="center"/>
          </w:tcPr>
          <w:p>
            <w:pPr>
              <w:pStyle w:val="TableContents"/>
              <w:bidi w:val="0"/>
              <w:spacing w:before="0" w:after="283"/>
              <w:ind w:left="0" w:right="0" w:firstLine="200"/>
              <w:jc w:val="left"/>
              <w:rPr/>
            </w:pPr>
            <w:r>
              <w:rPr/>
              <w:t> </w:t>
            </w:r>
          </w:p>
        </w:tc>
      </w:tr>
      <w:tr>
        <w:trPr/>
        <w:tc>
          <w:tcPr>
            <w:tcW w:w="43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 issuable in offering period under the 2021 Employee Stock Purchase Plan</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35,878</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42,020</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48,448</w:t>
            </w:r>
          </w:p>
        </w:tc>
        <w:tc>
          <w:tcPr>
            <w:tcW w:w="398"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b w:val="false"/>
          <w:i/>
          <w:color w:val="000000"/>
          <w:sz w:val="20"/>
        </w:rPr>
      </w:pPr>
      <w:r>
        <w:rPr>
          <w:rFonts w:ascii="Times New Roman" w:hAnsi="Times New Roman"/>
          <w:b w:val="false"/>
          <w:i/>
          <w:color w:val="000000"/>
          <w:sz w:val="20"/>
        </w:rPr>
        <w:t>Revenue Recognition</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Company’s revenue is generated from the sale of LALs used in cataract surgery along with a specifically designed machine for delivering light to the eye, the LDD, to adjust the lens post-surgery, as needed. Revenue is recognized from sales of products in the U.S. and Europe. Customers are primarily comprised of ambulatory surgery centers, hospitals, and physician private practices.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LALs are generally held at customer sites on consignment. The single performance obligation is satisfied, and revenue from sales is recognized for LALs upon customer notification that the LALs have been implanted in a patient. For the three and nine months ended September 30, 2023 and 2022, credits related to returns and rebates on list prices were not significant.</w:t>
      </w:r>
      <w:r>
        <w:rPr>
          <w:rFonts w:ascii="Times New Roman" w:hAnsi="Times New Roman"/>
          <w:color w:val="000000"/>
          <w:sz w:val="20"/>
        </w:rPr>
        <w:t xml:space="preserve">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and 2022, revenue from contracts with customers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9"/>
        <w:gridCol w:w="146"/>
        <w:gridCol w:w="301"/>
        <w:gridCol w:w="968"/>
        <w:gridCol w:w="208"/>
        <w:gridCol w:w="208"/>
        <w:gridCol w:w="301"/>
        <w:gridCol w:w="968"/>
        <w:gridCol w:w="146"/>
        <w:gridCol w:w="146"/>
        <w:gridCol w:w="291"/>
        <w:gridCol w:w="934"/>
        <w:gridCol w:w="202"/>
        <w:gridCol w:w="202"/>
        <w:gridCol w:w="291"/>
        <w:gridCol w:w="934"/>
        <w:gridCol w:w="200"/>
      </w:tblGrid>
      <w:tr>
        <w:trPr/>
        <w:tc>
          <w:tcPr>
            <w:tcW w:w="3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LDD (including training)</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7,932</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22,127</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15,941</w:t>
            </w:r>
          </w:p>
        </w:tc>
        <w:tc>
          <w:tcPr>
            <w:tcW w:w="200" w:type="dxa"/>
            <w:tcBorders/>
            <w:shd w:fill="CFF0FC" w:val="cle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LAL</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13,502</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36,308</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15,979</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warranty, service contracts, and accessories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22,199</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60,497</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32,917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As of September 30, 2023 and December 31, 2022, the Company recognized contract liabilities from sales activity on its condensed consolidated balance sheets of $1,678,000</w:t>
      </w:r>
      <w:r>
        <w:rPr>
          <w:rFonts w:ascii="Times New Roman" w:hAnsi="Times New Roman"/>
          <w:color w:val="000000"/>
          <w:sz w:val="20"/>
        </w:rPr>
        <w:t xml:space="preserve"> </w:t>
      </w:r>
      <w:r>
        <w:rPr>
          <w:rFonts w:ascii="Times New Roman" w:hAnsi="Times New Roman"/>
          <w:b w:val="false"/>
          <w:color w:val="000000"/>
          <w:sz w:val="20"/>
        </w:rPr>
        <w:t>and $1,187,000,</w:t>
      </w:r>
      <w:r>
        <w:rPr>
          <w:rFonts w:ascii="Times New Roman" w:hAnsi="Times New Roman"/>
          <w:color w:val="000000"/>
          <w:sz w:val="20"/>
        </w:rPr>
        <w:t xml:space="preserve"> </w:t>
      </w:r>
      <w:r>
        <w:rPr>
          <w:rFonts w:ascii="Times New Roman" w:hAnsi="Times New Roman"/>
          <w:b w:val="false"/>
          <w:color w:val="000000"/>
          <w:sz w:val="20"/>
        </w:rPr>
        <w:t>respectively, related to the service agreement performance obligation. Revenue for service agreements is recognized ratably over the term of each contract.</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following table represents the contract liabilities from sales activity for the nine months ended September 30, 2023 and 2022, respectively (in thousands):</w:t>
      </w:r>
    </w:p>
    <w:tbl>
      <w:tblPr>
        <w:tblW w:w="7484" w:type="dxa"/>
        <w:jc w:val="left"/>
        <w:tblInd w:w="0" w:type="dxa"/>
        <w:tblLayout w:type="fixed"/>
        <w:tblCellMar>
          <w:top w:w="28" w:type="dxa"/>
          <w:left w:w="28" w:type="dxa"/>
          <w:bottom w:w="28" w:type="dxa"/>
          <w:right w:w="28" w:type="dxa"/>
        </w:tblCellMar>
      </w:tblPr>
      <w:tblGrid>
        <w:gridCol w:w="3241"/>
        <w:gridCol w:w="146"/>
        <w:gridCol w:w="327"/>
        <w:gridCol w:w="978"/>
        <w:gridCol w:w="257"/>
        <w:gridCol w:w="226"/>
        <w:gridCol w:w="327"/>
        <w:gridCol w:w="885"/>
        <w:gridCol w:w="166"/>
        <w:gridCol w:w="93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firstLine="800"/>
              <w:jc w:val="left"/>
              <w:rPr>
                <w:sz w:val="4"/>
                <w:szCs w:val="4"/>
              </w:rPr>
            </w:pPr>
            <w:r>
              <w:rPr>
                <w:sz w:val="4"/>
                <w:szCs w:val="4"/>
              </w:rPr>
            </w:r>
          </w:p>
        </w:tc>
      </w:tr>
      <w:tr>
        <w:trPr/>
        <w:tc>
          <w:tcPr>
            <w:tcW w:w="3241" w:type="dxa"/>
            <w:tcBorders/>
            <w:shd w:fill="FFFFFF" w:val="clear"/>
            <w:vAlign w:val="center"/>
          </w:tcPr>
          <w:p>
            <w:pPr>
              <w:pStyle w:val="TableContents"/>
              <w:bidi w:val="0"/>
              <w:spacing w:before="0" w:after="283"/>
              <w:ind w:left="800" w:right="0" w:firstLine="8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1,187</w:t>
            </w:r>
          </w:p>
        </w:tc>
        <w:tc>
          <w:tcPr>
            <w:tcW w:w="257"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Additions during the period</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2,427</w:t>
            </w:r>
          </w:p>
        </w:tc>
        <w:tc>
          <w:tcPr>
            <w:tcW w:w="257"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1,417</w:t>
            </w:r>
          </w:p>
        </w:tc>
        <w:tc>
          <w:tcPr>
            <w:tcW w:w="166" w:type="dxa"/>
            <w:tcBorders/>
            <w:shd w:fill="CFF0FC"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 recognized during the period</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6" w:type="dxa"/>
            <w:tcBorders/>
            <w:shd w:fill="FFFFFF" w:val="cle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end of period</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1,678</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and 2022, the Company did not have any customers who individually accounted for greater than 10% of revenue.</w:t>
      </w:r>
    </w:p>
    <w:p>
      <w:pPr>
        <w:pStyle w:val="TextBody"/>
        <w:bidi w:val="0"/>
        <w:spacing w:before="120" w:after="160"/>
        <w:jc w:val="left"/>
        <w:rPr>
          <w:rFonts w:ascii="Times New Roman" w:hAnsi="Times New Roman"/>
          <w:b w:val="false"/>
          <w:i/>
          <w:color w:val="000000"/>
          <w:sz w:val="20"/>
        </w:rPr>
      </w:pPr>
      <w:r>
        <w:rPr>
          <w:rFonts w:ascii="Times New Roman" w:hAnsi="Times New Roman"/>
          <w:b w:val="false"/>
          <w:i/>
          <w:color w:val="000000"/>
          <w:sz w:val="20"/>
        </w:rPr>
        <w:t>Stock-Based Compensation Expense</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purpose of the 2021 Plan and 2021 ESPP is to provide a means by which eligible participants may be given an opportunity to benefit from increases in the value of the common stock in order to retain or procure the services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of the employees, members of the board of directors of the Company (the “Board”) and consultants and provide them with an incentive to promote the Company’s success and accomplish corporate goals.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Prior to the Company's shares being traded on the Nasdaq Global Market, the fair value of the Company’s common stock was determined by the Board at the time of each option grant by considering a number of objective and subjective factors. These factors included the valuation of a select group of public peer group companies within the medical device industry that focus on technological advances and development that the Board believed were comparable to the Company’s operations. Operating and financial performance, the lack of liquidity of the common stock and trends in the broader economy and medical device industry also impacted the determination of the fair value of the common stock. In addition, the Company regularly engaged a third-party valuation specialist to assist with estimates related to the valuation of the Company’s common stock. For all grants subsequent to commencement of trading of the Company's shares on the Nasdaq Global Market in July 2021, the fair value of common stock was determined by using the closing price per share of common stock as reported on the Nasdaq Global Market.</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In determining the fair value of the stock options granted, the Company uses the Black-Scholes option-pricing model. The Black-Scholes option-pricing model requires the use of assumptions about a number of variables, such as the fair market value of the Company’s common stock, expected term, expected volatility, the risk-free interest rate, and dividend yield as discussed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Expected term</w:t>
      </w:r>
      <w:r>
        <w:rPr>
          <w:rFonts w:ascii="Times New Roman" w:hAnsi="Times New Roman"/>
          <w:color w:val="000000"/>
          <w:sz w:val="20"/>
        </w:rPr>
        <w:t>—</w:t>
      </w:r>
      <w:r>
        <w:rPr>
          <w:rFonts w:ascii="Times New Roman" w:hAnsi="Times New Roman"/>
          <w:b w:val="false"/>
          <w:color w:val="000000"/>
          <w:sz w:val="20"/>
        </w:rPr>
        <w:t>The Company’s expected term represents the period that the Company’s stock-based awards are expected to be outstanding. The Company used the simplified method (based on the mid-point between the vesting date and the end of the contractual term) to determine the expected term.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Expected volatility</w:t>
      </w:r>
      <w:r>
        <w:rPr>
          <w:rFonts w:ascii="Times New Roman" w:hAnsi="Times New Roman"/>
          <w:color w:val="000000"/>
          <w:sz w:val="20"/>
        </w:rPr>
        <w:t>—</w:t>
      </w:r>
      <w:r>
        <w:rPr>
          <w:rFonts w:ascii="Times New Roman" w:hAnsi="Times New Roman"/>
          <w:b w:val="false"/>
          <w:color w:val="000000"/>
          <w:sz w:val="20"/>
        </w:rPr>
        <w:t>Prior to the completion of the Company</w:t>
      </w:r>
      <w:r>
        <w:rPr>
          <w:rFonts w:ascii="Times New Roman" w:hAnsi="Times New Roman"/>
          <w:color w:val="000000"/>
          <w:sz w:val="20"/>
        </w:rPr>
        <w:t>’</w:t>
      </w:r>
      <w:r>
        <w:rPr>
          <w:rFonts w:ascii="Times New Roman" w:hAnsi="Times New Roman"/>
          <w:b w:val="false"/>
          <w:color w:val="000000"/>
          <w:sz w:val="20"/>
        </w:rPr>
        <w:t>s initial public offering (“IPO”), when the Company was privately held and did not have any trading history for its common stock, the expected volatility was estimated based on the average historical volatilities for comparable publicly traded medical device companies over a period equal to the expected term of the stock option grants.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Risk-free interest rate</w:t>
      </w:r>
      <w:r>
        <w:rPr>
          <w:rFonts w:ascii="Times New Roman" w:hAnsi="Times New Roman"/>
          <w:color w:val="000000"/>
          <w:sz w:val="20"/>
        </w:rPr>
        <w:t>—</w:t>
      </w:r>
      <w:r>
        <w:rPr>
          <w:rFonts w:ascii="Times New Roman" w:hAnsi="Times New Roman"/>
          <w:b w:val="false"/>
          <w:color w:val="000000"/>
          <w:sz w:val="20"/>
        </w:rPr>
        <w:t>The risk-free interest rate used is based on the published U.S. Department of Treasury interest rates in effect at the time of stock option grant for zero coupon U.S. Treasury notes with maturities approximating each grant’s expected term.</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Dividend yield</w:t>
      </w:r>
      <w:r>
        <w:rPr>
          <w:rFonts w:ascii="Times New Roman" w:hAnsi="Times New Roman"/>
          <w:color w:val="000000"/>
          <w:sz w:val="20"/>
        </w:rPr>
        <w:t>—</w:t>
      </w:r>
      <w:r>
        <w:rPr>
          <w:rFonts w:ascii="Times New Roman" w:hAnsi="Times New Roman"/>
          <w:b w:val="false"/>
          <w:color w:val="000000"/>
          <w:sz w:val="20"/>
        </w:rPr>
        <w:t>The Company has never paid dividends on its common stock and has no plans to pay dividends on its common stock. Therefore, the Company used an expected dividend yield of zero.</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Recent Accounting Pronouncements</w:t>
      </w:r>
    </w:p>
    <w:p>
      <w:pPr>
        <w:pStyle w:val="TextBody"/>
        <w:bidi w:val="0"/>
        <w:spacing w:before="160" w:after="283"/>
        <w:jc w:val="left"/>
        <w:rPr>
          <w:rFonts w:ascii="Times New Roman" w:hAnsi="Times New Roman"/>
          <w:sz w:val="20"/>
        </w:rPr>
      </w:pPr>
      <w:r>
        <w:rPr>
          <w:rFonts w:ascii="Times New Roman" w:hAnsi="Times New Roman"/>
          <w:b w:val="false"/>
          <w:color w:val="000000"/>
          <w:sz w:val="20"/>
        </w:rPr>
        <w:t xml:space="preserve">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September 30, 2023 that are of significance or potential significance to the Company. </w:t>
        <w:br/>
        <w:br/>
      </w:r>
      <w:r>
        <w:rPr>
          <w:rFonts w:ascii="Times New Roman" w:hAnsi="Times New Roman"/>
          <w:color w:val="000000"/>
          <w:sz w:val="20"/>
        </w:rPr>
        <w:t> </w:t>
      </w:r>
    </w:p>
    <w:p>
      <w:pPr>
        <w:pStyle w:val="TextBody"/>
        <w:bidi w:val="0"/>
        <w:spacing w:before="160" w:after="283"/>
        <w:jc w:val="left"/>
        <w:rPr>
          <w:rFonts w:ascii="Times New Roman" w:hAnsi="Times New Roman"/>
          <w:sz w:val="20"/>
        </w:rPr>
      </w:pPr>
      <w:r>
        <w:rPr>
          <w:rFonts w:ascii="Times New Roman" w:hAnsi="Times New Roman"/>
          <w:b w:val="false"/>
          <w:color w:val="000000"/>
          <w:sz w:val="20"/>
        </w:rPr>
        <w:br/>
      </w:r>
      <w:r>
        <w:rPr>
          <w:rFonts w:ascii="Times New Roman" w:hAnsi="Times New Roman"/>
          <w:color w:val="000000"/>
          <w:sz w:val="20"/>
        </w:rPr>
        <w:t>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 Short-Term Investments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Short-term investments, principally U.S. Treasury bills, are available-for-sale and consisted of the following (in thousands):</w:t>
      </w:r>
    </w:p>
    <w:p>
      <w:pPr>
        <w:pStyle w:val="TextBody"/>
        <w:bidi w:val="0"/>
        <w:jc w:val="left"/>
        <w:rPr/>
      </w:pPr>
      <w:r>
        <w:rPr/>
        <w:t> </w:t>
      </w:r>
    </w:p>
    <w:tbl>
      <w:tblPr>
        <w:tblW w:w="814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662"/>
        <w:gridCol w:w="1183"/>
        <w:gridCol w:w="16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42" w:type="dxa"/>
        <w:jc w:val="left"/>
        <w:tblInd w:w="0" w:type="dxa"/>
        <w:tblLayout w:type="fixed"/>
        <w:tblCellMar>
          <w:top w:w="28" w:type="dxa"/>
          <w:left w:w="28" w:type="dxa"/>
          <w:bottom w:w="28" w:type="dxa"/>
          <w:right w:w="28" w:type="dxa"/>
        </w:tblCellMar>
      </w:tblPr>
      <w:tblGrid>
        <w:gridCol w:w="2011"/>
        <w:gridCol w:w="146"/>
        <w:gridCol w:w="338"/>
        <w:gridCol w:w="1087"/>
        <w:gridCol w:w="146"/>
        <w:gridCol w:w="146"/>
        <w:gridCol w:w="662"/>
        <w:gridCol w:w="1183"/>
        <w:gridCol w:w="166"/>
        <w:gridCol w:w="146"/>
        <w:gridCol w:w="455"/>
        <w:gridCol w:w="1465"/>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All available-for-sale securities held as of September 30, 2023 and December 31, 2022</w:t>
      </w:r>
      <w:r>
        <w:rPr>
          <w:rFonts w:ascii="Times New Roman" w:hAnsi="Times New Roman"/>
          <w:color w:val="000000"/>
          <w:sz w:val="20"/>
        </w:rPr>
        <w:t xml:space="preserve"> </w:t>
      </w:r>
      <w:r>
        <w:rPr>
          <w:rFonts w:ascii="Times New Roman" w:hAnsi="Times New Roman"/>
          <w:b w:val="false"/>
          <w:color w:val="000000"/>
          <w:sz w:val="20"/>
        </w:rPr>
        <w:t>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4 – Inventories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Inventories consisted of the following (in thousands):</w:t>
      </w:r>
    </w:p>
    <w:tbl>
      <w:tblPr>
        <w:tblW w:w="7296" w:type="dxa"/>
        <w:jc w:val="left"/>
        <w:tblInd w:w="0" w:type="dxa"/>
        <w:tblLayout w:type="fixed"/>
        <w:tblCellMar>
          <w:top w:w="28" w:type="dxa"/>
          <w:left w:w="28" w:type="dxa"/>
          <w:bottom w:w="28" w:type="dxa"/>
          <w:right w:w="28" w:type="dxa"/>
        </w:tblCellMar>
      </w:tblPr>
      <w:tblGrid>
        <w:gridCol w:w="3916"/>
        <w:gridCol w:w="146"/>
        <w:gridCol w:w="310"/>
        <w:gridCol w:w="995"/>
        <w:gridCol w:w="166"/>
        <w:gridCol w:w="146"/>
        <w:gridCol w:w="299"/>
        <w:gridCol w:w="961"/>
        <w:gridCol w:w="166"/>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6,408</w:t>
            </w:r>
          </w:p>
        </w:tc>
        <w:tc>
          <w:tcPr>
            <w:tcW w:w="16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6,494</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Work-in-process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15,469</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reserve for excess and obsolete inventory</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sz w:val="20"/>
        </w:rPr>
      </w:pPr>
      <w:r>
        <w:rPr>
          <w:rFonts w:ascii="Times New Roman" w:hAnsi="Times New Roman"/>
          <w:b w:val="false"/>
          <w:color w:val="000000"/>
          <w:sz w:val="20"/>
        </w:rPr>
        <w:t>At September 30, 2023 and December 31, 2022, finished goods included $5.2</w:t>
      </w:r>
      <w:r>
        <w:rPr>
          <w:rFonts w:ascii="Times New Roman" w:hAnsi="Times New Roman"/>
          <w:color w:val="000000"/>
          <w:sz w:val="20"/>
        </w:rPr>
        <w:t xml:space="preserve"> </w:t>
      </w:r>
      <w:r>
        <w:rPr>
          <w:rFonts w:ascii="Times New Roman" w:hAnsi="Times New Roman"/>
          <w:b w:val="false"/>
          <w:color w:val="000000"/>
          <w:sz w:val="20"/>
        </w:rPr>
        <w:t>million and $2.8</w:t>
      </w:r>
      <w:r>
        <w:rPr>
          <w:rFonts w:ascii="Times New Roman" w:hAnsi="Times New Roman"/>
          <w:color w:val="000000"/>
          <w:sz w:val="20"/>
        </w:rPr>
        <w:t xml:space="preserve"> </w:t>
      </w:r>
      <w:r>
        <w:rPr>
          <w:rFonts w:ascii="Times New Roman" w:hAnsi="Times New Roman"/>
          <w:b w:val="false"/>
          <w:color w:val="000000"/>
          <w:sz w:val="20"/>
        </w:rPr>
        <w:t>million of inventory held on consignment at customer sites, respectively.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5 – Fair Value Measurements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tbl>
      <w:tblPr>
        <w:tblW w:w="6158"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781"/>
        <w:gridCol w:w="146"/>
        <w:gridCol w:w="146"/>
        <w:gridCol w:w="211"/>
        <w:gridCol w:w="781"/>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6,223</w:t>
            </w:r>
          </w:p>
        </w:tc>
        <w:tc>
          <w:tcPr>
            <w:tcW w:w="391" w:type="dxa"/>
            <w:tcBorders/>
            <w:shd w:fill="FFFFFF" w:val="clear"/>
            <w:vAlign w:val="center"/>
          </w:tcPr>
          <w:p>
            <w:pPr>
              <w:pStyle w:val="TableContents"/>
              <w:bidi w:val="0"/>
              <w:spacing w:before="0" w:after="283"/>
              <w:jc w:val="left"/>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assets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128,246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053"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676"/>
        <w:gridCol w:w="146"/>
        <w:gridCol w:w="146"/>
        <w:gridCol w:w="211"/>
        <w:gridCol w:w="781"/>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8,909</w:t>
            </w:r>
          </w:p>
        </w:tc>
        <w:tc>
          <w:tcPr>
            <w:tcW w:w="391" w:type="dxa"/>
            <w:tcBorders/>
            <w:shd w:fill="FFFFFF" w:val="clear"/>
            <w:vAlign w:val="center"/>
          </w:tcPr>
          <w:p>
            <w:pPr>
              <w:pStyle w:val="TableContents"/>
              <w:bidi w:val="0"/>
              <w:spacing w:before="0" w:after="283"/>
              <w:jc w:val="left"/>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assets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102,877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19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color w:val="000000"/>
          <w:sz w:val="20"/>
        </w:rPr>
      </w:pPr>
      <w:r>
        <w:rPr>
          <w:rFonts w:ascii="Times New Roman" w:hAnsi="Times New Roman"/>
          <w:b/>
          <w:color w:val="000000"/>
          <w:sz w:val="20"/>
        </w:rPr>
        <w:t>Note 6 – Term Loans</w:t>
      </w:r>
    </w:p>
    <w:p>
      <w:pPr>
        <w:pStyle w:val="TextBody"/>
        <w:bidi w:val="0"/>
        <w:jc w:val="left"/>
        <w:rPr>
          <w:rFonts w:ascii="Times New Roman" w:hAnsi="Times New Roman"/>
          <w:b/>
          <w:i/>
          <w:color w:val="000000"/>
          <w:sz w:val="20"/>
        </w:rPr>
      </w:pPr>
      <w:r>
        <w:rPr>
          <w:rFonts w:ascii="Times New Roman" w:hAnsi="Times New Roman"/>
          <w:b/>
          <w:i/>
          <w:color w:val="000000"/>
          <w:sz w:val="20"/>
        </w:rPr>
        <w:t>Refinancing and Payoff of Oxford Debt</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October 29, 2020, the Company and Oxford Finance LLC (“Oxford”), as collateral agent, and certain lenders (“Lenders”) entered into that certain Loan and Security Agreement, as amended by that certain Consent and First Amendment to Loan and Security Agreement, dated as of July 6, 2021, and that certain Second Amendment to Loan and Security Agreement, dated as of May 3, 2022 (the “May 2022 LSA”), pursuant to which the Lenders provided to the Company certain loans in accordance with the terms and conditions of the May 2022 LSA (such loans collectively, the “May 2022 Term Loan”). The May 2022 LSA increased the loan and security agreement to $60.0</w:t>
      </w:r>
      <w:r>
        <w:rPr>
          <w:rFonts w:ascii="Times New Roman" w:hAnsi="Times New Roman"/>
          <w:color w:val="000000"/>
          <w:sz w:val="20"/>
        </w:rPr>
        <w:t xml:space="preserve"> </w:t>
      </w:r>
      <w:r>
        <w:rPr>
          <w:rFonts w:ascii="Times New Roman" w:hAnsi="Times New Roman"/>
          <w:b w:val="false"/>
          <w:color w:val="000000"/>
          <w:sz w:val="20"/>
        </w:rPr>
        <w:t>million, of which $40.0</w:t>
      </w:r>
      <w:r>
        <w:rPr>
          <w:rFonts w:ascii="Times New Roman" w:hAnsi="Times New Roman"/>
          <w:color w:val="000000"/>
          <w:sz w:val="20"/>
        </w:rPr>
        <w:t xml:space="preserve"> </w:t>
      </w:r>
      <w:r>
        <w:rPr>
          <w:rFonts w:ascii="Times New Roman" w:hAnsi="Times New Roman"/>
          <w:b w:val="false"/>
          <w:color w:val="000000"/>
          <w:sz w:val="20"/>
        </w:rPr>
        <w:t>million was fully drawn upon as of May 3, 2022 from the original term loan.</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June 30, 2023, the Company entered into a new Loan and Security Agreement (the “June 2023 LSA”) with Oxford as collateral agent and the lenders party thereto, pursuant to which the Company borrowed $20.0</w:t>
      </w:r>
      <w:r>
        <w:rPr>
          <w:rFonts w:ascii="Times New Roman" w:hAnsi="Times New Roman"/>
          <w:color w:val="000000"/>
          <w:sz w:val="20"/>
        </w:rPr>
        <w:t xml:space="preserve"> </w:t>
      </w:r>
      <w:r>
        <w:rPr>
          <w:rFonts w:ascii="Times New Roman" w:hAnsi="Times New Roman"/>
          <w:b w:val="false"/>
          <w:color w:val="000000"/>
          <w:sz w:val="20"/>
        </w:rPr>
        <w:t>million in aggregate Term A Loans (the “Term A Loans”). On that same date, the Company prepaid the May 2022 Term Loan in full which included outstanding accrued interest of approximately $0.1</w:t>
      </w:r>
      <w:r>
        <w:rPr>
          <w:rFonts w:ascii="Times New Roman" w:hAnsi="Times New Roman"/>
          <w:color w:val="000000"/>
          <w:sz w:val="20"/>
        </w:rPr>
        <w:t xml:space="preserve"> </w:t>
      </w:r>
      <w:r>
        <w:rPr>
          <w:rFonts w:ascii="Times New Roman" w:hAnsi="Times New Roman"/>
          <w:b w:val="false"/>
          <w:color w:val="000000"/>
          <w:sz w:val="20"/>
        </w:rPr>
        <w:t>million, and approximately $1.0</w:t>
      </w:r>
      <w:r>
        <w:rPr>
          <w:rFonts w:ascii="Times New Roman" w:hAnsi="Times New Roman"/>
          <w:color w:val="000000"/>
          <w:sz w:val="20"/>
        </w:rPr>
        <w:t xml:space="preserve"> </w:t>
      </w:r>
      <w:r>
        <w:rPr>
          <w:rFonts w:ascii="Times New Roman" w:hAnsi="Times New Roman"/>
          <w:b w:val="false"/>
          <w:color w:val="000000"/>
          <w:sz w:val="20"/>
        </w:rPr>
        <w:t>million in final payment and other fees using a combination of cash, primarily comprised of $19.4</w:t>
      </w:r>
      <w:r>
        <w:rPr>
          <w:rFonts w:ascii="Times New Roman" w:hAnsi="Times New Roman"/>
          <w:color w:val="000000"/>
          <w:sz w:val="20"/>
        </w:rPr>
        <w:t xml:space="preserve"> </w:t>
      </w:r>
      <w:r>
        <w:rPr>
          <w:rFonts w:ascii="Times New Roman" w:hAnsi="Times New Roman"/>
          <w:b w:val="false"/>
          <w:color w:val="000000"/>
          <w:sz w:val="20"/>
        </w:rPr>
        <w:t>million of net cash raised under the ATM Facility during the quarter ended June 30, 2023, $20.0</w:t>
      </w:r>
      <w:r>
        <w:rPr>
          <w:rFonts w:ascii="Times New Roman" w:hAnsi="Times New Roman"/>
          <w:color w:val="000000"/>
          <w:sz w:val="20"/>
        </w:rPr>
        <w:t xml:space="preserve"> </w:t>
      </w:r>
      <w:r>
        <w:rPr>
          <w:rFonts w:ascii="Times New Roman" w:hAnsi="Times New Roman"/>
          <w:b w:val="false"/>
          <w:color w:val="000000"/>
          <w:sz w:val="20"/>
        </w:rPr>
        <w:t>million in Term A Loans and $1.7</w:t>
      </w:r>
      <w:r>
        <w:rPr>
          <w:rFonts w:ascii="Times New Roman" w:hAnsi="Times New Roman"/>
          <w:color w:val="000000"/>
          <w:sz w:val="20"/>
        </w:rPr>
        <w:t xml:space="preserve"> </w:t>
      </w:r>
      <w:r>
        <w:rPr>
          <w:rFonts w:ascii="Times New Roman" w:hAnsi="Times New Roman"/>
          <w:b w:val="false"/>
          <w:color w:val="000000"/>
          <w:sz w:val="20"/>
        </w:rPr>
        <w:t>million in cash reserves.</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August 4, 2023, the Company repaid its outstanding June 2023 LSA of $20.0</w:t>
      </w:r>
      <w:r>
        <w:rPr>
          <w:rFonts w:ascii="Times New Roman" w:hAnsi="Times New Roman"/>
          <w:color w:val="000000"/>
          <w:sz w:val="20"/>
        </w:rPr>
        <w:t xml:space="preserve"> </w:t>
      </w:r>
      <w:r>
        <w:rPr>
          <w:rFonts w:ascii="Times New Roman" w:hAnsi="Times New Roman"/>
          <w:b w:val="false"/>
          <w:color w:val="000000"/>
          <w:sz w:val="20"/>
        </w:rPr>
        <w:t>million early which included outstanding accrued interest of approximately $0.2</w:t>
      </w:r>
      <w:r>
        <w:rPr>
          <w:rFonts w:ascii="Times New Roman" w:hAnsi="Times New Roman"/>
          <w:color w:val="000000"/>
          <w:sz w:val="20"/>
        </w:rPr>
        <w:t xml:space="preserve"> </w:t>
      </w:r>
      <w:r>
        <w:rPr>
          <w:rFonts w:ascii="Times New Roman" w:hAnsi="Times New Roman"/>
          <w:b w:val="false"/>
          <w:color w:val="000000"/>
          <w:sz w:val="20"/>
        </w:rPr>
        <w:t>million, and approximately $1.0</w:t>
      </w:r>
      <w:r>
        <w:rPr>
          <w:rFonts w:ascii="Times New Roman" w:hAnsi="Times New Roman"/>
          <w:color w:val="000000"/>
          <w:sz w:val="20"/>
        </w:rPr>
        <w:t xml:space="preserve"> </w:t>
      </w:r>
      <w:r>
        <w:rPr>
          <w:rFonts w:ascii="Times New Roman" w:hAnsi="Times New Roman"/>
          <w:b w:val="false"/>
          <w:color w:val="000000"/>
          <w:sz w:val="20"/>
        </w:rPr>
        <w:t>million in final payment and other fees using $11.9</w:t>
      </w:r>
      <w:r>
        <w:rPr>
          <w:rFonts w:ascii="Times New Roman" w:hAnsi="Times New Roman"/>
          <w:color w:val="000000"/>
          <w:sz w:val="20"/>
        </w:rPr>
        <w:t xml:space="preserve"> </w:t>
      </w:r>
      <w:r>
        <w:rPr>
          <w:rFonts w:ascii="Times New Roman" w:hAnsi="Times New Roman"/>
          <w:b w:val="false"/>
          <w:color w:val="000000"/>
          <w:sz w:val="20"/>
        </w:rPr>
        <w:t>million of cash, net, raised under the ATM Facility and $9.3</w:t>
      </w:r>
      <w:r>
        <w:rPr>
          <w:rFonts w:ascii="Times New Roman" w:hAnsi="Times New Roman"/>
          <w:color w:val="000000"/>
          <w:sz w:val="20"/>
        </w:rPr>
        <w:t xml:space="preserve"> </w:t>
      </w:r>
      <w:r>
        <w:rPr>
          <w:rFonts w:ascii="Times New Roman" w:hAnsi="Times New Roman"/>
          <w:b w:val="false"/>
          <w:color w:val="000000"/>
          <w:sz w:val="20"/>
        </w:rPr>
        <w:t>million in cash reserves.</w:t>
      </w:r>
    </w:p>
    <w:p>
      <w:pPr>
        <w:pStyle w:val="TextBody"/>
        <w:bidi w:val="0"/>
        <w:spacing w:before="120" w:after="160"/>
        <w:jc w:val="left"/>
        <w:rPr>
          <w:rFonts w:ascii="Times New Roman" w:hAnsi="Times New Roman"/>
          <w:b/>
          <w:color w:val="000000"/>
          <w:sz w:val="20"/>
        </w:rPr>
      </w:pPr>
      <w:r>
        <w:rPr>
          <w:rFonts w:ascii="Times New Roman" w:hAnsi="Times New Roman"/>
          <w:b/>
          <w:color w:val="000000"/>
          <w:sz w:val="20"/>
        </w:rPr>
        <w:t>Note 7 – Stock-Based Compensation Expense</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Company has three equity incentive compensation plans: the 2006 Plan, the 2015 Plan and the 2021 Plan.</w:t>
      </w:r>
    </w:p>
    <w:p>
      <w:pPr>
        <w:pStyle w:val="TextBody"/>
        <w:bidi w:val="0"/>
        <w:jc w:val="left"/>
        <w:rPr>
          <w:rFonts w:ascii="Times New Roman" w:hAnsi="Times New Roman"/>
          <w:b/>
          <w:i/>
          <w:color w:val="000000"/>
          <w:sz w:val="20"/>
        </w:rPr>
      </w:pPr>
      <w:r>
        <w:rPr>
          <w:rFonts w:ascii="Times New Roman" w:hAnsi="Times New Roman"/>
          <w:b/>
          <w:i/>
          <w:color w:val="000000"/>
          <w:sz w:val="20"/>
        </w:rPr>
        <w:t>2006 Plan</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pStyle w:val="TextBody"/>
        <w:bidi w:val="0"/>
        <w:jc w:val="left"/>
        <w:rPr>
          <w:rFonts w:ascii="Times New Roman" w:hAnsi="Times New Roman"/>
          <w:b/>
          <w:i/>
          <w:color w:val="000000"/>
          <w:sz w:val="20"/>
        </w:rPr>
      </w:pPr>
      <w:r>
        <w:rPr>
          <w:rFonts w:ascii="Times New Roman" w:hAnsi="Times New Roman"/>
          <w:b/>
          <w:i/>
          <w:color w:val="000000"/>
          <w:sz w:val="20"/>
        </w:rPr>
        <w:t>2015 Plan</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2015 Plan was originally adopted by the Board and approved by the Company’s stockholders in 2015. The 2015 Plan was most recently amended in March 2021.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pStyle w:val="TextBody"/>
        <w:bidi w:val="0"/>
        <w:jc w:val="left"/>
        <w:rPr>
          <w:rFonts w:ascii="Times New Roman" w:hAnsi="Times New Roman"/>
          <w:b/>
          <w:i/>
          <w:color w:val="000000"/>
          <w:sz w:val="20"/>
        </w:rPr>
      </w:pPr>
      <w:r>
        <w:rPr>
          <w:rFonts w:ascii="Times New Roman" w:hAnsi="Times New Roman"/>
          <w:b/>
          <w:i/>
          <w:color w:val="000000"/>
          <w:sz w:val="20"/>
        </w:rPr>
        <w:t>2021 Plan</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July 28, 2021, the 2021 Plan was adopted and approved by the Board and stockholders prior to the IPO and became effective on the business day immediately prior to the effective date of the Company’s IPO registration statement.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w:t>
      </w:r>
      <w:r>
        <w:rPr>
          <w:rFonts w:ascii="Times New Roman" w:hAnsi="Times New Roman"/>
          <w:color w:val="000000"/>
          <w:sz w:val="20"/>
        </w:rPr>
        <w:t xml:space="preserve"> </w:t>
      </w:r>
      <w:r>
        <w:rPr>
          <w:rFonts w:ascii="Times New Roman" w:hAnsi="Times New Roman"/>
          <w:b w:val="false"/>
          <w:color w:val="000000"/>
          <w:sz w:val="20"/>
        </w:rPr>
        <w:t>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w:t>
      </w:r>
      <w:r>
        <w:rPr>
          <w:rFonts w:ascii="Times New Roman" w:hAnsi="Times New Roman"/>
          <w:color w:val="000000"/>
          <w:sz w:val="20"/>
        </w:rPr>
        <w:t xml:space="preserve"> </w:t>
      </w:r>
      <w:r>
        <w:rPr>
          <w:rFonts w:ascii="Times New Roman" w:hAnsi="Times New Roman"/>
          <w:b w:val="false"/>
          <w:color w:val="000000"/>
          <w:sz w:val="20"/>
        </w:rPr>
        <w:t>shares of common stock.</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Evergreen provision</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w:t>
      </w:r>
      <w:r>
        <w:rPr>
          <w:rFonts w:ascii="Times New Roman" w:hAnsi="Times New Roman"/>
          <w:color w:val="000000"/>
          <w:sz w:val="20"/>
        </w:rPr>
        <w:t xml:space="preserve"> </w:t>
      </w:r>
      <w:r>
        <w:rPr>
          <w:rFonts w:ascii="Times New Roman" w:hAnsi="Times New Roman"/>
          <w:b w:val="false"/>
          <w:color w:val="000000"/>
          <w:sz w:val="20"/>
        </w:rPr>
        <w:t>shares of our common stock; (ii) 4% of the outstanding shares of our common stock on the last day of the immediately preceding fiscal year; or (iii) such lesser number of shares of our common stock as the administrator may determine. The 2021 Plan is administered by the Board. On January 1, 2022, the number of shares available under the 2021 Plan increased by 1,094,670</w:t>
      </w:r>
      <w:r>
        <w:rPr>
          <w:rFonts w:ascii="Times New Roman" w:hAnsi="Times New Roman"/>
          <w:color w:val="000000"/>
          <w:sz w:val="20"/>
        </w:rPr>
        <w:t xml:space="preserve"> </w:t>
      </w:r>
      <w:r>
        <w:rPr>
          <w:rFonts w:ascii="Times New Roman" w:hAnsi="Times New Roman"/>
          <w:b w:val="false"/>
          <w:color w:val="000000"/>
          <w:sz w:val="20"/>
        </w:rPr>
        <w:t>shares of common stock pursuant to this feature. On January 1, 2023, the number of shares available under the 2021 Plan further increased by 1,130,735</w:t>
      </w:r>
      <w:r>
        <w:rPr>
          <w:rFonts w:ascii="Times New Roman" w:hAnsi="Times New Roman"/>
          <w:color w:val="000000"/>
          <w:sz w:val="20"/>
        </w:rPr>
        <w:t xml:space="preserve"> </w:t>
      </w:r>
      <w:r>
        <w:rPr>
          <w:rFonts w:ascii="Times New Roman" w:hAnsi="Times New Roman"/>
          <w:b w:val="false"/>
          <w:color w:val="000000"/>
          <w:sz w:val="20"/>
        </w:rPr>
        <w:t>shares of common stock pursuant to this feature. As of September 30, 2023, the number of shares of the Company’s common stock available for future issuance under the 2021 Plan was equal to 416,652</w:t>
      </w:r>
      <w:r>
        <w:rPr>
          <w:rFonts w:ascii="Times New Roman" w:hAnsi="Times New Roman"/>
          <w:color w:val="000000"/>
          <w:sz w:val="20"/>
        </w:rPr>
        <w:t xml:space="preserve"> </w:t>
      </w:r>
      <w:r>
        <w:rPr>
          <w:rFonts w:ascii="Times New Roman" w:hAnsi="Times New Roman"/>
          <w:b w:val="false"/>
          <w:color w:val="000000"/>
          <w:sz w:val="20"/>
        </w:rPr>
        <w:t>shares of common stock.</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2021 ESPP</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July 28, 2021, the Board and stockholders adopted and approved the 2021 ESPP. As of September 30, 2023, the number of shares of the Company’s common stock available for future issuance under the 2021 ESPP was equal to 614,472</w:t>
      </w:r>
      <w:r>
        <w:rPr>
          <w:rFonts w:ascii="Times New Roman" w:hAnsi="Times New Roman"/>
          <w:color w:val="000000"/>
          <w:sz w:val="20"/>
        </w:rPr>
        <w:t xml:space="preserve"> </w:t>
      </w:r>
      <w:r>
        <w:rPr>
          <w:rFonts w:ascii="Times New Roman" w:hAnsi="Times New Roman"/>
          <w:b w:val="false"/>
          <w:color w:val="000000"/>
          <w:sz w:val="20"/>
        </w:rPr>
        <w:t>shares of common stock.</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pStyle w:val="TextBody"/>
        <w:bidi w:val="0"/>
        <w:spacing w:before="120" w:after="160"/>
        <w:jc w:val="left"/>
        <w:rPr>
          <w:rFonts w:ascii="Times New Roman" w:hAnsi="Times New Roman"/>
          <w:sz w:val="20"/>
        </w:rPr>
      </w:pPr>
      <w:r>
        <w:rPr>
          <w:rFonts w:ascii="Times New Roman" w:hAnsi="Times New Roman"/>
          <w:b w:val="false"/>
          <w:color w:val="000000"/>
          <w:sz w:val="20"/>
        </w:rPr>
        <w:br/>
      </w:r>
      <w:r>
        <w:rPr>
          <w:rFonts w:ascii="Times New Roman" w:hAnsi="Times New Roman"/>
          <w:b/>
          <w:i/>
          <w:color w:val="000000"/>
          <w:sz w:val="20"/>
        </w:rPr>
        <w:t>Evergreen provision</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number of common shares reserved for issuance under the 2021 ESPP plan will be increased automatically on the first day of each fiscal year beginning with the 2022 fiscal year, by a number equal to the least of: (i) 1,452,081</w:t>
      </w:r>
      <w:r>
        <w:rPr>
          <w:rFonts w:ascii="Times New Roman" w:hAnsi="Times New Roman"/>
          <w:color w:val="000000"/>
          <w:sz w:val="20"/>
        </w:rPr>
        <w:t xml:space="preserve"> </w:t>
      </w:r>
      <w:r>
        <w:rPr>
          <w:rFonts w:ascii="Times New Roman" w:hAnsi="Times New Roman"/>
          <w:b w:val="false"/>
          <w:color w:val="000000"/>
          <w:sz w:val="20"/>
        </w:rPr>
        <w:t>shares; (ii) 1% of the outstanding shares of our common stock on the last day of the immediately preceding fiscal year; or (iii) such other amount as the administrator may determine. The 2021 ESPP is administered by the Board. On January 1, 2022, the number of shares available under the 2021 ESPP increased by 273,667</w:t>
      </w:r>
      <w:r>
        <w:rPr>
          <w:rFonts w:ascii="Times New Roman" w:hAnsi="Times New Roman"/>
          <w:color w:val="000000"/>
          <w:sz w:val="20"/>
        </w:rPr>
        <w:t xml:space="preserve"> </w:t>
      </w:r>
      <w:r>
        <w:rPr>
          <w:rFonts w:ascii="Times New Roman" w:hAnsi="Times New Roman"/>
          <w:b w:val="false"/>
          <w:color w:val="000000"/>
          <w:sz w:val="20"/>
        </w:rPr>
        <w:t>shares of common stock pursuant to this feature. No additional shares were reserved for issuance on January 1, 2023 pursuant to this feature.</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pStyle w:val="TextBody"/>
        <w:bidi w:val="0"/>
        <w:spacing w:before="120" w:after="160"/>
        <w:jc w:val="left"/>
        <w:rPr>
          <w:rFonts w:ascii="Calibri;sans-serif" w:hAnsi="Calibri;sans-serif"/>
          <w:sz w:val="22"/>
        </w:rPr>
      </w:pPr>
      <w:r>
        <w:rPr>
          <w:rFonts w:ascii="Times New Roman" w:hAnsi="Times New Roman"/>
          <w:b w:val="false"/>
          <w:color w:val="000000"/>
          <w:sz w:val="20"/>
        </w:rPr>
        <w:t>Stock option awards are granted with an exercise price of no less than 100% of estimated fair market value on the date of grant. Time based awards generally vest over four years</w:t>
      </w:r>
      <w:r>
        <w:rPr>
          <w:rFonts w:ascii="Calibri;sans-serif" w:hAnsi="Calibri;sans-serif"/>
          <w:color w:val="000000"/>
          <w:sz w:val="22"/>
        </w:rPr>
        <w:t xml:space="preserve"> </w:t>
      </w:r>
      <w:r>
        <w:rPr>
          <w:rFonts w:ascii="Times New Roman" w:hAnsi="Times New Roman"/>
          <w:b w:val="false"/>
          <w:color w:val="000000"/>
          <w:sz w:val="20"/>
        </w:rPr>
        <w:t xml:space="preserve">as follows, subject to the optionee’s continuing service: (i) one fourth of the total number of shares vest and become exercisable on the one-year anniversary; 1/48th of the total number of shares subject to the option vest and become exercisable on each monthly anniversary thereafter for the remaining three years, or (ii) 1/48th of the total number of shares subject to the option vest and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become exercisable each month over four years.</w:t>
        <w:br/>
      </w:r>
      <w:r>
        <w:rPr>
          <w:rFonts w:ascii="Times New Roman" w:hAnsi="Times New Roman"/>
          <w:color w:val="000000"/>
          <w:sz w:val="20"/>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 summary of the stock option activities related to the Equity Plans for the</w:t>
      </w:r>
      <w:r>
        <w:rPr>
          <w:rFonts w:ascii="Times New Roman" w:hAnsi="Times New Roman"/>
          <w:color w:val="000000"/>
          <w:sz w:val="20"/>
        </w:rPr>
        <w:t xml:space="preserve"> </w:t>
      </w:r>
      <w:r>
        <w:rPr>
          <w:rFonts w:ascii="Times New Roman" w:hAnsi="Times New Roman"/>
          <w:b w:val="false"/>
          <w:color w:val="000000"/>
          <w:sz w:val="20"/>
        </w:rPr>
        <w:t>nine months ended September 30, 2023 is presented below:</w:t>
      </w:r>
    </w:p>
    <w:p>
      <w:pPr>
        <w:pStyle w:val="TextBody"/>
        <w:bidi w:val="0"/>
        <w:jc w:val="left"/>
        <w:rPr/>
      </w:pPr>
      <w:r>
        <w:rPr/>
        <w:t> </w:t>
      </w:r>
    </w:p>
    <w:tbl>
      <w:tblPr>
        <w:tblW w:w="8294" w:type="dxa"/>
        <w:jc w:val="left"/>
        <w:tblInd w:w="0" w:type="dxa"/>
        <w:tblLayout w:type="fixed"/>
        <w:tblCellMar>
          <w:top w:w="28" w:type="dxa"/>
          <w:left w:w="28" w:type="dxa"/>
          <w:bottom w:w="28" w:type="dxa"/>
          <w:right w:w="28" w:type="dxa"/>
        </w:tblCellMar>
      </w:tblPr>
      <w:tblGrid>
        <w:gridCol w:w="3491"/>
        <w:gridCol w:w="246"/>
        <w:gridCol w:w="146"/>
        <w:gridCol w:w="225"/>
        <w:gridCol w:w="1275"/>
        <w:gridCol w:w="166"/>
        <w:gridCol w:w="146"/>
        <w:gridCol w:w="220"/>
        <w:gridCol w:w="576"/>
        <w:gridCol w:w="146"/>
        <w:gridCol w:w="146"/>
        <w:gridCol w:w="339"/>
        <w:gridCol w:w="981"/>
        <w:gridCol w:w="191"/>
      </w:tblGrid>
      <w:tr>
        <w:trPr/>
        <w:tc>
          <w:tcPr>
            <w:tcW w:w="34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Avg</w:t>
              <w:br/>
              <w:t>Remaining</w:t>
              <w:br/>
              <w:t>Contractual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Options outstanding as of December 31, 2022</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2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6,339,558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6.48</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Granted</w:t>
            </w:r>
          </w:p>
        </w:tc>
        <w:tc>
          <w:tcPr>
            <w:tcW w:w="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1,398,191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2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(586,789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Forfeited</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(112,390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Expired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Options outstanding as of September 30, 2023</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6,974,240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6.66</w:t>
            </w:r>
          </w:p>
        </w:tc>
        <w:tc>
          <w:tcPr>
            <w:tcW w:w="191" w:type="dxa"/>
            <w:tcBorders/>
            <w:shd w:fill="FFFFFF" w:val="clear"/>
            <w:vAlign w:val="center"/>
          </w:tcPr>
          <w:p>
            <w:pPr>
              <w:pStyle w:val="TableContents"/>
              <w:bidi w:val="0"/>
              <w:spacing w:before="0" w:after="283"/>
              <w:jc w:val="lef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Exercisable as of September 30, 2023</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4,152,234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sz w:val="20"/>
        </w:rPr>
      </w:pPr>
      <w:r>
        <w:rPr>
          <w:rFonts w:ascii="Times New Roman" w:hAnsi="Times New Roman"/>
          <w:b w:val="false"/>
          <w:color w:val="000000"/>
          <w:sz w:val="20"/>
        </w:rPr>
        <w:t>As of September 30, 2023 and December 31, 2022</w:t>
      </w:r>
      <w:r>
        <w:rPr>
          <w:rFonts w:ascii="Times New Roman" w:hAnsi="Times New Roman"/>
          <w:color w:val="000000"/>
          <w:sz w:val="20"/>
        </w:rPr>
        <w:t xml:space="preserve"> </w:t>
      </w:r>
      <w:r>
        <w:rPr>
          <w:rFonts w:ascii="Times New Roman" w:hAnsi="Times New Roman"/>
          <w:b w:val="false"/>
          <w:color w:val="000000"/>
          <w:sz w:val="20"/>
        </w:rPr>
        <w:t>the intrinsic value of options vested was $68.2</w:t>
      </w:r>
      <w:r>
        <w:rPr>
          <w:rFonts w:ascii="Times New Roman" w:hAnsi="Times New Roman"/>
          <w:color w:val="000000"/>
          <w:sz w:val="20"/>
        </w:rPr>
        <w:t xml:space="preserve"> </w:t>
      </w:r>
      <w:r>
        <w:rPr>
          <w:rFonts w:ascii="Times New Roman" w:hAnsi="Times New Roman"/>
          <w:b w:val="false"/>
          <w:color w:val="000000"/>
          <w:sz w:val="20"/>
        </w:rPr>
        <w:t>million and $15.9</w:t>
      </w:r>
      <w:r>
        <w:rPr>
          <w:rFonts w:ascii="Times New Roman" w:hAnsi="Times New Roman"/>
          <w:color w:val="000000"/>
          <w:sz w:val="20"/>
        </w:rPr>
        <w:t xml:space="preserve"> </w:t>
      </w:r>
      <w:r>
        <w:rPr>
          <w:rFonts w:ascii="Times New Roman" w:hAnsi="Times New Roman"/>
          <w:b w:val="false"/>
          <w:color w:val="000000"/>
          <w:sz w:val="20"/>
        </w:rPr>
        <w:t>million, respectively, and of all options outstanding was $105.0</w:t>
      </w:r>
      <w:r>
        <w:rPr>
          <w:rFonts w:ascii="Times New Roman" w:hAnsi="Times New Roman"/>
          <w:color w:val="000000"/>
          <w:sz w:val="20"/>
        </w:rPr>
        <w:t xml:space="preserve"> </w:t>
      </w:r>
      <w:r>
        <w:rPr>
          <w:rFonts w:ascii="Times New Roman" w:hAnsi="Times New Roman"/>
          <w:b w:val="false"/>
          <w:color w:val="000000"/>
          <w:sz w:val="20"/>
        </w:rPr>
        <w:t>million and $16.4</w:t>
      </w:r>
      <w:r>
        <w:rPr>
          <w:rFonts w:ascii="Times New Roman" w:hAnsi="Times New Roman"/>
          <w:color w:val="000000"/>
          <w:sz w:val="20"/>
        </w:rPr>
        <w:t xml:space="preserve"> </w:t>
      </w:r>
      <w:r>
        <w:rPr>
          <w:rFonts w:ascii="Times New Roman" w:hAnsi="Times New Roman"/>
          <w:b w:val="false"/>
          <w:color w:val="000000"/>
          <w:sz w:val="20"/>
        </w:rPr>
        <w:t>million, respectively. During the nine months ended September 30, 2023 and 2022, the total cash received from the exercise of stock options was $5.4</w:t>
      </w:r>
      <w:r>
        <w:rPr>
          <w:rFonts w:ascii="Times New Roman" w:hAnsi="Times New Roman"/>
          <w:color w:val="000000"/>
          <w:sz w:val="20"/>
        </w:rPr>
        <w:t xml:space="preserve"> </w:t>
      </w:r>
      <w:r>
        <w:rPr>
          <w:rFonts w:ascii="Times New Roman" w:hAnsi="Times New Roman"/>
          <w:b w:val="false"/>
          <w:color w:val="000000"/>
          <w:sz w:val="20"/>
        </w:rPr>
        <w:t>million and $0.7</w:t>
      </w:r>
      <w:r>
        <w:rPr>
          <w:rFonts w:ascii="Times New Roman" w:hAnsi="Times New Roman"/>
          <w:color w:val="000000"/>
          <w:sz w:val="20"/>
        </w:rPr>
        <w:t xml:space="preserve"> </w:t>
      </w:r>
      <w:r>
        <w:rPr>
          <w:rFonts w:ascii="Times New Roman" w:hAnsi="Times New Roman"/>
          <w:b w:val="false"/>
          <w:color w:val="000000"/>
          <w:sz w:val="20"/>
        </w:rPr>
        <w:t>million, respectively. The total fair value less strike price of these options was $8.4</w:t>
      </w:r>
      <w:r>
        <w:rPr>
          <w:rFonts w:ascii="Times New Roman" w:hAnsi="Times New Roman"/>
          <w:color w:val="000000"/>
          <w:sz w:val="20"/>
        </w:rPr>
        <w:t xml:space="preserve"> </w:t>
      </w:r>
      <w:r>
        <w:rPr>
          <w:rFonts w:ascii="Times New Roman" w:hAnsi="Times New Roman"/>
          <w:b w:val="false"/>
          <w:color w:val="000000"/>
          <w:sz w:val="20"/>
        </w:rPr>
        <w:t>million and $1.6</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A summary of non-vested restricted stock unit activities for the nine months ended September 30, 2023 is as follows:</w:t>
      </w:r>
    </w:p>
    <w:tbl>
      <w:tblPr>
        <w:tblW w:w="5238" w:type="dxa"/>
        <w:jc w:val="left"/>
        <w:tblInd w:w="0" w:type="dxa"/>
        <w:tblLayout w:type="fixed"/>
        <w:tblCellMar>
          <w:top w:w="28" w:type="dxa"/>
          <w:left w:w="28" w:type="dxa"/>
          <w:bottom w:w="28" w:type="dxa"/>
          <w:right w:w="28" w:type="dxa"/>
        </w:tblCellMar>
      </w:tblPr>
      <w:tblGrid>
        <w:gridCol w:w="2501"/>
        <w:gridCol w:w="246"/>
        <w:gridCol w:w="146"/>
        <w:gridCol w:w="146"/>
        <w:gridCol w:w="751"/>
        <w:gridCol w:w="166"/>
        <w:gridCol w:w="146"/>
        <w:gridCol w:w="261"/>
        <w:gridCol w:w="684"/>
        <w:gridCol w:w="191"/>
      </w:tblGrid>
      <w:tr>
        <w:trPr/>
        <w:tc>
          <w:tcPr>
            <w:tcW w:w="25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Unvested at December 31, 2022</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492,862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15.08</w:t>
            </w:r>
          </w:p>
        </w:tc>
        <w:tc>
          <w:tcPr>
            <w:tcW w:w="191" w:type="dxa"/>
            <w:tcBorders/>
            <w:shd w:fill="CFF0FC"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Granted</w:t>
            </w:r>
          </w:p>
        </w:tc>
        <w:tc>
          <w:tcPr>
            <w:tcW w:w="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430,926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16.00</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Vested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(261,911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14.81</w:t>
            </w:r>
          </w:p>
        </w:tc>
        <w:tc>
          <w:tcPr>
            <w:tcW w:w="191" w:type="dxa"/>
            <w:tcBorders/>
            <w:shd w:fill="CFF0FC"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Forfeited</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15.17</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Unvested at September 30, 2023</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650,682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15.80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Stock-based compensation expense was classified in the accompanying condensed consolidated statements of operations and comprehensive income (loss) as follows (in thousands):</w:t>
      </w:r>
    </w:p>
    <w:tbl>
      <w:tblPr>
        <w:tblW w:w="8862" w:type="dxa"/>
        <w:jc w:val="left"/>
        <w:tblInd w:w="0" w:type="dxa"/>
        <w:tblLayout w:type="fixed"/>
        <w:tblCellMar>
          <w:top w:w="28" w:type="dxa"/>
          <w:left w:w="28" w:type="dxa"/>
          <w:bottom w:w="28" w:type="dxa"/>
          <w:right w:w="28" w:type="dxa"/>
        </w:tblCellMar>
      </w:tblPr>
      <w:tblGrid>
        <w:gridCol w:w="2956"/>
        <w:gridCol w:w="146"/>
        <w:gridCol w:w="305"/>
        <w:gridCol w:w="826"/>
        <w:gridCol w:w="211"/>
        <w:gridCol w:w="211"/>
        <w:gridCol w:w="305"/>
        <w:gridCol w:w="826"/>
        <w:gridCol w:w="146"/>
        <w:gridCol w:w="146"/>
        <w:gridCol w:w="279"/>
        <w:gridCol w:w="894"/>
        <w:gridCol w:w="193"/>
        <w:gridCol w:w="193"/>
        <w:gridCol w:w="279"/>
        <w:gridCol w:w="75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2,857</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2,303</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2,731</w:t>
            </w:r>
          </w:p>
        </w:tc>
        <w:tc>
          <w:tcPr>
            <w:tcW w:w="21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7,642</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5,451</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goods sold</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As of September 30, 2023 and December 31, 2022, there were 2,822,006</w:t>
      </w:r>
      <w:r>
        <w:rPr>
          <w:rFonts w:ascii="Times New Roman" w:hAnsi="Times New Roman"/>
          <w:color w:val="000000"/>
          <w:sz w:val="20"/>
        </w:rPr>
        <w:t xml:space="preserve"> </w:t>
      </w:r>
      <w:r>
        <w:rPr>
          <w:rFonts w:ascii="Times New Roman" w:hAnsi="Times New Roman"/>
          <w:b w:val="false"/>
          <w:color w:val="000000"/>
          <w:sz w:val="20"/>
        </w:rPr>
        <w:t>and 2,447,687</w:t>
      </w:r>
      <w:r>
        <w:rPr>
          <w:rFonts w:ascii="Times New Roman" w:hAnsi="Times New Roman"/>
          <w:color w:val="000000"/>
          <w:sz w:val="20"/>
        </w:rPr>
        <w:t xml:space="preserve"> </w:t>
      </w:r>
      <w:r>
        <w:rPr>
          <w:rFonts w:ascii="Times New Roman" w:hAnsi="Times New Roman"/>
          <w:b w:val="false"/>
          <w:color w:val="000000"/>
          <w:sz w:val="20"/>
        </w:rPr>
        <w:t>unvested options, respectively. As of September 30, 2023 and December 31, 2022, total unrecognized expense related to unvested stock options was approximately $24.6</w:t>
      </w:r>
      <w:r>
        <w:rPr>
          <w:rFonts w:ascii="Times New Roman" w:hAnsi="Times New Roman"/>
          <w:color w:val="000000"/>
          <w:sz w:val="20"/>
        </w:rPr>
        <w:t xml:space="preserve"> </w:t>
      </w:r>
      <w:r>
        <w:rPr>
          <w:rFonts w:ascii="Times New Roman" w:hAnsi="Times New Roman"/>
          <w:b w:val="false"/>
          <w:color w:val="000000"/>
          <w:sz w:val="20"/>
        </w:rPr>
        <w:t>million and $19.1</w:t>
      </w:r>
      <w:r>
        <w:rPr>
          <w:rFonts w:ascii="Times New Roman" w:hAnsi="Times New Roman"/>
          <w:color w:val="000000"/>
          <w:sz w:val="20"/>
        </w:rPr>
        <w:t xml:space="preserve"> </w:t>
      </w:r>
      <w:r>
        <w:rPr>
          <w:rFonts w:ascii="Times New Roman" w:hAnsi="Times New Roman"/>
          <w:b w:val="false"/>
          <w:color w:val="000000"/>
          <w:sz w:val="20"/>
        </w:rPr>
        <w:t>million, respectively. Both amounts are expected to be recognized over a weighted average period of approximately 2.6</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As of September 30, 2023, and December 31, 2022</w:t>
      </w:r>
      <w:r>
        <w:rPr>
          <w:rFonts w:ascii="Times New Roman" w:hAnsi="Times New Roman"/>
          <w:color w:val="000000"/>
          <w:sz w:val="20"/>
        </w:rPr>
        <w:t xml:space="preserve"> </w:t>
      </w:r>
      <w:r>
        <w:rPr>
          <w:rFonts w:ascii="Times New Roman" w:hAnsi="Times New Roman"/>
          <w:b w:val="false"/>
          <w:color w:val="000000"/>
          <w:sz w:val="20"/>
        </w:rPr>
        <w:t>, total unrecognized expense related to non-vested restricted stock units was approximately $9.6</w:t>
      </w:r>
      <w:r>
        <w:rPr>
          <w:rFonts w:ascii="Times New Roman" w:hAnsi="Times New Roman"/>
          <w:color w:val="000000"/>
          <w:sz w:val="20"/>
        </w:rPr>
        <w:t xml:space="preserve"> </w:t>
      </w:r>
      <w:r>
        <w:rPr>
          <w:rFonts w:ascii="Times New Roman" w:hAnsi="Times New Roman"/>
          <w:b w:val="false"/>
          <w:color w:val="000000"/>
          <w:sz w:val="20"/>
        </w:rPr>
        <w:t>million and $6.1</w:t>
      </w:r>
      <w:r>
        <w:rPr>
          <w:rFonts w:ascii="Times New Roman" w:hAnsi="Times New Roman"/>
          <w:color w:val="000000"/>
          <w:sz w:val="20"/>
        </w:rPr>
        <w:t xml:space="preserve"> </w:t>
      </w:r>
      <w:r>
        <w:rPr>
          <w:rFonts w:ascii="Times New Roman" w:hAnsi="Times New Roman"/>
          <w:b w:val="false"/>
          <w:color w:val="000000"/>
          <w:sz w:val="20"/>
        </w:rPr>
        <w:t>million, respectively. The unrecognized compensation cost is expected to be recognized over a weighted average period of 2.5</w:t>
      </w:r>
      <w:r>
        <w:rPr>
          <w:rFonts w:ascii="Times New Roman" w:hAnsi="Times New Roman"/>
          <w:color w:val="000000"/>
          <w:sz w:val="20"/>
        </w:rPr>
        <w:t xml:space="preserve"> </w:t>
      </w:r>
      <w:r>
        <w:rPr>
          <w:rFonts w:ascii="Times New Roman" w:hAnsi="Times New Roman"/>
          <w:b w:val="false"/>
          <w:color w:val="000000"/>
          <w:sz w:val="20"/>
        </w:rPr>
        <w:t>years and 2.3 years, respectively.</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following table presents the range and weighted-average assumptions, used in the Black-Scholes option pricing model to determine the fair value of stock options:</w:t>
      </w:r>
    </w:p>
    <w:tbl>
      <w:tblPr>
        <w:tblW w:w="8674" w:type="dxa"/>
        <w:jc w:val="left"/>
        <w:tblInd w:w="0" w:type="dxa"/>
        <w:tblLayout w:type="fixed"/>
        <w:tblCellMar>
          <w:top w:w="28" w:type="dxa"/>
          <w:left w:w="28" w:type="dxa"/>
          <w:bottom w:w="28" w:type="dxa"/>
          <w:right w:w="28" w:type="dxa"/>
        </w:tblCellMar>
      </w:tblPr>
      <w:tblGrid>
        <w:gridCol w:w="2131"/>
        <w:gridCol w:w="146"/>
        <w:gridCol w:w="1501"/>
        <w:gridCol w:w="146"/>
        <w:gridCol w:w="1456"/>
        <w:gridCol w:w="146"/>
        <w:gridCol w:w="1501"/>
        <w:gridCol w:w="146"/>
        <w:gridCol w:w="150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64.9% to 67.7%</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65.3%</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62.4% to 63.8%</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62.8%</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3.4% to 4.6%</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2.0% to 3.0%</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2.3%</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life (in 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5.5</w:t>
            </w:r>
            <w:r>
              <w:rPr>
                <w:rFonts w:ascii="Times New Roman" w:hAnsi="Times New Roman"/>
                <w:color w:val="000000"/>
                <w:sz w:val="20"/>
              </w:rPr>
              <w:t> </w:t>
            </w:r>
            <w:r>
              <w:rPr>
                <w:rFonts w:ascii="Times New Roman" w:hAnsi="Times New Roman"/>
                <w:b w:val="false"/>
                <w:color w:val="000000"/>
                <w:sz w:val="20"/>
              </w:rPr>
              <w:t>to 6.1</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6.1</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6.0</w:t>
            </w:r>
            <w:r>
              <w:rPr>
                <w:rFonts w:ascii="Times New Roman" w:hAnsi="Times New Roman"/>
                <w:color w:val="000000"/>
                <w:sz w:val="20"/>
              </w:rPr>
              <w:t> </w:t>
            </w:r>
            <w:r>
              <w:rPr>
                <w:rFonts w:ascii="Times New Roman" w:hAnsi="Times New Roman"/>
                <w:b w:val="false"/>
                <w:color w:val="000000"/>
                <w:sz w:val="20"/>
              </w:rPr>
              <w:t>to 10.0</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6.0</w:t>
            </w:r>
            <w:r>
              <w:rPr>
                <w:rFonts w:ascii="Times New Roman" w:hAnsi="Times New Roman"/>
                <w:color w:val="000000"/>
                <w:sz w:val="20"/>
              </w:rPr>
              <w:t> </w:t>
            </w:r>
            <w:r>
              <w:rPr>
                <w:rFonts w:ascii="Times New Roman" w:hAnsi="Times New Roman"/>
                <w:b w:val="false"/>
                <w:color w:val="000000"/>
                <w:sz w:val="20"/>
              </w:rPr>
              <w:t>years</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w:t>
            </w:r>
          </w:p>
        </w:tc>
      </w:tr>
      <w:tr>
        <w:trPr/>
        <w:tc>
          <w:tcPr>
            <w:tcW w:w="21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 date fair value</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$12.91</w:t>
            </w:r>
            <w:r>
              <w:rPr>
                <w:rFonts w:ascii="Times New Roman" w:hAnsi="Times New Roman"/>
                <w:color w:val="000000"/>
                <w:sz w:val="20"/>
              </w:rPr>
              <w:t> </w:t>
            </w:r>
            <w:r>
              <w:rPr>
                <w:rFonts w:ascii="Times New Roman" w:hAnsi="Times New Roman"/>
                <w:b w:val="false"/>
                <w:color w:val="000000"/>
                <w:sz w:val="20"/>
              </w:rPr>
              <w:t>to $32.45</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$16.89</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$10.74</w:t>
            </w:r>
            <w:r>
              <w:rPr>
                <w:rFonts w:ascii="Times New Roman" w:hAnsi="Times New Roman"/>
                <w:color w:val="000000"/>
                <w:sz w:val="20"/>
              </w:rPr>
              <w:t> </w:t>
            </w:r>
            <w:r>
              <w:rPr>
                <w:rFonts w:ascii="Times New Roman" w:hAnsi="Times New Roman"/>
                <w:b w:val="false"/>
                <w:color w:val="000000"/>
                <w:sz w:val="20"/>
              </w:rPr>
              <w:t>to $15.52</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$12.63</w:t>
            </w:r>
          </w:p>
        </w:tc>
      </w:tr>
    </w:tbl>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Each share of common stock is entitled to one vote. Common stock reserved for future issuance under the Equity Plans, 2021 ESPP and the ATM offering consisted of the following:</w:t>
      </w:r>
      <w:r>
        <w:rPr>
          <w:rFonts w:ascii="Times New Roman" w:hAnsi="Times New Roman"/>
          <w:color w:val="000000"/>
          <w:sz w:val="20"/>
        </w:rPr>
        <w:t xml:space="preserve"> </w:t>
      </w:r>
    </w:p>
    <w:tbl>
      <w:tblPr>
        <w:tblW w:w="9180" w:type="dxa"/>
        <w:jc w:val="left"/>
        <w:tblInd w:w="0" w:type="dxa"/>
        <w:tblLayout w:type="fixed"/>
        <w:tblCellMar>
          <w:top w:w="28" w:type="dxa"/>
          <w:left w:w="28" w:type="dxa"/>
          <w:bottom w:w="28" w:type="dxa"/>
          <w:right w:w="28" w:type="dxa"/>
        </w:tblCellMar>
      </w:tblPr>
      <w:tblGrid>
        <w:gridCol w:w="5056"/>
        <w:gridCol w:w="146"/>
        <w:gridCol w:w="240"/>
        <w:gridCol w:w="1530"/>
        <w:gridCol w:w="146"/>
        <w:gridCol w:w="146"/>
        <w:gridCol w:w="213"/>
        <w:gridCol w:w="151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issued and outstanding under the Equity Plans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6,974,240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6,339,558</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future issuance under the Equity Plans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416,652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865,122</w:t>
            </w:r>
          </w:p>
        </w:tc>
        <w:tc>
          <w:tcPr>
            <w:tcW w:w="1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 issued under the 2021 Plan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5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650,682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492,862</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future issuance under 2021 ESPP</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5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614,472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664,976</w:t>
            </w:r>
          </w:p>
        </w:tc>
        <w:tc>
          <w:tcPr>
            <w:tcW w:w="1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Shares available for future sale under the ATM offering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3,454,064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shares of common stock reserved</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8,656,046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11,816,582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Based on the closing stock price of $12.67</w:t>
      </w:r>
      <w:r>
        <w:rPr>
          <w:rFonts w:ascii="Times New Roman" w:hAnsi="Times New Roman"/>
          <w:color w:val="000000"/>
          <w:sz w:val="20"/>
        </w:rPr>
        <w:t xml:space="preserve"> </w:t>
      </w:r>
      <w:r>
        <w:rPr>
          <w:rFonts w:ascii="Times New Roman" w:hAnsi="Times New Roman"/>
          <w:b w:val="false"/>
          <w:color w:val="000000"/>
          <w:sz w:val="20"/>
        </w:rPr>
        <w:t>as reported on the Nasdaq Global Market on December 30, 2022.</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ATM Offering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the date of this report, a total of 2,617,964</w:t>
      </w:r>
      <w:r>
        <w:rPr>
          <w:rFonts w:ascii="Times New Roman" w:hAnsi="Times New Roman"/>
          <w:color w:val="000000"/>
          <w:sz w:val="20"/>
        </w:rPr>
        <w:t xml:space="preserve"> </w:t>
      </w:r>
      <w:r>
        <w:rPr>
          <w:rFonts w:ascii="Times New Roman" w:hAnsi="Times New Roman"/>
          <w:b w:val="false"/>
          <w:color w:val="000000"/>
          <w:sz w:val="20"/>
        </w:rPr>
        <w:t>shares of the Company's common stock, for total gross proceeds of $50.0</w:t>
      </w:r>
      <w:r>
        <w:rPr>
          <w:rFonts w:ascii="Times New Roman" w:hAnsi="Times New Roman"/>
          <w:color w:val="000000"/>
          <w:sz w:val="20"/>
        </w:rPr>
        <w:t xml:space="preserve"> </w:t>
      </w:r>
      <w:r>
        <w:rPr>
          <w:rFonts w:ascii="Times New Roman" w:hAnsi="Times New Roman"/>
          <w:b w:val="false"/>
          <w:color w:val="000000"/>
          <w:sz w:val="20"/>
        </w:rPr>
        <w:t>million (net proceeds of $47.5</w:t>
      </w:r>
      <w:r>
        <w:rPr>
          <w:rFonts w:ascii="Times New Roman" w:hAnsi="Times New Roman"/>
          <w:color w:val="000000"/>
          <w:sz w:val="20"/>
        </w:rPr>
        <w:t xml:space="preserve"> </w:t>
      </w:r>
      <w:r>
        <w:rPr>
          <w:rFonts w:ascii="Times New Roman" w:hAnsi="Times New Roman"/>
          <w:b w:val="false"/>
          <w:color w:val="000000"/>
          <w:sz w:val="20"/>
        </w:rPr>
        <w:t>million), have been issued and sold pursuant to the ATM offering, of which 428,000</w:t>
      </w:r>
      <w:r>
        <w:rPr>
          <w:rFonts w:ascii="Times New Roman" w:hAnsi="Times New Roman"/>
          <w:color w:val="000000"/>
          <w:sz w:val="20"/>
        </w:rPr>
        <w:t xml:space="preserve"> </w:t>
      </w:r>
      <w:r>
        <w:rPr>
          <w:rFonts w:ascii="Times New Roman" w:hAnsi="Times New Roman"/>
          <w:b w:val="false"/>
          <w:color w:val="000000"/>
          <w:sz w:val="20"/>
        </w:rPr>
        <w:t>shares of the Company's common stock, for net proceeds of $11.7</w:t>
      </w:r>
      <w:r>
        <w:rPr>
          <w:rFonts w:ascii="Times New Roman" w:hAnsi="Times New Roman"/>
          <w:color w:val="000000"/>
          <w:sz w:val="20"/>
        </w:rPr>
        <w:t xml:space="preserve"> </w:t>
      </w:r>
      <w:r>
        <w:rPr>
          <w:rFonts w:ascii="Times New Roman" w:hAnsi="Times New Roman"/>
          <w:b w:val="false"/>
          <w:color w:val="000000"/>
          <w:sz w:val="20"/>
        </w:rPr>
        <w:t>million, were sold during the quarter ended September 30, 2023, which was the remaining authorized value of the common stock under the ATM offering in the third quarter of 2023.</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As of September 30, 2023</w:t>
      </w:r>
      <w:r>
        <w:rPr>
          <w:rFonts w:ascii="Times New Roman" w:hAnsi="Times New Roman"/>
          <w:color w:val="000000"/>
          <w:sz w:val="20"/>
        </w:rPr>
        <w:t xml:space="preserve"> </w:t>
      </w:r>
      <w:r>
        <w:rPr>
          <w:rFonts w:ascii="Times New Roman" w:hAnsi="Times New Roman"/>
          <w:b w:val="false"/>
          <w:color w:val="000000"/>
          <w:sz w:val="20"/>
        </w:rPr>
        <w:t>the Company held four</w:t>
      </w:r>
      <w:r>
        <w:rPr>
          <w:rFonts w:ascii="Times New Roman" w:hAnsi="Times New Roman"/>
          <w:color w:val="000000"/>
          <w:sz w:val="20"/>
        </w:rPr>
        <w:t xml:space="preserve"> </w:t>
      </w:r>
      <w:r>
        <w:rPr>
          <w:rFonts w:ascii="Times New Roman" w:hAnsi="Times New Roman"/>
          <w:b w:val="false"/>
          <w:color w:val="000000"/>
          <w:sz w:val="20"/>
        </w:rPr>
        <w:t>leases for office, manufacturing and warehouse facilities in Aliso Viejo, California. The four leases are for approximately 121,000</w:t>
      </w:r>
      <w:r>
        <w:rPr>
          <w:rFonts w:ascii="Times New Roman" w:hAnsi="Times New Roman"/>
          <w:color w:val="000000"/>
          <w:sz w:val="20"/>
        </w:rPr>
        <w:t xml:space="preserve"> </w:t>
      </w:r>
      <w:r>
        <w:rPr>
          <w:rFonts w:ascii="Times New Roman" w:hAnsi="Times New Roman"/>
          <w:b w:val="false"/>
          <w:color w:val="000000"/>
          <w:sz w:val="20"/>
        </w:rPr>
        <w:t>square feet in the aggregate and expire between August 31, 2024</w:t>
      </w:r>
      <w:r>
        <w:rPr>
          <w:rFonts w:ascii="Times New Roman" w:hAnsi="Times New Roman"/>
          <w:color w:val="000000"/>
          <w:sz w:val="20"/>
        </w:rPr>
        <w:t xml:space="preserve"> </w:t>
      </w:r>
      <w:r>
        <w:rPr>
          <w:rFonts w:ascii="Times New Roman" w:hAnsi="Times New Roman"/>
          <w:b w:val="false"/>
          <w:color w:val="000000"/>
          <w:sz w:val="20"/>
        </w:rPr>
        <w:t>and January 31, 2026. For one of the facilities operating leases, the lessor provided $900,000</w:t>
      </w:r>
      <w:r>
        <w:rPr>
          <w:rFonts w:ascii="Times New Roman" w:hAnsi="Times New Roman"/>
          <w:color w:val="000000"/>
          <w:sz w:val="20"/>
        </w:rPr>
        <w:t xml:space="preserve"> </w:t>
      </w:r>
      <w:r>
        <w:rPr>
          <w:rFonts w:ascii="Times New Roman" w:hAnsi="Times New Roman"/>
          <w:b w:val="false"/>
          <w:color w:val="000000"/>
          <w:sz w:val="20"/>
        </w:rPr>
        <w:t>in tenant allowances.</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b w:val="false"/>
          <w:color w:val="000000"/>
          <w:sz w:val="20"/>
        </w:rPr>
        <w:t>On April 4, 2022, the Company entered into a thirty-four-month</w:t>
      </w:r>
      <w:r>
        <w:rPr>
          <w:rFonts w:ascii="Times New Roman" w:hAnsi="Times New Roman"/>
          <w:color w:val="000000"/>
          <w:sz w:val="20"/>
        </w:rPr>
        <w:t xml:space="preserve"> </w:t>
      </w:r>
      <w:r>
        <w:rPr>
          <w:rFonts w:ascii="Times New Roman" w:hAnsi="Times New Roman"/>
          <w:b w:val="false"/>
          <w:color w:val="000000"/>
          <w:sz w:val="20"/>
        </w:rPr>
        <w:t>sublease agreement for a portion of the 5 Columbia Building, in Aliso Viejo, CA. The sublease commencement date was June 13, 2022 and will expire on March 31, 2025. The base rent receivable is $11,410</w:t>
      </w:r>
      <w:r>
        <w:rPr>
          <w:rFonts w:ascii="Times New Roman" w:hAnsi="Times New Roman"/>
          <w:color w:val="000000"/>
          <w:sz w:val="20"/>
        </w:rPr>
        <w:t xml:space="preserve"> </w:t>
      </w:r>
      <w:r>
        <w:rPr>
          <w:rFonts w:ascii="Times New Roman" w:hAnsi="Times New Roman"/>
          <w:b w:val="false"/>
          <w:color w:val="000000"/>
          <w:sz w:val="20"/>
        </w:rPr>
        <w:t>per month. On January 4, 2023 the Company entered into a second amendment to the sublease agreement adjusting the base rent receivable to $5,319</w:t>
      </w:r>
      <w:r>
        <w:rPr>
          <w:rFonts w:ascii="Times New Roman" w:hAnsi="Times New Roman"/>
          <w:color w:val="000000"/>
          <w:sz w:val="20"/>
        </w:rPr>
        <w:t xml:space="preserve"> </w:t>
      </w:r>
      <w:r>
        <w:rPr>
          <w:rFonts w:ascii="Times New Roman" w:hAnsi="Times New Roman"/>
          <w:b w:val="false"/>
          <w:color w:val="000000"/>
          <w:sz w:val="20"/>
        </w:rPr>
        <w:t>per month.</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following table presents the lease balances within the Condensed Consolidated Balance Sheets as of September 30, 2023 and December 31, 2022 (in thousands):</w:t>
      </w:r>
    </w:p>
    <w:tbl>
      <w:tblPr>
        <w:tblW w:w="8312" w:type="dxa"/>
        <w:jc w:val="left"/>
        <w:tblInd w:w="0" w:type="dxa"/>
        <w:tblLayout w:type="fixed"/>
        <w:tblCellMar>
          <w:top w:w="28" w:type="dxa"/>
          <w:left w:w="28" w:type="dxa"/>
          <w:bottom w:w="28" w:type="dxa"/>
          <w:right w:w="28" w:type="dxa"/>
        </w:tblCellMar>
      </w:tblPr>
      <w:tblGrid>
        <w:gridCol w:w="1831"/>
        <w:gridCol w:w="146"/>
        <w:gridCol w:w="2941"/>
        <w:gridCol w:w="146"/>
        <w:gridCol w:w="351"/>
        <w:gridCol w:w="954"/>
        <w:gridCol w:w="146"/>
        <w:gridCol w:w="146"/>
        <w:gridCol w:w="339"/>
        <w:gridCol w:w="92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 right-of-use assets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3,943</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assets</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lease liabilities</w:t>
            </w:r>
          </w:p>
        </w:tc>
        <w:tc>
          <w:tcPr>
            <w:tcW w:w="146" w:type="dxa"/>
            <w:tcBorders/>
            <w:shd w:fill="CFF0FC" w:val="clear"/>
            <w:vAlign w:val="center"/>
          </w:tcPr>
          <w:p>
            <w:pPr>
              <w:pStyle w:val="TableContents"/>
              <w:bidi w:val="0"/>
              <w:spacing w:before="0" w:after="283"/>
              <w:jc w:val="left"/>
              <w:rPr/>
            </w:pPr>
            <w:r>
              <w:rPr/>
              <w:t> </w:t>
            </w:r>
          </w:p>
        </w:tc>
        <w:tc>
          <w:tcPr>
            <w:tcW w:w="351"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lease liabilities</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and 2022, the components of operating and finance lease expenses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6"/>
        <w:gridCol w:w="146"/>
        <w:gridCol w:w="2497"/>
        <w:gridCol w:w="146"/>
        <w:gridCol w:w="366"/>
        <w:gridCol w:w="731"/>
        <w:gridCol w:w="253"/>
        <w:gridCol w:w="253"/>
        <w:gridCol w:w="366"/>
        <w:gridCol w:w="731"/>
        <w:gridCol w:w="146"/>
        <w:gridCol w:w="146"/>
        <w:gridCol w:w="306"/>
        <w:gridCol w:w="829"/>
        <w:gridCol w:w="212"/>
        <w:gridCol w:w="212"/>
        <w:gridCol w:w="306"/>
        <w:gridCol w:w="829"/>
        <w:gridCol w:w="194"/>
      </w:tblGrid>
      <w:tr>
        <w:trPr/>
        <w:tc>
          <w:tcPr>
            <w:tcW w:w="1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5"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35"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94" w:type="dxa"/>
            <w:tcBorders/>
            <w:shd w:fill="FFFFFF" w:val="clear"/>
            <w:vAlign w:val="center"/>
          </w:tcPr>
          <w:p>
            <w:pPr>
              <w:pStyle w:val="TableContents"/>
              <w:bidi w:val="0"/>
              <w:spacing w:before="0" w:after="283"/>
              <w:jc w:val="left"/>
              <w:rPr/>
            </w:pPr>
            <w:r>
              <w:rPr/>
              <w:t> </w:t>
            </w:r>
          </w:p>
        </w:tc>
      </w:tr>
      <w:tr>
        <w:trPr/>
        <w:tc>
          <w:tcPr>
            <w:tcW w:w="15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1,326</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1,257</w:t>
            </w:r>
          </w:p>
        </w:tc>
        <w:tc>
          <w:tcPr>
            <w:tcW w:w="194" w:type="dxa"/>
            <w:tcBorders/>
            <w:shd w:fill="FFFFFF" w:val="clear"/>
            <w:vAlign w:val="center"/>
          </w:tcPr>
          <w:p>
            <w:pPr>
              <w:pStyle w:val="TableContents"/>
              <w:bidi w:val="0"/>
              <w:spacing w:before="0" w:after="283"/>
              <w:jc w:val="left"/>
              <w:rPr/>
            </w:pPr>
            <w:r>
              <w:rPr/>
              <w:t> </w:t>
            </w:r>
          </w:p>
        </w:tc>
      </w:tr>
      <w:tr>
        <w:trPr/>
        <w:tc>
          <w:tcPr>
            <w:tcW w:w="15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cost</w:t>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94" w:type="dxa"/>
            <w:tcBorders/>
            <w:shd w:fill="FFFFFF" w:val="clear"/>
            <w:vAlign w:val="center"/>
          </w:tcPr>
          <w:p>
            <w:pPr>
              <w:pStyle w:val="TableContents"/>
              <w:bidi w:val="0"/>
              <w:spacing w:before="0" w:after="283"/>
              <w:jc w:val="left"/>
              <w:rPr/>
            </w:pPr>
            <w:r>
              <w:rPr/>
              <w:t> </w:t>
            </w:r>
          </w:p>
        </w:tc>
      </w:tr>
      <w:tr>
        <w:trPr/>
        <w:tc>
          <w:tcPr>
            <w:tcW w:w="153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49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10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35" w:type="dxa"/>
            <w:gridSpan w:val="2"/>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1135" w:type="dxa"/>
            <w:gridSpan w:val="2"/>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r>
      <w:tr>
        <w:trPr/>
        <w:tc>
          <w:tcPr>
            <w:tcW w:w="15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24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53"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1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94" w:type="dxa"/>
            <w:tcBorders/>
            <w:shd w:fill="FFFFFF" w:val="cle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Maturities of the Company’s operating and finance lease liabilities as of September 30, 2023 were as follows (in thousands):</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326"/>
        <w:gridCol w:w="146"/>
        <w:gridCol w:w="263"/>
        <w:gridCol w:w="713"/>
        <w:gridCol w:w="166"/>
        <w:gridCol w:w="146"/>
        <w:gridCol w:w="295"/>
        <w:gridCol w:w="486"/>
        <w:gridCol w:w="5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6"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591" w:type="dxa"/>
            <w:tcBorders/>
            <w:shd w:fill="FFFFFF" w:val="cle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2023 (remainder)</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32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weighted average remaining lease term and weighted average discount rate used to determine lease liabilities related to the Company’s operating and finance leases as of September 30, 2023 and December 31, 2022 were:</w:t>
      </w:r>
    </w:p>
    <w:tbl>
      <w:tblPr>
        <w:tblW w:w="7545" w:type="dxa"/>
        <w:jc w:val="left"/>
        <w:tblInd w:w="0" w:type="dxa"/>
        <w:tblLayout w:type="fixed"/>
        <w:tblCellMar>
          <w:top w:w="28" w:type="dxa"/>
          <w:left w:w="28" w:type="dxa"/>
          <w:bottom w:w="28" w:type="dxa"/>
          <w:right w:w="28" w:type="dxa"/>
        </w:tblCellMar>
      </w:tblPr>
      <w:tblGrid>
        <w:gridCol w:w="3901"/>
        <w:gridCol w:w="146"/>
        <w:gridCol w:w="310"/>
        <w:gridCol w:w="995"/>
        <w:gridCol w:w="271"/>
        <w:gridCol w:w="146"/>
        <w:gridCol w:w="300"/>
        <w:gridCol w:w="960"/>
        <w:gridCol w:w="5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6" w:type="dxa"/>
            <w:tcBorders/>
            <w:shd w:fill="FFFFFF" w:val="cle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516" w:type="dxa"/>
            <w:tcBorders/>
            <w:shd w:fill="CFF0FC" w:val="clear"/>
            <w:vAlign w:val="center"/>
          </w:tcPr>
          <w:p>
            <w:pPr>
              <w:pStyle w:val="TableContents"/>
              <w:bidi w:val="0"/>
              <w:spacing w:before="0" w:after="283"/>
              <w:jc w:val="left"/>
              <w:rPr/>
            </w:pPr>
            <w:r>
              <w:rPr/>
              <w:t> </w:t>
            </w:r>
          </w:p>
        </w:tc>
      </w:tr>
      <w:tr>
        <w:trPr/>
        <w:tc>
          <w:tcPr>
            <w:tcW w:w="39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9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Note 9 – Commitments and Contingencies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Letter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a standby letter of credit, expiring September 30, 2024, issued by a financial institution as required security for one operating lease. The aggregate amount of the letter of credit was $0.2</w:t>
      </w:r>
      <w:r>
        <w:rPr>
          <w:rFonts w:ascii="Times New Roman" w:hAnsi="Times New Roman"/>
          <w:color w:val="000000"/>
          <w:sz w:val="20"/>
        </w:rPr>
        <w:t xml:space="preserve"> </w:t>
      </w:r>
      <w:r>
        <w:rPr>
          <w:rFonts w:ascii="Times New Roman" w:hAnsi="Times New Roman"/>
          <w:b w:val="false"/>
          <w:color w:val="000000"/>
          <w:sz w:val="20"/>
        </w:rPr>
        <w:t>million and $0.3</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Legal Matters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September 30, 2023 and December 31, 2022, there were no</w:t>
      </w:r>
      <w:r>
        <w:rPr>
          <w:rFonts w:ascii="Times New Roman" w:hAnsi="Times New Roman"/>
          <w:color w:val="000000"/>
          <w:sz w:val="20"/>
        </w:rPr>
        <w:t xml:space="preserve"> </w:t>
      </w:r>
      <w:r>
        <w:rPr>
          <w:rFonts w:ascii="Times New Roman" w:hAnsi="Times New Roman"/>
          <w:b w:val="false"/>
          <w:color w:val="000000"/>
          <w:sz w:val="20"/>
        </w:rPr>
        <w:t>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pStyle w:val="TextBody"/>
        <w:bidi w:val="0"/>
        <w:spacing w:before="40" w:after="283"/>
        <w:jc w:val="left"/>
        <w:rPr/>
      </w:pPr>
      <w:r>
        <w:rPr/>
        <w:t>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2022, included in our Annual Report on Form 10-K filed with the U.S. Securities and Exchange Commission on March 6, 2023.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 of, and elsewhere in, this report. See “Special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RxSight Light Delivery Device (“LDD”) and accessories. Our LAL is a premium intraocular lens (“IOL”) made of proprietary photosensitive material that changes shape in response to specific patterns of ultraviolet (“UV”) light generated by our LDD.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Mexico and Canada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opportunity. New approvals may also be sought in large cataract markets with more complex regulatory processes such as Asia.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 Delaware corporation headquartered in Aliso Viejo, California with one wholly owned subsidiary located in Amsterdam, Netherlands. The wholly owned subsidiary has a registered branch in the United Kingdom and a wholly owned subsidiary located in Germany.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4,000 U.S. cataract surgeons that perform 70%-80% of all premium IOL procedures. As of September 30, 2023, we had established an installed base of 589 LDDs in ophthalmology practices and, since our inception through September 30, 2023, surgeons have implanted over 78,000 LALs.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have incurred and expect to incur increased costs for employee-related expenses, director and officer insurance premiums, audit and legal fees, (including with respect to future compliance with Section 404(b) of the Sarbanes-Oxley Act), investor relations fees and fees to members of our Board and expenses for compliance with public-company reporting requirements. Because of these and other factors, we expect to continue to incur net losses and negative cash flows from operations in the near future.</w:t>
      </w:r>
    </w:p>
    <w:p>
      <w:pPr>
        <w:pStyle w:val="TextBody"/>
        <w:bidi w:val="0"/>
        <w:spacing w:before="12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the number of LDDs sold in each quarter and our LDD installed base at the end of each period are important metrics as they represent an installed base into which we can sell our LALs. Our third quarter was consistent with the typical seasonality patterns for cataract surgery volumes, which tend to be softer in the third quarter due primarily to summer vacation schedules.</w:t>
      </w:r>
    </w:p>
    <w:tbl>
      <w:tblPr>
        <w:tblW w:w="9026" w:type="dxa"/>
        <w:jc w:val="left"/>
        <w:tblInd w:w="0" w:type="dxa"/>
        <w:tblLayout w:type="fixed"/>
        <w:tblCellMar>
          <w:top w:w="28" w:type="dxa"/>
          <w:left w:w="28" w:type="dxa"/>
          <w:bottom w:w="28" w:type="dxa"/>
          <w:right w:w="28" w:type="dxa"/>
        </w:tblCellMar>
      </w:tblPr>
      <w:tblGrid>
        <w:gridCol w:w="2611"/>
        <w:gridCol w:w="146"/>
        <w:gridCol w:w="146"/>
        <w:gridCol w:w="146"/>
        <w:gridCol w:w="421"/>
        <w:gridCol w:w="146"/>
        <w:gridCol w:w="146"/>
        <w:gridCol w:w="146"/>
        <w:gridCol w:w="421"/>
        <w:gridCol w:w="146"/>
        <w:gridCol w:w="146"/>
        <w:gridCol w:w="146"/>
        <w:gridCol w:w="421"/>
        <w:gridCol w:w="146"/>
        <w:gridCol w:w="146"/>
        <w:gridCol w:w="146"/>
        <w:gridCol w:w="421"/>
        <w:gridCol w:w="146"/>
        <w:gridCol w:w="146"/>
        <w:gridCol w:w="146"/>
        <w:gridCol w:w="421"/>
        <w:gridCol w:w="146"/>
        <w:gridCol w:w="211"/>
        <w:gridCol w:w="146"/>
        <w:gridCol w:w="421"/>
        <w:gridCol w:w="146"/>
        <w:gridCol w:w="146"/>
        <w:gridCol w:w="146"/>
        <w:gridCol w:w="421"/>
        <w:gridCol w:w="14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LDDs Sold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Installed Base at End of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Reduced by one LDD taken out of installed base in Q2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the number of LALs sold (reported as implanted in a patient) in each quarter is an important metric indicative of adoption and utilization of our RxSight system. During the quarter ended September 30, 2023, we had increased LDD sales of 17 and increased LAL sales of 7,062 when compared to the quarter ended September 30, 2022 from strong adoption of our RxSight technology by practices and doctors combined with an increased LDD installed base.</w:t>
      </w:r>
      <w:r>
        <w:rPr>
          <w:rFonts w:ascii="Times New Roman" w:hAnsi="Times New Roman"/>
          <w:color w:val="000000"/>
          <w:sz w:val="20"/>
        </w:rPr>
        <w:t xml:space="preserve"> </w:t>
      </w:r>
    </w:p>
    <w:p>
      <w:pPr>
        <w:pStyle w:val="TextBody"/>
        <w:bidi w:val="0"/>
        <w:jc w:val="left"/>
        <w:rPr/>
      </w:pPr>
      <w:r>
        <w:rPr/>
        <w:t> </w:t>
      </w:r>
    </w:p>
    <w:tbl>
      <w:tblPr>
        <w:tblW w:w="8560" w:type="dxa"/>
        <w:jc w:val="left"/>
        <w:tblInd w:w="0" w:type="dxa"/>
        <w:tblLayout w:type="fixed"/>
        <w:tblCellMar>
          <w:top w:w="28" w:type="dxa"/>
          <w:left w:w="28" w:type="dxa"/>
          <w:bottom w:w="28" w:type="dxa"/>
          <w:right w:w="28" w:type="dxa"/>
        </w:tblCellMar>
      </w:tblPr>
      <w:tblGrid>
        <w:gridCol w:w="991"/>
        <w:gridCol w:w="146"/>
        <w:gridCol w:w="146"/>
        <w:gridCol w:w="676"/>
        <w:gridCol w:w="146"/>
        <w:gridCol w:w="146"/>
        <w:gridCol w:w="146"/>
        <w:gridCol w:w="676"/>
        <w:gridCol w:w="146"/>
        <w:gridCol w:w="146"/>
        <w:gridCol w:w="146"/>
        <w:gridCol w:w="676"/>
        <w:gridCol w:w="146"/>
        <w:gridCol w:w="146"/>
        <w:gridCol w:w="146"/>
        <w:gridCol w:w="571"/>
        <w:gridCol w:w="146"/>
        <w:gridCol w:w="146"/>
        <w:gridCol w:w="146"/>
        <w:gridCol w:w="571"/>
        <w:gridCol w:w="146"/>
        <w:gridCol w:w="146"/>
        <w:gridCol w:w="146"/>
        <w:gridCol w:w="571"/>
        <w:gridCol w:w="146"/>
        <w:gridCol w:w="146"/>
        <w:gridCol w:w="146"/>
        <w:gridCol w:w="571"/>
        <w:gridCol w:w="146"/>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LALs Sold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9,123</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LALs are held at customer sites on consignment. The single performance obligation is satisfied, and revenue is recognized for LALs upon customer notification that the LALs have been implanted in a patient.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 We recorded contract liabilities of $1,678,000 and $1,187,000 related to such service agreements as of September 30, 2023 and December 31, 2022,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and 2022, revenue from contracts with customers consisted of the following (in thousands):</w:t>
      </w:r>
      <w:r>
        <w:rPr>
          <w:rFonts w:ascii="Times New Roman" w:hAnsi="Times New Roman"/>
          <w:color w:val="000000"/>
          <w:sz w:val="20"/>
        </w:rPr>
        <w:t xml:space="preserv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759"/>
        <w:gridCol w:w="146"/>
        <w:gridCol w:w="301"/>
        <w:gridCol w:w="968"/>
        <w:gridCol w:w="208"/>
        <w:gridCol w:w="208"/>
        <w:gridCol w:w="301"/>
        <w:gridCol w:w="968"/>
        <w:gridCol w:w="146"/>
        <w:gridCol w:w="146"/>
        <w:gridCol w:w="291"/>
        <w:gridCol w:w="934"/>
        <w:gridCol w:w="202"/>
        <w:gridCol w:w="202"/>
        <w:gridCol w:w="291"/>
        <w:gridCol w:w="934"/>
        <w:gridCol w:w="200"/>
      </w:tblGrid>
      <w:tr>
        <w:trPr/>
        <w:tc>
          <w:tcPr>
            <w:tcW w:w="3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26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225" w:type="dxa"/>
            <w:gridSpan w:val="2"/>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LDD (including training)</w:t>
            </w:r>
          </w:p>
        </w:tc>
        <w:tc>
          <w:tcPr>
            <w:tcW w:w="146"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7,932</w:t>
            </w:r>
          </w:p>
        </w:tc>
        <w:tc>
          <w:tcPr>
            <w:tcW w:w="208"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22,127</w:t>
            </w:r>
          </w:p>
        </w:tc>
        <w:tc>
          <w:tcPr>
            <w:tcW w:w="202"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15,941</w:t>
            </w:r>
          </w:p>
        </w:tc>
        <w:tc>
          <w:tcPr>
            <w:tcW w:w="200" w:type="dxa"/>
            <w:tcBorders/>
            <w:shd w:fill="CFF0FC" w:val="cle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LAL</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13,502</w:t>
            </w:r>
          </w:p>
        </w:tc>
        <w:tc>
          <w:tcPr>
            <w:tcW w:w="208"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36,308</w:t>
            </w:r>
          </w:p>
        </w:tc>
        <w:tc>
          <w:tcPr>
            <w:tcW w:w="202"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15,979</w:t>
            </w:r>
          </w:p>
        </w:tc>
        <w:tc>
          <w:tcPr>
            <w:tcW w:w="200" w:type="dxa"/>
            <w:tcBorders/>
            <w:shd w:fill="FFFFFF" w:val="clear"/>
            <w:vAlign w:val="center"/>
          </w:tcPr>
          <w:p>
            <w:pPr>
              <w:pStyle w:val="TableContents"/>
              <w:bidi w:val="0"/>
              <w:spacing w:before="0" w:after="283"/>
              <w:jc w:val="left"/>
              <w:rPr/>
            </w:pPr>
            <w:r>
              <w:rPr/>
              <w:t> </w:t>
            </w:r>
          </w:p>
        </w:tc>
      </w:tr>
      <w:tr>
        <w:trPr/>
        <w:tc>
          <w:tcPr>
            <w:tcW w:w="375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warranty, service contracts, and accessories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22,199</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60,497</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32,917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and 2022 we did not have any one customer who individually accounted for more than 10% of revenue.</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Cost of sales consist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LDD, as is typical of many medical device capital equipment products, has a low gross margin, as the material cost of the LDD is significant, representing greater than 50% of the total cost to manufacture. In addition, we do not mark up our LDD substantially, as LDDs, as sold, generate LAL procedures. Our LAL gross margin is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higher, with low material cost but high fixed overhead costs. As our manufacturing volume of the LAL increases, we expect the gross margin may improve significantly.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pStyle w:val="TextBody"/>
        <w:bidi w:val="0"/>
        <w:spacing w:before="1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expense consist primarily of interest incurred on our outstanding indebtedness and non-cash interest related to the amortization of debt discount and issuance costs associated with our indebtedness.</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Interest and other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Interest and other income consist primarily of interest income earned on our short-term investments and cash and cash equivalents.</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29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September 30, 2023 and 2022</w:t>
      </w:r>
      <w:r>
        <w:rPr>
          <w:rFonts w:ascii="Times New Roman" w:hAnsi="Times New Roman"/>
          <w:color w:val="000000"/>
          <w:sz w:val="20"/>
        </w:rPr>
        <w:t xml:space="preserve"> </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three months ended September 30, 2023 and 2022 together with the dollar increase or decrease and percentage change in those items.</w:t>
      </w:r>
    </w:p>
    <w:tbl>
      <w:tblPr>
        <w:tblW w:w="10008" w:type="dxa"/>
        <w:jc w:val="left"/>
        <w:tblInd w:w="0" w:type="dxa"/>
        <w:tblLayout w:type="fixed"/>
        <w:tblCellMar>
          <w:top w:w="28" w:type="dxa"/>
          <w:left w:w="28" w:type="dxa"/>
          <w:bottom w:w="28" w:type="dxa"/>
          <w:right w:w="28" w:type="dxa"/>
        </w:tblCellMar>
      </w:tblPr>
      <w:tblGrid>
        <w:gridCol w:w="4236"/>
        <w:gridCol w:w="298"/>
        <w:gridCol w:w="1041"/>
        <w:gridCol w:w="234"/>
        <w:gridCol w:w="206"/>
        <w:gridCol w:w="298"/>
        <w:gridCol w:w="1041"/>
        <w:gridCol w:w="166"/>
        <w:gridCol w:w="146"/>
        <w:gridCol w:w="211"/>
        <w:gridCol w:w="631"/>
        <w:gridCol w:w="166"/>
        <w:gridCol w:w="146"/>
        <w:gridCol w:w="146"/>
        <w:gridCol w:w="631"/>
        <w:gridCol w:w="411"/>
      </w:tblGrid>
      <w:tr>
        <w:trPr/>
        <w:tc>
          <w:tcPr>
            <w:tcW w:w="423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vAlign w:val="center"/>
          </w:tcPr>
          <w:p>
            <w:pPr>
              <w:pStyle w:val="TableContents"/>
              <w:bidi w:val="0"/>
              <w:spacing w:before="0" w:after="283"/>
              <w:jc w:val="left"/>
              <w:rPr/>
            </w:pPr>
            <w:r>
              <w:rPr/>
              <w:t> </w:t>
            </w:r>
          </w:p>
        </w:tc>
        <w:tc>
          <w:tcPr>
            <w:tcW w:w="3118"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1"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236" w:type="dxa"/>
            <w:tcBorders/>
            <w:shd w:fill="FFFFFF" w:val="clear"/>
            <w:vAlign w:val="center"/>
          </w:tcPr>
          <w:p>
            <w:pPr>
              <w:pStyle w:val="TableContents"/>
              <w:bidi w:val="0"/>
              <w:spacing w:before="0" w:after="283"/>
              <w:jc w:val="left"/>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w:t>
            </w:r>
          </w:p>
        </w:tc>
        <w:tc>
          <w:tcPr>
            <w:tcW w:w="2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22,199</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76.0</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sales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8,468</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13,731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339" w:type="dxa"/>
            <w:gridSpan w:val="2"/>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19,142</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7,101</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411" w:type="dxa"/>
            <w:tcBorders/>
            <w:shd w:fill="FFFFFF" w:val="cle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26,243</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2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(12,512</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339" w:type="dxa"/>
            <w:gridSpan w:val="2"/>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133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other income</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1,746</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extinguishment of term loan</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(expense) income, net:</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(12,403</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pPr>
            <w:r>
              <w:rPr/>
              <w:t> </w:t>
            </w:r>
          </w:p>
        </w:tc>
        <w:tc>
          <w:tcPr>
            <w:tcW w:w="10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(12,415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339" w:type="dxa"/>
            <w:gridSpan w:val="2"/>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133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short-term investments</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34"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(loss)</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comprehensive loss</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(12,402</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33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increased by $9.6 million, or 76.0%, to $22.2 million for the three months ended September 30, 2023, from $12.6 million for the three months ended September 30, 2022. The increase in total sales was primarily due to incremental sales of 7,062 LALs and 17 LDDs from strong adoption of our RxSight technology by practices and doctors.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Cost of sales increased by $1.2 million, or 16.7%, to $8.4 million for the three months ended September 30, 2023, from $7.3 million for the three months ended September 30, 2022, primarily due to the increase in the number of LALs and LDDs sold during the period. Gross margin increased to 62.0% in the three months ended September 30, 2023, from 42.5% for the three months ended September 30, 2022 primarily due to improved operating leverage, favorable product mix from a greater percentage of revenue from LAL sales and increased margins on our LDD due to lower material costs from the introduction of our compact LDD during the third quarter of 2023.</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SG&amp;A expenses increased by $4.2 million, or 28.2%, to $19.1 million for the three months ended September 30, 2023, from $14.9 million for the three months ended September 30, 2022. This increase was primarily attributable to an increase in selling and marketing costs of $2.9 million mainly due to increased salaries from increased headcount of 38, increased sales commissions, incentive bonuses and employee benefits of $1.7 million, $0.5 million of increased stock-based compensation expense, $0.3 million in additional post market study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and new customer acquisition costs, in each case when compared to the three months ended September 30, 2022. General and administrative expenses increased $1.4 million due to increased personnel expenses of $0.2 million, $0.8 million of increased costs related to operating as a public company for Sarbanes-Oxley compliance and increased stock-based compensation of $0.3 million, in each case when compared to the three months ended September 30, 2022.</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$0.7 million, or 11.2%, to $7.1 million for the three months ended September 30, 2023, from $6.4 million for the three months ended September 30, 2022. This increase was primarily attributable to $0.3 million due to increased salaries from increased headcount and $0.3 million from increased stock-based compensation.</w:t>
      </w:r>
    </w:p>
    <w:p>
      <w:pPr>
        <w:pStyle w:val="TextBody"/>
        <w:bidi w:val="0"/>
        <w:spacing w:before="1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income (expense), net, was income of $0.1 million for the three months ended September 30, 2023, compared to expense of $0.9 million for the three months ended September 30, 2022. This change was primarily due to increased interest income of $1.3 million from higher interest rates earned on higher short-term investment balances and decreased interest expense of $1.1 million which were offset by an increase of $1.4 million loss from extinguishment of term loan due to the repayment of the Oxford 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nine months ended September 30,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summarizes our results of operations for the nine months ended September 30, 2023 and 2022 together with the dollar increase or decrease and percentage change in those items:</w:t>
      </w:r>
      <w:r>
        <w:rPr>
          <w:rFonts w:ascii="Times New Roman" w:hAnsi="Times New Roman"/>
          <w:color w:val="000000"/>
          <w:sz w:val="20"/>
        </w:rPr>
        <w:t xml:space="preserve"> </w:t>
      </w:r>
    </w:p>
    <w:tbl>
      <w:tblPr>
        <w:tblW w:w="9994" w:type="dxa"/>
        <w:jc w:val="left"/>
        <w:tblInd w:w="0" w:type="dxa"/>
        <w:tblLayout w:type="fixed"/>
        <w:tblCellMar>
          <w:top w:w="28" w:type="dxa"/>
          <w:left w:w="28" w:type="dxa"/>
          <w:bottom w:w="28" w:type="dxa"/>
          <w:right w:w="28" w:type="dxa"/>
        </w:tblCellMar>
      </w:tblPr>
      <w:tblGrid>
        <w:gridCol w:w="4236"/>
        <w:gridCol w:w="287"/>
        <w:gridCol w:w="1001"/>
        <w:gridCol w:w="225"/>
        <w:gridCol w:w="198"/>
        <w:gridCol w:w="287"/>
        <w:gridCol w:w="1001"/>
        <w:gridCol w:w="166"/>
        <w:gridCol w:w="146"/>
        <w:gridCol w:w="211"/>
        <w:gridCol w:w="736"/>
        <w:gridCol w:w="166"/>
        <w:gridCol w:w="146"/>
        <w:gridCol w:w="146"/>
        <w:gridCol w:w="631"/>
        <w:gridCol w:w="411"/>
      </w:tblGrid>
      <w:tr>
        <w:trPr/>
        <w:tc>
          <w:tcPr>
            <w:tcW w:w="42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vAlign w:val="center"/>
          </w:tcPr>
          <w:p>
            <w:pPr>
              <w:pStyle w:val="TableContents"/>
              <w:bidi w:val="0"/>
              <w:spacing w:before="0" w:after="283"/>
              <w:jc w:val="left"/>
              <w:rPr/>
            </w:pPr>
            <w:r>
              <w:rPr/>
              <w:t> </w:t>
            </w:r>
          </w:p>
        </w:tc>
        <w:tc>
          <w:tcPr>
            <w:tcW w:w="2999"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236" w:type="dxa"/>
            <w:tcBorders/>
            <w:shd w:fill="FFFFFF" w:val="clear"/>
            <w:vAlign w:val="center"/>
          </w:tcPr>
          <w:p>
            <w:pPr>
              <w:pStyle w:val="TableContents"/>
              <w:bidi w:val="0"/>
              <w:spacing w:before="0" w:after="283"/>
              <w:jc w:val="left"/>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60,497</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83.8</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sales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24,386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Gross profit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36,111</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288" w:type="dxa"/>
            <w:gridSpan w:val="2"/>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128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Selling, general and administrative</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53,634</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21,710</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411" w:type="dxa"/>
            <w:tcBorders/>
            <w:shd w:fill="FFFFFF" w:val="cle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75,344</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13,110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4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(39,233</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(48,328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(39,233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81.2</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288"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(3,304</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other income</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4,913</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extinguishment of term loan</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other income (expense), net: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income taxes</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(39,393</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(36,579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w:t>
            </w:r>
          </w:p>
        </w:tc>
        <w:tc>
          <w:tcPr>
            <w:tcW w:w="411" w:type="dxa"/>
            <w:tcBorders/>
            <w:shd w:fill="FFFFFF" w:val="cle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expense</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(39,431</w:t>
            </w:r>
          </w:p>
        </w:tc>
        <w:tc>
          <w:tcPr>
            <w:tcW w:w="2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(22.9</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loss</w:t>
            </w:r>
          </w:p>
        </w:tc>
        <w:tc>
          <w:tcPr>
            <w:tcW w:w="1288" w:type="dxa"/>
            <w:gridSpan w:val="2"/>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short-term investments</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22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Foreign currency translation (loss)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comprehensive income (loss)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(39,396</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8" w:type="dxa"/>
            <w:tcBorders/>
            <w:shd w:fill="CFF0FC" w:val="cle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increased by $27.6 million, or 83.8%, to $60.5 million for the nine months ended September 30, 2023, from $32.9 million for the nine months ended September 30, 2022. The increase was due to incremental sales of</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20,641 LALs primarily due to an increased LDD installed base and incremental sales of 51 LDDs from strong adoption of our RxSight technology by practices and doctors combined with an increased LDD installed base.</w:t>
      </w:r>
    </w:p>
    <w:p>
      <w:pPr>
        <w:pStyle w:val="TextBody"/>
        <w:bidi w:val="0"/>
        <w:spacing w:before="1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Cost of sales increased by $5.4 million, or 28.3%, to $24.4 million for the nine months ended September 30, 2023 from $19.0 million for the nine months ended September 30, 2022, primarily due to the increase in the number of LALs and LDDs sold during the period. Gross margin increased to 59.7% for the nine months ended September 30, 2023 from 42.3% for the nine months ended September 30, 2022 primarily due to improved operating leverage, favorable product mix from a greater percentage of revenue from LAL sales and increased margins on our LDD due to lower material costs from the introduction of our compact LDD during the third quarter of 2023.</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SG&amp;A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SG&amp;A expenses increased by $10.7 million, or 24.9%, to $53.6 million for the nine months ended September 30, 2023, from $42.9 million for the nine months ended September 30, 2022. This increase was primarily attributable to an increase in selling and marketing costs of $8.8 million mainly due to increased salaries from increased headcount of 38, increased sales commissions, incentive bonuses and employee benefits of $5.5 million, $1.4 million of increased stock-based compensation expense, $0.6 million in additional post market study costs, and new customer acquisition costs and increased travel costs of $1.4 million from increased LDD sales, in each case when compared to the nine months ended September 30, 2022. General and administrative expenses increased $2.0 million due to increased personnel expenses of $0.7 million, $1.1 million of increased costs related to operating as a public company and increased stock-based compensation of $0.8 million which were partially offset by lower insurance costs of $0.2 million and lower occupancy costs of $0.3 million, in each case when compared to the nine months ended September 30, 2022.</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$2.4 million, or 12.5%, to $21.7 million for the nine months ended September 30, 2023, from $19.3 million for the nine months ended September 30, 2022. This increase was primarily attributable to $1.0 million in increased personnel costs primarily from increased headcount and $0.8 million in increased clinical study costs and $0.6 million from increased stock-based compensation.</w:t>
      </w:r>
    </w:p>
    <w:p>
      <w:pPr>
        <w:pStyle w:val="TextBody"/>
        <w:bidi w:val="0"/>
        <w:spacing w:before="1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(expense), net, was an expense of $0.2 million for the nine months ended September 30, 2023, as compared to expense of $2.8 million for the nine months ended September 30, 2022, This change was primarily due to increased interest income of $4.2 million from higher interest rates earned on higher short-term investment balances and decreased interest expense of $0.2 million which were offset by an increase of $1.8 million loss from extinguishment of term loan due to the repayment of the Oxford debt in 2023.</w:t>
      </w:r>
    </w:p>
    <w:p>
      <w:pPr>
        <w:pStyle w:val="TextBody"/>
        <w:bidi w:val="0"/>
        <w:spacing w:before="1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incurred significant operating losses and negative cash flows from operations since our inception, and we anticipate that we will incur significant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cash, cash equivalents and short-term investments of $131.9 million. For the nine months ended September 30, 2023, and 2022, our loss from operations were $39.2 million and $48.3 million, respectively. We had an accumulated deficit of $585.5 million as of September 30, 2023.</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Shelf Registration Statement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8, 2022, we filed a $200.0 million shelf registration statement which became effective on August 12, 2022. The shelf registration is effective for three years and permits us to sell, from time to time, up to $200.0 million in aggregate value of our common stock, preferred stock, debt securities, warrants, and/or units. The shelf registration statement was intended to provide us with flexibility to access additional capital when market conditions are appropriate. At the time of filing the shelf registration statement, we also filed a prospectus supplement to sell</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up to an aggregate value of $50.0 million dollars of our common stock through an ATM offering, through BofA Securities, Inc. as sales agent (the “ATM Facility”).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the date of this report, a total of 2,617,964 shares of the Company's common stock, for total gross proceeds of $50.0 million (net proceeds of $47.5 million), representing the full authorized amount under the ATM Facility, have been issued and sold.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February 7, 2023, we entered into an underwriting agreement with BofA Securities, Inc., pursuant to which we agreed to issue and sell 4,000,000 shares of our common stock in a public offering, pursuant to the shelf registration statement. The shares of common stock were sold at a price to the public of $12.50 per share. Under the terms of the underwriting agreement, we also granted the underwriters an option exercisable for 30 days from the date of the underwriting agreement to purchase up to an additional 600,000 shares of common stock on the same terms and conditions. The public offering closed on February 10, 2023. The underwriters' option was exercised in full on February 10, 2023 and closed on February 14, 2023. We received net proceeds of approximately $53.6 million from the public offering, after deducting underwriters' discounts and commissions of $3.5 million and offering expenses of $0.5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Refinancing and Payoff of Oxford Debt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October 29, 2020, we and Oxford Finance LLC (“Oxford”), as collateral agent, and certain lenders (“Lenders”) entered into that certain Loan and Security Agreement, as amended by that certain Consent and First Amendment to Loan and Security Agreement, dated as of July 6, 2021, and that certain Second Amendment to Loan and Security Agreement, dated as of May 3, 2022 (the “May 2022 LSA”), pursuant to which the Lenders provided to us certain loans in accordance with the terms and conditions of the May 2022 LSA (such loans collectively, the “May 2022 Term Loan”). The May 2022 LSA increased the loan and security agreement to $60.0 million, of which $40.0 million was fully drawn upon as of May 3, 2022 from the original term loan.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June 30, 2023, we entered into a new Loan and Security Agreement (the “June 2023 LSA”) with Oxford as collateral agent and the lenders party thereto, pursuant to which we borrowed $20.0 million in aggregate Term A Loans (the “Term A Loans”). On that same date, we prepaid the May 2022 Term Loan in full which included outstanding accrued interest of approximately $0.1 million, and approximately $1.0 million in final payment and other fees using a combination of cash, primarily comprised of $19.4 million of net cash raised under the ATM Facility during the quarter ended June 30, 2023, $20.0 million in Term A Loans and $1.7 million in cash reserves.</w:t>
      </w:r>
    </w:p>
    <w:p>
      <w:pPr>
        <w:pStyle w:val="TextBody"/>
        <w:bidi w:val="0"/>
        <w:spacing w:before="120" w:after="160"/>
        <w:jc w:val="left"/>
        <w:rPr>
          <w:rFonts w:ascii="Times New Roman" w:hAnsi="Times New Roman"/>
          <w:b w:val="false"/>
          <w:color w:val="000000"/>
          <w:sz w:val="20"/>
        </w:rPr>
      </w:pPr>
      <w:r>
        <w:rPr>
          <w:rFonts w:ascii="Times New Roman" w:hAnsi="Times New Roman"/>
          <w:b w:val="false"/>
          <w:color w:val="000000"/>
          <w:sz w:val="20"/>
        </w:rPr>
        <w:t>On August 4, 2023, we prepaid the Term A Loans in full, including accrued interest and fees, using $11.9 million of cash, net, raised under the ATM Facility and $9.3 million in cash reserves.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paydown in full of our debt is expected to reduce anticipated interest expense for the remaining three months of 2023 by approximately $0.6 million and reduce anticipated 2024 interest expense by approximately $2.3 million.</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Standby letter of credit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also have a standby letter of credit, expiring September 30, 2024, issued by a financial institution as a required security for one operating lease. The aggregate amount of the letter of credit was $0.2 million and $0.3 million as of September 30, 2023 and December 31, 2022,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future liquidity and capital funding requirements will depend on numerous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sales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sales and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working capital investments, primarily in inventories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raise additional funds or borrow to finance our operations;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costs and timing of any clinical trial results for our current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emergence and effect of competing or complementary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terms and timing of any collaborative, licensing or other arrangements that we have or may establish;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operating and finance lease payments for our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we acquire or invest in businesses, products or technologies.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If we raise additional funds by issuing equity securities, our stockholders may experience dilution.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Part II, Item 1A (“Risk Factors”) of this report for additional risks associated with our substantial capital requirements.</w:t>
      </w:r>
    </w:p>
    <w:p>
      <w:pPr>
        <w:pStyle w:val="TextBody"/>
        <w:bidi w:val="0"/>
        <w:spacing w:before="16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the primary sources and uses of cash, cash equivalents, and restricted cash for each of the periods presented below (in thousands):</w:t>
      </w:r>
      <w:r>
        <w:rPr>
          <w:rFonts w:ascii="Times New Roman" w:hAnsi="Times New Roman"/>
          <w:color w:val="000000"/>
          <w:sz w:val="20"/>
        </w:rPr>
        <w:t xml:space="preserve"> </w:t>
      </w:r>
    </w:p>
    <w:tbl>
      <w:tblPr>
        <w:tblW w:w="9127" w:type="dxa"/>
        <w:jc w:val="left"/>
        <w:tblInd w:w="0" w:type="dxa"/>
        <w:tblLayout w:type="fixed"/>
        <w:tblCellMar>
          <w:top w:w="28" w:type="dxa"/>
          <w:left w:w="28" w:type="dxa"/>
          <w:bottom w:w="28" w:type="dxa"/>
          <w:right w:w="28" w:type="dxa"/>
        </w:tblCellMar>
      </w:tblPr>
      <w:tblGrid>
        <w:gridCol w:w="4911"/>
        <w:gridCol w:w="146"/>
        <w:gridCol w:w="350"/>
        <w:gridCol w:w="1221"/>
        <w:gridCol w:w="275"/>
        <w:gridCol w:w="242"/>
        <w:gridCol w:w="350"/>
        <w:gridCol w:w="1221"/>
        <w:gridCol w:w="41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vAlign w:val="center"/>
          </w:tcPr>
          <w:p>
            <w:pPr>
              <w:pStyle w:val="TableContents"/>
              <w:bidi w:val="0"/>
              <w:spacing w:before="0" w:after="283"/>
              <w:jc w:val="center"/>
              <w:rPr/>
            </w:pPr>
            <w:r>
              <w:rPr/>
              <w:t> </w:t>
            </w:r>
          </w:p>
        </w:tc>
        <w:tc>
          <w:tcPr>
            <w:tcW w:w="1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571" w:type="dxa"/>
            <w:gridSpan w:val="2"/>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right"/>
              <w:rPr/>
            </w:pPr>
            <w:r>
              <w:rPr/>
              <w:t> </w:t>
            </w:r>
          </w:p>
        </w:tc>
        <w:tc>
          <w:tcPr>
            <w:tcW w:w="242" w:type="dxa"/>
            <w:tcBorders/>
            <w:shd w:fill="CFF0FC" w:val="clear"/>
            <w:vAlign w:val="center"/>
          </w:tcPr>
          <w:p>
            <w:pPr>
              <w:pStyle w:val="TableContents"/>
              <w:bidi w:val="0"/>
              <w:spacing w:before="0" w:after="283"/>
              <w:jc w:val="left"/>
              <w:rPr/>
            </w:pPr>
            <w:r>
              <w:rPr/>
              <w:t> </w:t>
            </w:r>
          </w:p>
        </w:tc>
        <w:tc>
          <w:tcPr>
            <w:tcW w:w="157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(33,292</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(44,996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2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(26,695</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pPr>
            <w:r>
              <w:rPr/>
              <w:t> </w:t>
            </w:r>
          </w:p>
        </w:tc>
        <w:tc>
          <w:tcPr>
            <w:tcW w:w="12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29,545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57,962</w:t>
            </w:r>
          </w:p>
        </w:tc>
        <w:tc>
          <w:tcPr>
            <w:tcW w:w="275"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Effect of foreign exchange rate on cash, cash equivalents</w:t>
              <w:br/>
              <w:t>   and restricted cash</w:t>
            </w:r>
          </w:p>
        </w:tc>
        <w:tc>
          <w:tcPr>
            <w:tcW w:w="146"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 w:type="dxa"/>
            <w:tcBorders/>
            <w:shd w:fill="CFF0FC" w:val="cle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9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(2,026</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2" w:type="dxa"/>
            <w:tcBorders/>
            <w:shd w:fill="FFFFFF" w:val="cle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used in operating activities for the nine months ended September 30, 2023, was $33.3 million, consisting primarily of a net loss of $39.4 million and a change in operating assets and liabilities of $5.9 million, partially offset by non-cash stock-based compensation of $11.3 million and depreciation and amortization of $3.0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2022, was $45.0 million, consisting primarily of a net loss of $51.1 million, and a change in operating assets and liabilities of $5.6 million, partially offset by non-cash stock-based compensation of $8.4 million, and depreciation and amortization of $3.0 million.</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Cash (used in) provided by investing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used in investing activities for the nine months ended September 30, 2023, was $26.7 million, consisting of net maturities of short-term investments of $23.5 million and purchases of property and equipment of $3.2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 for the nine months ended September 30, 2022, was $29.5 million, consisting of net maturities of short-term investments of $31.6 million which were offset by purchases of property and equipment of $2.0 million.</w:t>
      </w:r>
    </w:p>
    <w:p>
      <w:pPr>
        <w:pStyle w:val="TextBody"/>
        <w:bidi w:val="0"/>
        <w:spacing w:before="160" w:after="283"/>
        <w:jc w:val="left"/>
        <w:rPr>
          <w:rFonts w:ascii="Times New Roman" w:hAnsi="Times New Roman"/>
          <w:sz w:val="20"/>
        </w:rPr>
      </w:pPr>
      <w:r>
        <w:rPr>
          <w:rFonts w:ascii="Times New Roman" w:hAnsi="Times New Roman"/>
          <w:b/>
          <w:color w:val="000000"/>
          <w:sz w:val="20"/>
        </w:rPr>
        <w:t>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provided by financing activities for the nine months ended September 30, 2023, was $58.0 million consisting primarily of proceeds from issuances of common stock from our public offering of $54.1 million, proceeds from issuance of common stock for at-the-market offerings of $42.4 million and proceeds from issuance of common stock of $5.9 million partially offset by a net paydown of the June 2023 LSA of $40.0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2022, was $25,000 primarily from proceeds from issuances of common stock of $1.1 million partially offset by $0.6 million for payments for employee taxes related to stock compensation and payments of $0.3 million for deferred offering costs.</w:t>
      </w:r>
    </w:p>
    <w:p>
      <w:pPr>
        <w:pStyle w:val="TextBody"/>
        <w:bidi w:val="0"/>
        <w:spacing w:before="16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March 6, 2023. We believe that the accounting policies we use are critical to the process of making significant judgments and estimates in the preparation of our financial statements and understanding and evaluating our reported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a summary of our critical accounting policies and estimates, refer to “Management's Discussion and Analysis of Financial Condition and Results of Operations” included in our Annual Report on Form 10-K filed with the SEC on March 6, 2023. There have been no material changes to our critical accounting policies and estimates during the nine months ended September 30, 2023.</w:t>
      </w:r>
    </w:p>
    <w:p>
      <w:pPr>
        <w:pStyle w:val="TextBody"/>
        <w:bidi w:val="0"/>
        <w:spacing w:before="1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See the section titled “Summary of Significant Accounting Policies—Recent Accounting Pronouncements” in Note 2 to our financial statements included elsewhere in this report for additional information.</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color w:val="000000"/>
          <w:sz w:val="20"/>
        </w:rPr>
        <w:t>Pending loss of emerging growth company and smaller reporting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presently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report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the last business day of the second quarter of 2023, the aggregate market value of the shares of our common stock held by non-affiliate stockholders exceeded $700 million. As a result, as of December 31, 2023, we will be considered a “large accelerated filer,” as defined in Rule 12b-2 under the Exchange Act, and will cease to be an emerging growth company at that time. We are also presently a “smaller reporting company” as defined in the Exchange Act. However, effective December 31, 2023, due to large accelerated filer status, we will no longer qualify as a smaller reporting company and accordingly will no longer be permitted to take advantage of the reduced reporting requirements for smaller reporting companies, subject to a transition period that allows us to use smaller reporting company scaled disclosure for our Annual Report on Form 10-K for the year ending December 31,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Supply chain constraints and inflation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Uncertain macroeconomic conditions including recent inflationary pressures and the rise in interest rates have created significant uncertainty in the U.S. economy and capital markets, which is expected to continue through the remainder of 2023 and beyond and could negatively impact our financial results and liquidity.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3_quantitative_qualitative_disclosu"/>
      <w:bookmarkEnd w:id="10"/>
      <w:r>
        <w:rPr>
          <w:rFonts w:ascii="Times New Roman" w:hAnsi="Times New Roman"/>
          <w:b/>
          <w:color w:val="000000"/>
          <w:sz w:val="20"/>
        </w:rPr>
        <w:br/>
        <w:br/>
        <w:t>ITEM 3.</w:t>
      </w:r>
      <w:r>
        <w:rPr>
          <w:rFonts w:ascii="Times New Roman" w:hAnsi="Times New Roman"/>
          <w:color w:val="222222"/>
          <w:sz w:val="20"/>
        </w:rPr>
        <w:t xml:space="preserve"> </w:t>
      </w: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smaller reporting company, we are not required to provide disclosure under this item.</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w:t>
      </w:r>
      <w:r>
        <w:rPr>
          <w:rFonts w:ascii="Times New Roman" w:hAnsi="Times New Roman"/>
          <w:color w:val="222222"/>
          <w:sz w:val="20"/>
        </w:rPr>
        <w:t xml:space="preserve"> </w:t>
      </w:r>
      <w:r>
        <w:rPr>
          <w:rFonts w:ascii="Times New Roman" w:hAnsi="Times New Roman"/>
          <w:b/>
          <w:color w:val="000000"/>
          <w:sz w:val="20"/>
        </w:rPr>
        <w:t>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240" w:after="283"/>
        <w:jc w:val="center"/>
        <w:rPr>
          <w:rFonts w:ascii="Times New Roman" w:hAnsi="Times New Roman"/>
          <w:sz w:val="20"/>
        </w:rPr>
      </w:pPr>
      <w:bookmarkStart w:id="12" w:name="part_ii_or_information"/>
      <w:bookmarkEnd w:id="12"/>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September 30, 2023, nor is it possible to estimate what litigation-related costs will be in the future; however, the Company believes that the likelihood that claims related to litigation would result in a material loss to the Company, either individually or in the aggregate, is remote.</w:t>
      </w:r>
    </w:p>
    <w:p>
      <w:pPr>
        <w:pStyle w:val="TextBody"/>
        <w:bidi w:val="0"/>
        <w:spacing w:before="120" w:after="120"/>
        <w:jc w:val="left"/>
        <w:rPr>
          <w:rFonts w:ascii="Times New Roman" w:hAnsi="Times New Roman"/>
          <w:b/>
          <w:color w:val="000000"/>
          <w:sz w:val="20"/>
        </w:rPr>
      </w:pPr>
      <w:bookmarkStart w:id="14" w:name="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have a limited operating history, and if we fail to effectively train our sales force, increase our sales and marketing capabilities, or develop broad brand awareness in a cost-effective manner, our growth will be impeded, and our business will suffer.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 history of net operating losses, and we expect to continue to incur losses in the future. If we ever achieve profitability, we may not be able to sustain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protect the confidentiality of our trade secrets and other proprietary information, our business and competitive position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protect our intellectual property rights throughout the world, which could impair our business.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fail to obtain and maintain necessary regulatory clearances or approvals for our products, or if clearances or approvals for future products and indications are delayed or not issued, our commercial operations may be harmed.</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price of our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must recruit, retain, manage and motivate qualified executives as we build out the management team, and we are highly dependent on our management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Future litigation proceedings could adversely affect our business.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a limited operating history and if we fail to effectively train our sales force, increase our sales and marketing capabilities or develop broad brand awareness in a cost-effective manner, our growth will be impeded, and our business will suffer.</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39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a history of net losses, and we expect to continue to incur losses in the future. If we ever achieve profitability, we may not be able to sustain it.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have incurred losses from operations since our inception and expect to continue to incur losses from operations in the future. We reported losses from operations of $63.3 million and $52.8 million for the years ended December 31, 2022 and 2021 respectively and $39.2 million for the nine months ended September 30, 2023. As a result of these losses, as of September 30, 2023, we had an accumulated deficit of $585.5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 order to support our continued operations and the growth of our business, we may seek to raise additional capital, which may not be available to us on acceptable terms, or at all.</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Because of these and other factors, we expect to continue to incur net losses and negative cash flows from operations in the future. Our future liquidity and capital funding requirements will depend on numerous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sales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sales and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success in leveraging future strategic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working capital investments, primarily in inventories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borrow or raise additional funds through future debt or equity offerings to finance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outcome, costs and timing of any clinical trial results for our current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emergence and effect of competing or complementary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and amount of reimbursement for procedures using our products;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terms and timing of any collaborative, licensing or other arrangements that we have or may establish;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operating and finance lease payments for our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to which we acquire or invest in businesses, products or technologies.</w:t>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and otherwise.</w:t>
      </w:r>
    </w:p>
    <w:p>
      <w:pPr>
        <w:pStyle w:val="TextBody"/>
        <w:bidi w:val="0"/>
        <w:spacing w:before="0" w:after="160"/>
        <w:jc w:val="left"/>
        <w:rPr>
          <w:rFonts w:ascii="Times New Roman" w:hAnsi="Times New Roman"/>
          <w:sz w:val="20"/>
        </w:rPr>
      </w:pPr>
      <w:r>
        <w:rPr>
          <w:rFonts w:ascii="Times New Roman" w:hAnsi="Times New Roman"/>
          <w:b w:val="false"/>
          <w:color w:val="000000"/>
          <w:sz w:val="20"/>
        </w:rPr>
        <w:t>As of September 30, 2023 and December 31, 2022, we had $131.9 million and $105.8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may be disclosed in the Company’s future Annual Reports on Form 10-K or Quarterly Reports on Form 10-Q filed with the SEC.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r>
        <w:rPr>
          <w:rFonts w:ascii="Times New Roman" w:hAnsi="Times New Roman"/>
          <w:color w:val="000000"/>
          <w:sz w:val="20"/>
        </w:rPr>
        <w:t xml:space="preserve">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and instability in the capital markets.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actual and perceived effectiveness and reliability of our RxSight system, especially relative to alternative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prevalence and severity of any adverse patient events involving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results of clinical studies and trials relating to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sustain meaningful clinical benefits for our patients;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obtain regulatory approval to market our planned or future products for use in the United States or internationally;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availability, relative cost and perceived advantages and disadvantages of alternative technologies or treatment methods for conditions treated by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degree of patient willingness to pay for the additional costs associated with our premium intraocular lens out of pocket;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degree to which doctors adopt our RxSight system;</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obtain, maintain, protect and enforce our intellectual property rights in and to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degree to which patients value the customized vision delivered by the RxSight system and are satisfied with their results;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achieving and maintaining compliance with regulatory requirements applicable to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extent to which we are successful in educating doctors about IOLs in general, and the benefits of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reputation among doctors;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strength of our marketing and commercial organization;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effectiveness of our marketing and sales efforts in the United States, including our efforts to build out our sales team;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expand the commercialization of our products into international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continue to develop, validate and maintain a commercially viable manufacturing process that is compliant with the Quality Systems Regulations (“QSR”), and other applicable foreign, federal and state regulatory requirements;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success of our ongoing or future clinical trials;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whether we are required by the FDA or comparable non-U.S. regulatory authorities to conduct additional clinical trials for current or future indications.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Adoption of our products depends upon appropriate training for doctors, and inadequate training may lead to negative patient outcomes, affect adoption of our products and adversely affect our business.</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result may negatively impact the perception of patient benefit and safety and limit adoption of our products, which would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commercial success of our RxSight system will depend upon attaining significant market acceptance of these products among patients and doctors.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long-standing relationships with competing companies and distributors that sell other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competitive response and negative selling efforts from providers of alternative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lack of experience with our products and concerns that we are relatively new to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lack or perceived lack of sufficient clinical evidence, including long-term data, supporting safety or clinical benefits;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time commitment and skill development that may be required to gain familiarity and proficiency with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patient confusion regarding the wide range of commercially available premium IOL offerings and their ability to deliver promised results at near, middle and far distances without reliance on glasses;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patient reticence to select a premium IOL due to nonperformance and adverse side effects associated with competing products in the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 inability to generate patient referral due to dissatisfaction with results obtained through treatment with our products, the out-of-pocket cost of treatments using our products or otherwise.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RxSight system involves surgical risks and is contraindicated in certain patients, which may limit adoption.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quality of patient outcomes, oftentimes measured by visual acuity, and adverse event rates;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Patient experience, including patient recovery time and level of discomfort;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Acceptance by treating doctors and referral 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Doctor learning curves and willingness to adopt new technologies;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Ease-of-use and reliability;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Economic benefits and cost savings;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Strength of clinical evidence;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Effective distribution and marketing to surgeons and potential patients;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Product price and qualification for coverage and reimbursement.</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compete primarily on the basis that our products are designed to enable more doctors to treat more patients more efficiently and effectively. Our continued success depends on our ability to:</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continue to develop innovative, proprietary products that address significant clinical needs in a manner that is safe and effective for patients and easy-to-use for doctors;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obtain and maintain regulatory clearances or approvals;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demonstrate safety and effectiveness in our sponsored and third-party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expand our sales force across key markets to increase doctors’ awareness;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obtain and maintain coverage and adequate reimbursement for procedures using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attract and retain skilled research, development, sales and clinical personnel;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cost-effectively manufacture, market and sell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provide doctors with a sufficient return on investment as compared to alternative premium IOL procedures that justifies the upfront cost of our LDD;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obtain, maintain, enforce and defend our intellectual property rights and operate our business without infringing, misappropriating or otherwise violating the intellectual property rights of others.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Furthermore, the current leases on our four facilities expire, respectively, on (i) September 30, 2024, with one option to extend for five years; (ii) January 31, 2026, with three options to extend for five years each; (iii) March 31, 2025 with two options to extend for five years each, and (iv) August 31, 2024, with one option to extend for five years.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Technological change may adversely affect sales of our products and may cause our products to become obsolete.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clinical trials are unsuccessful or significantly delayed, or if we do not complete our clinical trials, our business may be harmed.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val="false"/>
          <w:color w:val="000000"/>
          <w:sz w:val="20"/>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br/>
      </w:r>
      <w:r>
        <w:rPr>
          <w:rFonts w:ascii="Times New Roman" w:hAnsi="Times New Roman"/>
          <w:color w:val="000000"/>
          <w:sz w:val="20"/>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successful and timely completion of nonclinical studies or clinical development of our products, as well as the associated costs, including any unforeseen costs we may incur as a result of clinical trial delays;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enrollment in our clinical trials may be slower than we anticipate, or we may experience high screen failure rates in our clinical trials, resulting in significant delays;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clinical trials may produce negative or inconclusive results, and we may decide, or regulators may require us, to conduct additional clinical and/or preclinical testing which may be expensive and time-consuming;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trial results may not meet the level of statistical significance required by the FDA or other regulatory authorities;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or similar foreign regulatory authorities may find that one or more of our products is not sufficiently safe for investigational use in humans;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or similar foreign regulatory authorities may interpret data from preclinical testing and clinical trials in different ways than we do;</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there may be delays or failure in obtaining approval of our clinical trial protocols from the FDA or other regulatory authorities;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there may be delays in obtaining institutional review board approvals or governmental approvals to conduct clinical trials at prospective sites;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or similar foreign regulatory authorities may find our or our suppliers’ manufacturing processes or facilities unsatisfactory;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or similar foreign regulatory authorities may change their review policies or adopt new regulations that may negatively affect or delay our ability to bring a product to market or receive approvals or clearances to treat new indications;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have trouble in managing multiple clinical sites;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have trouble finding patients to enroll in our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experience delays in agreeing on acceptable terms with third-party research organizations and trial sites that may help us conduct the clinical trials;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or regulators, may suspend or terminate our clinical trials because the participating patients are being exposed to unacceptable health risks.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Failures or perceived failures in our clinical trials will delay and may prevent our product development and regulatory approval process, damage our business prospects and negatively affect our reputation and competitive position.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Unauthorized third parties may seek to access our devices or other products and services, or related devices, products, and services, and modify or use them in a way inconsistent with our FDA clearances and approvals, which may create risks to users.</w:t>
      </w:r>
    </w:p>
    <w:p>
      <w:pPr>
        <w:pStyle w:val="TextBody"/>
        <w:bidi w:val="0"/>
        <w:spacing w:before="0" w:after="160"/>
        <w:jc w:val="left"/>
        <w:rPr>
          <w:rFonts w:ascii="Times New Roman" w:hAnsi="Times New Roman"/>
          <w:sz w:val="20"/>
        </w:rPr>
      </w:pPr>
      <w:r>
        <w:rPr>
          <w:rFonts w:ascii="Times New Roman" w:hAnsi="Times New Roman"/>
          <w:b w:val="false"/>
          <w:color w:val="000000"/>
          <w:sz w:val="20"/>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or indication and fail to capitalize on products or indications that may be more profitable or for which there is a greater likelihood of success.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49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val="false"/>
          <w:color w:val="000000"/>
          <w:sz w:val="20"/>
        </w:rPr>
        <w:t>to successfully develop, license or acquire new products, enhance our existing products to meet customer requirements or otherwise gain market acceptance, our business, financial condition and results of operations would be harmed.</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If we fail to identify, acquire and develop other products, we may be unable to grow our business.</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are unable to develop suitable potential products through internal research programs or by obtaining rights from third parties,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may be diminished, or the patient may suffer critical injury. We may also be subject to claims that are caused by the activities of our suppliers, such as those who provide us with components and sub-assemblies.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decreased demand for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injury to our reputation;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initiation of investigations by regulators;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costs to defend the related litigation;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 diversion of management’s time and our resources;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substantial monetary awards to trial participants or patients;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product recalls, withdrawals or labeling, marketing or promotional restrictions;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loss of revenue;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exhaustion of any available insurance and our capital resources;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inability to market and sell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differing regulatory requirements and reimbursement regimes in foreign countries, including changes to regulatory requirements and implementation of new regulations in foreign countries;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difficulties in compliance with non-U.S. laws and regulations;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unexpected changes in tariffs, trade barriers, price and exchange controls and other regulatory requirements;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trade protection measures, import or export licensing requirements, or other restrictive actions by U.S. or non-U.S. governments;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economic weakness, including inflation, or political instability in particular foreign economies and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compliance with tax, employment, immigration and labor laws for employees living or traveling abroad;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foreign taxes, including withholding of payroll taxes;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foreign currency fluctuations, which could result in increased operating expenses and reduced revenue, and other obligations incident to doing business in another country;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difficulties staffing and managing foreign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workforce uncertainty in countries where labor unrest is more common than in the United States;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potential liability under the FCPA or comparable foreign regulations;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production shortages resulting from any events affecting raw material supply or manufacturing capabilities abroad;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business interruptions resulting from geo-political actions, including war and terrorism.</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0" w:after="160"/>
        <w:jc w:val="left"/>
        <w:rPr>
          <w:rFonts w:ascii="Times New Roman" w:hAnsi="Times New Roman"/>
          <w:sz w:val="20"/>
        </w:rPr>
      </w:pPr>
      <w:r>
        <w:rPr>
          <w:rFonts w:ascii="Times New Roman" w:hAnsi="Times New Roman"/>
          <w:b w:val="false"/>
          <w:color w:val="000000"/>
          <w:sz w:val="20"/>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achieve or maintain satisfactory pricing and margins for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sizes of the markets for our current and future products have not been established with precision and may be smaller than we estimate.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quarterly and annual results may fluctuate significantly and may not fully reflect the underlying performance of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expanded, and expect to continue to expand, our organization, including expanding our sales and marketing capability and creating additional infrastructure to support our operations as a public company. As a result, we may encounter difficulties in managing our growth, which could disrupt our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Certain of our operating results and financial metrics may be difficult to predict as a result of seasonality.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to offset future taxable income may be subject to certain limitations.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As of September 30, 2023 we had federal net operating loss carryforwards (“NOLs”) of approximately $300.4 million, which will begin to expire in various years ranging from 2023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w:t>
      </w:r>
      <w:r>
        <w:rPr>
          <w:rFonts w:ascii="Times New Roman" w:hAnsi="Times New Roman"/>
          <w:color w:val="000000"/>
          <w:sz w:val="20"/>
        </w:rPr>
        <w:t xml:space="preserve"> </w:t>
      </w:r>
    </w:p>
    <w:p>
      <w:pPr>
        <w:pStyle w:val="TextBody"/>
        <w:bidi w:val="0"/>
        <w:spacing w:before="160" w:after="160"/>
        <w:jc w:val="left"/>
        <w:rPr>
          <w:rFonts w:ascii="Times New Roman" w:hAnsi="Times New Roman"/>
          <w:sz w:val="20"/>
        </w:rPr>
      </w:pPr>
      <w:r>
        <w:rPr>
          <w:rFonts w:ascii="Times New Roman" w:hAnsi="Times New Roman"/>
          <w:b w:val="false"/>
          <w:color w:val="000000"/>
          <w:sz w:val="20"/>
        </w:rPr>
        <w:t>In addition, under Sections 382 and 383 of the Internal Revenue Code of 1986, as amended (the “Code”), if a corporation undergoes an “ownership change” (generally defined as a cumulative change in our ownership by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color w:val="000000"/>
        </w:rPr>
      </w:pPr>
      <w:r>
        <w:rPr>
          <w:color w:val="000000"/>
        </w:rPr>
        <w:t>“</w:t>
      </w:r>
      <w:r>
        <w:rPr>
          <w:rFonts w:ascii="Times New Roman" w:hAnsi="Times New Roman"/>
          <w:b w:val="false"/>
          <w:color w:val="000000"/>
          <w:sz w:val="20"/>
        </w:rPr>
        <w:t>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bidi w:val="0"/>
        <w:spacing w:before="160" w:after="16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pStyle w:val="TextBody"/>
        <w:bidi w:val="0"/>
        <w:spacing w:before="0" w:after="160"/>
        <w:jc w:val="left"/>
        <w:rPr>
          <w:rFonts w:ascii="Times New Roman" w:hAnsi="Times New Roman"/>
          <w:sz w:val="20"/>
        </w:rPr>
      </w:pPr>
      <w:r>
        <w:rPr>
          <w:rFonts w:ascii="Times New Roman" w:hAnsi="Times New Roman"/>
          <w:b w:val="false"/>
          <w:color w:val="000000"/>
          <w:sz w:val="20"/>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w:t>
      </w:r>
      <w:r>
        <w:rPr>
          <w:rFonts w:ascii="Times New Roman" w:hAnsi="Times New Roman"/>
          <w:color w:val="000000"/>
          <w:sz w:val="20"/>
        </w:rPr>
        <w:t xml:space="preserve"> </w:t>
      </w:r>
      <w:r>
        <w:rPr>
          <w:rFonts w:ascii="Times New Roman" w:hAnsi="Times New Roman"/>
          <w:b w:val="false"/>
          <w:color w:val="000000"/>
          <w:sz w:val="20"/>
        </w:rPr>
        <w:t>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issuance of a patent is not conclusive as to its inventorship, scope, validity or enforceability and our owned and in-licensed issued patents may be challenged in courts or patent offices in the United States and abroad.</w:t>
      </w:r>
      <w:r>
        <w:rPr>
          <w:rFonts w:ascii="Times New Roman" w:hAnsi="Times New Roman"/>
          <w:color w:val="000000"/>
          <w:sz w:val="20"/>
        </w:rPr>
        <w:t xml:space="preserve"> </w:t>
      </w:r>
      <w:r>
        <w:rPr>
          <w:rFonts w:ascii="Times New Roman" w:hAnsi="Times New Roman"/>
          <w:b w:val="false"/>
          <w:color w:val="000000"/>
          <w:sz w:val="20"/>
        </w:rPr>
        <w:t>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w:t>
      </w:r>
      <w:r>
        <w:rPr>
          <w:rFonts w:ascii="Times New Roman" w:hAnsi="Times New Roman"/>
          <w:color w:val="000000"/>
          <w:sz w:val="20"/>
        </w:rPr>
        <w:t xml:space="preserve"> </w:t>
      </w:r>
      <w:r>
        <w:rPr>
          <w:rFonts w:ascii="Times New Roman" w:hAnsi="Times New Roman"/>
          <w:b w:val="false"/>
          <w:color w:val="000000"/>
          <w:sz w:val="20"/>
        </w:rPr>
        <w:t>issued patents will provide sufficient protection from competitors. As a result, the issuance, scope, validity, enforceability and commercial value of our patent rights are highly uncertain.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bidi w:val="0"/>
        <w:spacing w:before="0" w:after="160"/>
        <w:jc w:val="left"/>
        <w:rPr>
          <w:rFonts w:ascii="Times New Roman" w:hAnsi="Times New Roman"/>
          <w:sz w:val="20"/>
        </w:rPr>
      </w:pPr>
      <w:r>
        <w:rPr>
          <w:rFonts w:ascii="Times New Roman" w:hAnsi="Times New Roman"/>
          <w:b w:val="false"/>
          <w:color w:val="000000"/>
          <w:sz w:val="20"/>
        </w:rPr>
        <w:t>Our other intellectual property, including our trademarks, could also be challenged, invalidated, infringed and circumvented by third parties, and our trademarks could also be diluted, declared generic or found to be infringing</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pStyle w:val="TextBody"/>
        <w:bidi w:val="0"/>
        <w:spacing w:before="0" w:after="160"/>
        <w:jc w:val="left"/>
        <w:rPr>
          <w:rFonts w:ascii="Times New Roman" w:hAnsi="Times New Roman"/>
          <w:sz w:val="20"/>
        </w:rPr>
      </w:pPr>
      <w:r>
        <w:rPr>
          <w:rFonts w:ascii="Times New Roman" w:hAnsi="Times New Roman"/>
          <w:b w:val="false"/>
          <w:color w:val="000000"/>
          <w:sz w:val="20"/>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w:t>
      </w:r>
      <w:r>
        <w:rPr>
          <w:rFonts w:ascii="Times New Roman" w:hAnsi="Times New Roman"/>
          <w:color w:val="000000"/>
          <w:sz w:val="20"/>
        </w:rPr>
        <w:t xml:space="preserve"> </w:t>
      </w:r>
      <w:r>
        <w:rPr>
          <w:rFonts w:ascii="Times New Roman" w:hAnsi="Times New Roman"/>
          <w:b w:val="false"/>
          <w:color w:val="000000"/>
          <w:sz w:val="20"/>
        </w:rPr>
        <w:t>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technology for an adequate amount of time.</w:t>
      </w:r>
    </w:p>
    <w:p>
      <w:pPr>
        <w:pStyle w:val="TextBody"/>
        <w:bidi w:val="0"/>
        <w:spacing w:before="0" w:after="160"/>
        <w:jc w:val="left"/>
        <w:rPr>
          <w:rFonts w:ascii="Times New Roman" w:hAnsi="Times New Roman"/>
          <w:sz w:val="20"/>
        </w:rPr>
      </w:pPr>
      <w:r>
        <w:rPr>
          <w:rFonts w:ascii="Times New Roman" w:hAnsi="Times New Roman"/>
          <w:b w:val="false"/>
          <w:color w:val="000000"/>
          <w:sz w:val="20"/>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commercialized. As a result, our patent portfolio may not provide us with sufficient rights to exclude others from commercializing products similar or identical to ours for a meaningful amount of time, or at all.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future reliance on third parties may require us to share our trade secrets, which increases the possibility that a competitor will discover them or that our trade secrets will be misappropriated or disclosed.</w:t>
      </w:r>
    </w:p>
    <w:p>
      <w:pPr>
        <w:pStyle w:val="TextBody"/>
        <w:bidi w:val="0"/>
        <w:spacing w:before="0" w:after="160"/>
        <w:jc w:val="left"/>
        <w:rPr>
          <w:rFonts w:ascii="Times New Roman" w:hAnsi="Times New Roman"/>
          <w:sz w:val="20"/>
        </w:rPr>
      </w:pPr>
      <w:r>
        <w:rPr>
          <w:rFonts w:ascii="Times New Roman" w:hAnsi="Times New Roman"/>
          <w:b w:val="false"/>
          <w:color w:val="000000"/>
          <w:sz w:val="20"/>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w:t>
      </w:r>
      <w:r>
        <w:rPr>
          <w:rFonts w:ascii="Times New Roman" w:hAnsi="Times New Roman"/>
          <w:color w:val="000000"/>
          <w:sz w:val="20"/>
        </w:rPr>
        <w:t xml:space="preserve"> </w:t>
      </w:r>
      <w:r>
        <w:rPr>
          <w:rFonts w:ascii="Times New Roman" w:hAnsi="Times New Roman"/>
          <w:b w:val="false"/>
          <w:color w:val="000000"/>
          <w:sz w:val="20"/>
        </w:rPr>
        <w:t>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59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pStyle w:val="TextBody"/>
        <w:bidi w:val="0"/>
        <w:spacing w:before="0" w:after="160"/>
        <w:jc w:val="left"/>
        <w:rPr>
          <w:rFonts w:ascii="Times New Roman" w:hAnsi="Times New Roman"/>
          <w:sz w:val="20"/>
        </w:rPr>
      </w:pPr>
      <w:r>
        <w:rPr>
          <w:rFonts w:ascii="Times New Roman" w:hAnsi="Times New Roman"/>
          <w:b w:val="false"/>
          <w:color w:val="000000"/>
          <w:sz w:val="20"/>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w:t>
      </w:r>
      <w:r>
        <w:rPr>
          <w:rFonts w:ascii="Times New Roman" w:hAnsi="Times New Roman"/>
          <w:color w:val="000000"/>
          <w:sz w:val="20"/>
        </w:rPr>
        <w:t xml:space="preserve"> </w:t>
      </w:r>
      <w:r>
        <w:rPr>
          <w:rFonts w:ascii="Times New Roman" w:hAnsi="Times New Roman"/>
          <w:b w:val="false"/>
          <w:color w:val="000000"/>
          <w:sz w:val="20"/>
        </w:rPr>
        <w:t>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to commercialize our products, which could have an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w:t>
      </w:r>
      <w:r>
        <w:rPr>
          <w:rFonts w:ascii="Times New Roman" w:hAnsi="Times New Roman"/>
          <w:color w:val="000000"/>
          <w:sz w:val="20"/>
        </w:rPr>
        <w:t xml:space="preserve"> </w:t>
      </w:r>
      <w:r>
        <w:rPr>
          <w:rFonts w:ascii="Times New Roman" w:hAnsi="Times New Roman"/>
          <w:b w:val="false"/>
          <w:color w:val="000000"/>
          <w:sz w:val="20"/>
        </w:rPr>
        <w:t>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rights to develop and commercialize our products are subject, in part, to the terms and conditions of licenses granted to us by others.</w:t>
      </w:r>
    </w:p>
    <w:p>
      <w:pPr>
        <w:pStyle w:val="TextBody"/>
        <w:bidi w:val="0"/>
        <w:spacing w:before="0" w:after="160"/>
        <w:jc w:val="left"/>
        <w:rPr>
          <w:rFonts w:ascii="Times New Roman" w:hAnsi="Times New Roman"/>
          <w:sz w:val="20"/>
        </w:rPr>
      </w:pPr>
      <w:r>
        <w:rPr>
          <w:rFonts w:ascii="Times New Roman" w:hAnsi="Times New Roman"/>
          <w:b w:val="false"/>
          <w:color w:val="000000"/>
          <w:sz w:val="20"/>
        </w:rPr>
        <w:t>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that may be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val="false"/>
          <w:color w:val="000000"/>
          <w:sz w:val="20"/>
        </w:rPr>
        <w:t>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Disputes may arise between us and our future licensors regarding intellectual property subject to a license agreement,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scope of rights granted under the license agreement and other interpretation-related issues;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whether and the extent to which our technology and processes infringe on intellectual property of the licensor that is not subject to the licensing agreement;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right to sublicense patents and other rights to third parties;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diligence obligations with respect to the use of the licensed technology in relation to our development and commercialization of our products, and what activities satisfy those diligence obligations;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right to transfer or assign the license;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ownership of inventions and know-how resulting from the joint creation or use of intellectual property by any of our future licensors and us and our partners.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before="0" w:after="160"/>
        <w:jc w:val="left"/>
        <w:rPr>
          <w:rFonts w:ascii="Times New Roman" w:hAnsi="Times New Roman"/>
          <w:sz w:val="20"/>
        </w:rPr>
      </w:pPr>
      <w:r>
        <w:rPr>
          <w:rFonts w:ascii="Times New Roman" w:hAnsi="Times New Roman"/>
          <w:b w:val="false"/>
          <w:color w:val="000000"/>
          <w:sz w:val="20"/>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successful in obtaining necessary rights to any products we may develop through acquisitions and in-licenses.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Any collaboration or partnership arrangements that we may enter into in the future may not be successful, which could adversely affect our ability to develop and commercialize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collaborators have significant discretion in determining the efforts and resources that they will apply to collaborations;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collaborators could independently develop, or develop with third parties, products that compete directly or indirectly with our current and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could grant exclusive rights to our collaborators that would prevent us from collaborating with others;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 collaborator’s sales and marketing activities or other operations may not be in compliance with applicable laws resulting in civil or criminal proceedings.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may be harmed.</w:t>
      </w:r>
    </w:p>
    <w:p>
      <w:pPr>
        <w:pStyle w:val="TextBody"/>
        <w:bidi w:val="0"/>
        <w:spacing w:before="0" w:after="160"/>
        <w:jc w:val="left"/>
        <w:rPr>
          <w:rFonts w:ascii="Times New Roman" w:hAnsi="Times New Roman"/>
          <w:sz w:val="20"/>
        </w:rPr>
      </w:pPr>
      <w:r>
        <w:rPr>
          <w:rFonts w:ascii="Times New Roman" w:hAnsi="Times New Roman"/>
          <w:b w:val="false"/>
          <w:color w:val="000000"/>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United States patent law or the patent law of other countries or jurisdictions could diminish the value of patents in general, thereby impairing our ability to protect our products.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160"/>
        <w:jc w:val="left"/>
        <w:rPr>
          <w:rFonts w:ascii="Times New Roman" w:hAnsi="Times New Roman"/>
          <w:sz w:val="20"/>
        </w:rPr>
      </w:pPr>
      <w:r>
        <w:rPr>
          <w:rFonts w:ascii="Times New Roman" w:hAnsi="Times New Roman"/>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respect to any patents relevant to our business, our business, financial condition, results of operations and prospects could be materially and adversely affected.</w:t>
      </w:r>
    </w:p>
    <w:p>
      <w:pPr>
        <w:pStyle w:val="TextBody"/>
        <w:bidi w:val="0"/>
        <w:spacing w:before="0" w:after="160"/>
        <w:jc w:val="left"/>
        <w:rPr>
          <w:rFonts w:ascii="Times New Roman" w:hAnsi="Times New Roman"/>
          <w:sz w:val="20"/>
        </w:rPr>
      </w:pPr>
      <w:r>
        <w:rPr>
          <w:rFonts w:ascii="Times New Roman" w:hAnsi="Times New Roman"/>
          <w:b w:val="false"/>
          <w:color w:val="000000"/>
          <w:sz w:val="20"/>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litigation.</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others may be able to make a product that is similar to our current products and future products we intend to commercialize and that is not covered by the patents that we own or exclusively in-license and have the right to enforce;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and any of our current or future licensors or collaborators might not have been the first to make the inventions covered by the issued patents or pending patent applications that we own, license or may own or license in the future;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or any of our current or future licensors or collaborators might not have been the first to file patent applications covering certain of our inventions;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others may independently develop similar or alternative technologies or duplicate any of our technologies without infringing, misappropriating or otherwise violating our intellectual property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it is possible that our current or future owned or in-licensed patent applications will not lead to issued patents;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issued patents that we own or in-license may not provide us with any competitive advantages, or may be held invalid or unenforceable as a result of legal challenges, including as a result of legal challenges by our competitors;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not develop additional proprietary technologies that are patentable;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choose not to file a patent for certain trade secrets or know-how, and a third party may subsequently file a patent covering such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future use of “open source” software could subject our proprietary software to general release, adversely affect our ability to sell our products and subject us to possible litigation.</w:t>
      </w:r>
    </w:p>
    <w:p>
      <w:pPr>
        <w:pStyle w:val="TextBody"/>
        <w:bidi w:val="0"/>
        <w:spacing w:before="0" w:after="120"/>
        <w:jc w:val="left"/>
        <w:rPr>
          <w:rFonts w:ascii="Times New Roman" w:hAnsi="Times New Roman"/>
          <w:sz w:val="20"/>
        </w:rPr>
      </w:pPr>
      <w:r>
        <w:rPr>
          <w:rFonts w:ascii="Times New Roman" w:hAnsi="Times New Roman"/>
          <w:b w:val="false"/>
          <w:color w:val="000000"/>
          <w:sz w:val="20"/>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69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trademarks, service marks and tradenames are not adequately protected, then we may not be able to build name recognition in our markets and our business may be adversely affected.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obtain and maintain necessary regulatory clearances or approvals for our products, or if clearances or approvals for future products and indications are delayed or not issued, our commercial operations would be harmed.</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product design, development and manufacture;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laboratory, preclinical and clinical testing, labeling, packaging, storage and distribution;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premarketing clearance or approval;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record keeping;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product safety and effective;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product changes;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product marketing, promotion and advertising, sales and distribution;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post marketing surveillance, including reporting of deaths or serious injuries and recalls and correction and removals.</w:t>
      </w:r>
    </w:p>
    <w:p>
      <w:pPr>
        <w:pStyle w:val="TextBody"/>
        <w:bidi w:val="0"/>
        <w:spacing w:before="0" w:after="160"/>
        <w:jc w:val="left"/>
        <w:rPr>
          <w:rFonts w:ascii="Times New Roman" w:hAnsi="Times New Roman"/>
          <w:sz w:val="20"/>
        </w:rPr>
      </w:pPr>
      <w:r>
        <w:rPr>
          <w:rFonts w:ascii="Times New Roman" w:hAnsi="Times New Roman"/>
          <w:b w:val="false"/>
          <w:color w:val="000000"/>
          <w:sz w:val="20"/>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can delay, limit or deny clearance or approval of a device for many reasons,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inability to demonstrate to the satisfaction of the FDA or the applicable regulatory entity or notified body that our products are safe or effective for their intended uses;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disagreement of the FDA or the applicable foreign regulatory body with the design, conduct or implementation of our clinical trials or the analyses or interpretation of data from pre-clinical studies or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serious and unexpected adverse device effects experienced by participants in our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data from our pre-clinical studies and clinical trials may be insufficient to support clearance or approval, where required;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inability to demonstrate that the clinical and other benefits of the device outweigh the risks;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applicable regulatory authority may identify significant deficiencies in our manufacturing processes, facilities or analytical methods or those of our third-party contract manufacturers;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potential for approval policies or regulations of the FDA or applicable foreign regulatory bodies to change significantly in a manner rendering our clinical data or regulatory filings insufficient for clearance or approval;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or foreign regulatory authorities may audit our clinical trial data and conclude that the data is not sufficiently reliable to support approval or clearance.</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adverse publicity, warning letters, fines, injunctions, consent decrees and civil penalties;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repair, replacement, refunds, recalls, termination of distribution, administrative detention or seizure of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operating restrictions, partial suspension or total shutdown of production;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denial of our requests for 510(k) clearance or PMA of new products, new intended uses or modifications to existing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withdrawal of 510(k) clearance or PMAs that have already been granted;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criminal prosecution.</w:t>
      </w:r>
    </w:p>
    <w:p>
      <w:pPr>
        <w:pStyle w:val="TextBody"/>
        <w:bidi w:val="0"/>
        <w:spacing w:before="0" w:after="160"/>
        <w:jc w:val="left"/>
        <w:rPr>
          <w:rFonts w:ascii="Times New Roman" w:hAnsi="Times New Roman"/>
          <w:sz w:val="20"/>
        </w:rPr>
      </w:pPr>
      <w:r>
        <w:rPr>
          <w:rFonts w:ascii="Times New Roman" w:hAnsi="Times New Roman"/>
          <w:b w:val="false"/>
          <w:color w:val="000000"/>
          <w:sz w:val="20"/>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compliance, we may lose any marketing approval that we may have obtained and we may not achieve or sustain profitability, which would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pStyle w:val="TextBody"/>
        <w:bidi w:val="0"/>
        <w:spacing w:before="0" w:after="160"/>
        <w:jc w:val="left"/>
        <w:rPr>
          <w:rFonts w:ascii="Times New Roman" w:hAnsi="Times New Roman"/>
          <w:sz w:val="20"/>
        </w:rPr>
      </w:pPr>
      <w:r>
        <w:rPr>
          <w:rFonts w:ascii="Times New Roman" w:hAnsi="Times New Roman"/>
          <w:b w:val="false"/>
          <w:color w:val="000000"/>
          <w:sz w:val="20"/>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fail to comply with applicable regulatory requirements, a regulatory agency or enforcement authority may,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subject our facility to an adverse inspectional finding or Form 483, or other compliance or enforcement notice, communication or correspondence;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issue warning or untitled letters that would result in adverse publicity or may require corrective advertising;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impose civil or criminal penalties;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suspend or withdraw regulatory clearances or approvals;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refuse to clear or approve pending applications or supplements to approved applications submitted by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impose restrictions on our operations, including closing our sub-assembly suppliers’ facilities;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seize or detain products; 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require a product recall.</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violations of the FDCA relating to the promotion of approved products may lead to investigations alleging violations of federal and state healthcare fraud and abuse and other laws, as well as state consumer protection laws.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Material modifications to our products may require new 510(k) clearances or pre-market approvals or may require us to recall or cease marketing our products until clearances or approvals are obtained.</w:t>
      </w:r>
    </w:p>
    <w:p>
      <w:pPr>
        <w:pStyle w:val="TextBody"/>
        <w:bidi w:val="0"/>
        <w:spacing w:before="0" w:after="160"/>
        <w:jc w:val="left"/>
        <w:rPr>
          <w:rFonts w:ascii="Times New Roman" w:hAnsi="Times New Roman"/>
          <w:sz w:val="20"/>
        </w:rPr>
      </w:pPr>
      <w:r>
        <w:rPr>
          <w:rFonts w:ascii="Times New Roman" w:hAnsi="Times New Roman"/>
          <w:b w:val="false"/>
          <w:color w:val="000000"/>
          <w:sz w:val="20"/>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pStyle w:val="TextBody"/>
        <w:bidi w:val="0"/>
        <w:spacing w:before="0" w:after="160"/>
        <w:jc w:val="left"/>
        <w:rPr>
          <w:rFonts w:ascii="Times New Roman" w:hAnsi="Times New Roman"/>
          <w:sz w:val="20"/>
        </w:rPr>
      </w:pPr>
      <w:r>
        <w:rPr>
          <w:rFonts w:ascii="Times New Roman" w:hAnsi="Times New Roman"/>
          <w:b w:val="false"/>
          <w:color w:val="000000"/>
          <w:sz w:val="20"/>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business plan, and which may result in our products not receiving approval or clearance for commercialization in the applicable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products may be subject to recalls after receiving FDA or foreign approval or clearance, which could divert managerial and financial resources, harm our reputation and adversely affect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or our suppliers, fail to comply with the FDA’s QSR or applicable foreign regulations, our manufacturing or distribution operations could be delayed or shut down and our revenue could suffer.</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can provide no assurance that we will continue to remain in material compliance with the QSR.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adversely affect our business, financial condition, results of operations and cash flows in our key markets.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The Consolidated Appropriations Act, 2023, extended the 2% Medicare sequester for the first six months of fiscal year 2032 and revises the sequester percentage up to 2% for fiscal years 2030 and 2031.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There likely will continue to be legislative and regulatory proposals at the federal and state levels directed at containing or lowering the cost of healthcare. We cannot predict the initiatives that may be adopted in the future or</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their full impact. The continuing efforts of the government, insurance companies, managed care organizations and other payors of healthcare services to contain or reduce costs of healthcare may harm: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set a price that we believe is fair for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ability to generate revenue and achieve or maintain profitability;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availability of capital.</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United States federal and state fraud and abuse and other healthcare laws and regulations, we could face substantial penalties and our business operations and financial condition could be adversely affected.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growth of our business and sales organization and our expansion outside of the United States may increase the potential of violating these laws or our internal policies and procedures. The risk of our being found in violation</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79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the CMS fee schedules may harm our revenue and operating results.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of our planned or future products and to manufacture, market and distribute our products after clearance or approval is obtained.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pStyle w:val="TextBody"/>
        <w:bidi w:val="0"/>
        <w:spacing w:before="0" w:after="160"/>
        <w:jc w:val="left"/>
        <w:rPr>
          <w:rFonts w:ascii="Times New Roman" w:hAnsi="Times New Roman"/>
          <w:sz w:val="20"/>
        </w:rPr>
      </w:pPr>
      <w:r>
        <w:rPr>
          <w:rFonts w:ascii="Times New Roman" w:hAnsi="Times New Roman"/>
          <w:b w:val="false"/>
          <w:color w:val="000000"/>
          <w:sz w:val="20"/>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failure to receive clearance or approval for our new products would have an adverse effect on our ability to expand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2017, the European Union (“EU”) published the new EU Medical Device Regulation (“MDR”) (2017/745), the application of which was postponed until May 26, 2021 for class I devices (lowest risk) and May 26, 2024 for all other class devices (higher risk devices). In February 2023, EU Parliament voted to extend the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reclassification of some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greater emphasis on clinical data;</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data transparency, including publication of clinical trial data and safety summaries;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defined content and structure for technical files to support registration;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unique device identification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greater burden on post-market surveillance and clinical follow-up;</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 xml:space="preserve">reduction of adverse event reporting time from 30 to 15 days after the event;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delayed review times;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more power to notified bodies.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clinical trials may fail to demonstrate competent and reliable evidence of the safety and effectiveness of our products, which would prevent or delay commercialization of our products in development.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Defects or failures associated with our products could lead to recalls, safety alerts or litigation, as well as significant costs and negative publicity.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health and safety laws may result in liabilities, expenses and restrictions on our operations. Failure to comply with environmental laws and regulations could subject us to significant liability.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face risks related to our collection and use of data, which could result in investigations, inquiries, litigation, fines, legislative and regulatory action and negative press about our privacy and data protection practices.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CCPA in January 2020, which requires certain companies that process information of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pStyle w:val="TextBody"/>
        <w:bidi w:val="0"/>
        <w:spacing w:before="0" w:after="160"/>
        <w:jc w:val="left"/>
        <w:rPr>
          <w:rFonts w:ascii="Times New Roman" w:hAnsi="Times New Roman"/>
          <w:sz w:val="20"/>
        </w:rPr>
      </w:pPr>
      <w:r>
        <w:rPr>
          <w:rFonts w:ascii="Times New Roman" w:hAnsi="Times New Roman"/>
          <w:b w:val="false"/>
          <w:color w:val="000000"/>
          <w:sz w:val="20"/>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We are subject to the UK General Data Protection Regulation and UK Data Protection Act of 2018, which retains the GDPR in the United Kingdom’s national law and provides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over time, and the United Kingdom has adopted new standard contractual clauses that also are required to be implemented over time.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reputation of our businesses and discourage potential users from our products and services. Any of the foregoing could have an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bidi w:val="0"/>
        <w:spacing w:before="0" w:after="160"/>
        <w:jc w:val="left"/>
        <w:rPr>
          <w:rFonts w:ascii="Times New Roman" w:hAnsi="Times New Roman"/>
          <w:sz w:val="20"/>
        </w:rPr>
      </w:pPr>
      <w:r>
        <w:rPr>
          <w:rFonts w:ascii="Times New Roman" w:hAnsi="Times New Roman"/>
          <w:b w:val="false"/>
          <w:color w:val="000000"/>
          <w:sz w:val="20"/>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r>
        <w:rPr>
          <w:rFonts w:ascii="Times New Roman" w:hAnsi="Times New Roman"/>
          <w:color w:val="000000"/>
          <w:sz w:val="20"/>
        </w:rPr>
        <w:t xml:space="preserve"> </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pStyle w:val="TextBody"/>
        <w:bidi w:val="0"/>
        <w:spacing w:before="0" w:after="160"/>
        <w:jc w:val="left"/>
        <w:rPr>
          <w:rFonts w:ascii="Times New Roman" w:hAnsi="Times New Roman"/>
          <w:sz w:val="20"/>
        </w:rPr>
      </w:pPr>
      <w:r>
        <w:rPr>
          <w:rFonts w:ascii="Times New Roman" w:hAnsi="Times New Roman"/>
          <w:b w:val="false"/>
          <w:color w:val="000000"/>
          <w:sz w:val="20"/>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and our component suppliers may not meet regulatory quality standards applicable to our manufacturing processes, which could have an adverse effect on our business, financial condition and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by notified bodies, such as BSI, to obtain and maintain these certifications. If we fail these inspections or fail to meet these regulatory standards,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failure of third parties to meet their contractual, regulatory, and other obligations could adversely affect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trading price of our common stock has been and may continue to be highly volatile and could be subject to wide fluctuations in response to various factors, some of which we cannot control. From the date of our initial public offering through November 1, 2023, our common stock has traded at a low of $8.80 and a high of $33.77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timing and results of preclinical studies and clinical trials of our current and future products or those of our competitors;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success of competitive products or announcements by potential competitors of their product development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regulatory actions with respect to our products or our competitors’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actual or anticipated changes in our growth rate relative to our competitors;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regulatory or legal developments in the United States and other countries;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developments or disputes concerning patent applications, issued patents or other intellectual property or proprietary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recruitment or departure of key personnel;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announcements by us or our competitors of significant acquisitions, strategic collaborations, joint ventures, collaborations or capital commitments;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actual or anticipated changes in estimates as to financial results, development timelines or recommendations by securities analysts;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fluctuations in the valuation of companies perceived by investors to be comparable to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market conditions in the medical device sector;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changes in the structure of healthcare payment systems;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share price and volume fluctuations attributable to inconsistent trading volume levels of our shares;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announcement or expectation of additional financing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sales of our common stock by us, our insiders or our other stockholders;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general economic, industry and market conditions, including global and national events, such as the conflicts in Eastern Europe, and general economic downturns.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realization of any of the above risks or any of a broad range of other risks, including those described in this Part II, Item 1A, “Risk Factors,” could have a dramatic and adverse impact on the market price of our common stock.</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research about our business, our stock price and trading volume could decline.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0" w:after="160"/>
        <w:jc w:val="left"/>
        <w:rPr>
          <w:rFonts w:ascii="Times New Roman" w:hAnsi="Times New Roman"/>
          <w:sz w:val="20"/>
        </w:rPr>
      </w:pPr>
      <w:r>
        <w:rPr>
          <w:rFonts w:ascii="Times New Roman" w:hAnsi="Times New Roman"/>
          <w:b w:val="false"/>
          <w:color w:val="000000"/>
          <w:sz w:val="20"/>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89</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0" w:after="160"/>
        <w:jc w:val="left"/>
        <w:rPr>
          <w:rFonts w:ascii="Times New Roman" w:hAnsi="Times New Roman"/>
          <w:sz w:val="20"/>
        </w:rPr>
      </w:pPr>
      <w:r>
        <w:rPr>
          <w:rFonts w:ascii="Times New Roman" w:hAnsi="Times New Roman"/>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As of September 30, 2023, we had 35,847,685 shares of common stock issued and outstanding. All of these shares are available for sale in the public market, subject to limitations under Rule 144 with respect to affiliates of our company.</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We have filed registration statements on Form S-8 under the Securities Act registering the offer and sale of up to an aggregate of 9,216,217 shares of common stock pursuant to our Equity Incentive Plans and an aggregate of 757,694 shares of common stock pursuant to our 2021 ESPP. Our 2021 Plan and 2021 ESPP each contain an evergreen provision that may increase the number of shares available for issuance pursuant to such plans on the first day of each fiscal year. See Note 7 – Stock-Based Compensation Expense in the Notes to the unaudited condensed consolidated financial statements included in this report.</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On August 8, 2022, we filed a $200.0 million shelf registration statement which became effective on August 12, 2022. The shelf registration statement is effective for three years and permits us to sell, from time to time, up to $200.0 million in aggregate value of our common stock, preferred stock, debt securities, warrants, and/or units. The shelf registration statement is intended to provide us with flexibility to access additional capital when market conditions are appropriate. At the time of filing of the shelf registration statement, we also filed a prospectus supplement to sell up to an aggregate value of $50.0 million dollars of our common stock through an “at-the-market” (“ATM”) offering. The shares were offered through BofA Securities, Inc. as sales agent. As of September 30, 2023, a total of 2,617,964 shares of common stock, for total net proceeds of $47.1 million, have been issued and sold through the ATM offering, of which 428,000 shares of common stock for net proceeds of $11.9 million, were sold during the quarter ended September 30, 2023. The shares sold during the quarter ended September 30, 2023 comprised the remaining shares authorized under the $50 million ATM offering.</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pStyle w:val="TextBody"/>
        <w:bidi w:val="0"/>
        <w:spacing w:before="0" w:after="160"/>
        <w:jc w:val="left"/>
        <w:rPr>
          <w:rFonts w:ascii="Times New Roman" w:hAnsi="Times New Roman"/>
          <w:sz w:val="20"/>
        </w:rPr>
      </w:pPr>
      <w:r>
        <w:rPr>
          <w:rFonts w:ascii="Times New Roman" w:hAnsi="Times New Roman"/>
          <w:b w:val="false"/>
          <w:color w:val="000000"/>
          <w:sz w:val="20"/>
        </w:rPr>
        <w:br/>
      </w: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As of September 30, 2023, our executive officers, directors, holders of 5% or more of our common stock and their respective affiliates beneficially owned approximately 30%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90</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are currently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are currently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not being required to comply with the auditor attestation requirements of Section 404 of the Sarbanes-Oxley Act;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reduced disclosure obligations regarding executive compensation in our periodic reports and proxy statements;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exemptions from the requirements of holding nonbinding advisory stockholder votes on executive compensation and stockholder approval of any golden parachute payments not previously approved.</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0" w:after="160"/>
        <w:jc w:val="left"/>
        <w:rPr>
          <w:rFonts w:ascii="Times New Roman" w:hAnsi="Times New Roman"/>
          <w:sz w:val="20"/>
        </w:rPr>
      </w:pPr>
      <w:r>
        <w:rPr>
          <w:rFonts w:ascii="Times New Roman" w:hAnsi="Times New Roman"/>
          <w:b w:val="false"/>
          <w:color w:val="000000"/>
          <w:sz w:val="20"/>
        </w:rPr>
        <w:t>On the last business day of the second quarter of 2023, the aggregate market value of the shares of our common stock held by non-affiliate stockholders exceeded $700 million. As a result, as of December 31, 2023, we will be considered a “large accelerated filer,” as defined in Rule 12b-2 under the Exchange Act, and will cease to be an emerging growth company at that time.</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pStyle w:val="TextBody"/>
        <w:bidi w:val="0"/>
        <w:spacing w:before="0" w:after="160"/>
        <w:jc w:val="left"/>
        <w:rPr>
          <w:rFonts w:ascii="Times New Roman" w:hAnsi="Times New Roman"/>
          <w:sz w:val="20"/>
        </w:rPr>
      </w:pPr>
      <w:r>
        <w:rPr>
          <w:rFonts w:ascii="Times New Roman" w:hAnsi="Times New Roman"/>
          <w:b w:val="false"/>
          <w:color w:val="000000"/>
          <w:sz w:val="20"/>
        </w:rPr>
        <w:t>We are also currently a “smaller reporting company” as defined in the Exchange Act. However, effective December 31, 2023, due to large accelerated filer status, we will no longer qualify as a smaller reporting company and accordingly will no longer be permitted to take advantage of the reduced reporting requirements for smaller reporting companies, subject to a transition period that allows us to use smaller reporting company scaled disclosure for our Annual Report on Form 10-K for the year ending December 31, 2023.</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0" w:after="160"/>
        <w:jc w:val="left"/>
        <w:rPr>
          <w:rFonts w:ascii="Times New Roman" w:hAnsi="Times New Roman"/>
          <w:sz w:val="20"/>
        </w:rPr>
      </w:pPr>
      <w:r>
        <w:rPr>
          <w:rFonts w:ascii="Times New Roman" w:hAnsi="Times New Roman"/>
          <w:b w:val="false"/>
          <w:color w:val="000000"/>
          <w:sz w:val="20"/>
        </w:rPr>
        <w:t>As a public company we are incurring significant legal, accounting and other expenses and these expenses may increase even more as of December 31, 2023, as we will no longer be an “emerging growth company.” We are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and effort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91</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val="false"/>
          <w:color w:val="000000"/>
          <w:sz w:val="20"/>
        </w:rPr>
        <w:t>requirements. The impact of these requirements could also make it more difficult for us to attract and retain qualified employees and persons to serve on our Board of Directors, our board committees or as executive officers.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As of December 31, 2023, because we will no longer qualify as an “emerging growth company” we will incur additional expenses and management’s time may be diverted in an effort to comply with compliance-related activities as we implement additional corporate governance practices to comply with the increased documentation and reporting requirements under Section 404(b) of the Sarbanes-Oxley Act of 2002. The Sarbanes-Oxley Act requires, among other things, that we assess the effectiveness of our internal control over financial reporting annually and the effectiveness of our disclosure controls and procedures quarterly. Beginning with fiscal year ended December 31, 2023, 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r>
        <w:rPr>
          <w:rFonts w:ascii="Times New Roman" w:hAnsi="Times New Roman"/>
          <w:color w:val="000000"/>
          <w:sz w:val="20"/>
        </w:rPr>
        <w:t xml:space="preserve">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Provisions in our certificate of incorporation, bylaws and Delaware law might discourage, delay or prevent a change in control of our company or changes in our management and, therefore, depress the market price of our common stock.</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establish a classified Board of Directors so that not all members of our board are elected at one time;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permit only the Board of Directors to establish the number of directors and fill vacancies on the board;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provide that directors may only be removed “for cause” and only with the approval of two-thirds of our stockholders;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authorize the issuance of “blank check” preferred stock that our board could use to implement a stockholder rights plan (also known as a poison pill);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eliminate the ability of our stockholders to call special meetings of stockholders;</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92</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prohibit stockholder action by written consent, which requires all stockholder actions to be taken at a meeting of our stockholders;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prohibit cumulative voting;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authorize our Board of Directors to amend the bylaws;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establish advance notice requirements for nominations for election to our board or for proposing matters that can be acted upon by stockholders at annual stockholder meetings;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require a super-majority vote of stockholders to amend some provisions described above.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derivative action or proceeding brought on our behalf;</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action asserting a claim of breach of fiduciary duty;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action asserting a claim against us arising under the DGCL, our amended and restated certificate of incorporation or our bylaws;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any action asserting a claim against us that is governed by the internal-affairs doctrine.</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pStyle w:val="TextBody"/>
        <w:bidi w:val="0"/>
        <w:spacing w:before="0" w:after="160"/>
        <w:jc w:val="left"/>
        <w:rPr>
          <w:rFonts w:ascii="Times New Roman" w:hAnsi="Times New Roman"/>
          <w:sz w:val="20"/>
        </w:rPr>
      </w:pPr>
      <w:r>
        <w:rPr>
          <w:rFonts w:ascii="Times New Roman" w:hAnsi="Times New Roman"/>
          <w:b w:val="false"/>
          <w:color w:val="000000"/>
          <w:sz w:val="20"/>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93</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This Delaware forum provision does not apply to actions arising under the Securities Exchange Act of 1934 because the federal courts have exclusive jurisdiction over such claims.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Board of Directors are authorized to issue and designate shares of our preferred stock in additional series without stockholder approval.</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beginning in 2022, the Tax Act eliminates the option to immediately deduct research and development expenditures currently and requires taxpayers to capitalize and amortize them over five or fifteen years pursuant to Section 174 of the Code, which may impact our effective tax rate and our cash tax liability in 2022 or in future years.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was effective beginning in fiscal year 2023. We do not currently expect that the IRA will have a material impact on our income tax liability.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0" w:after="160"/>
        <w:jc w:val="left"/>
        <w:rPr>
          <w:rFonts w:ascii="Times New Roman" w:hAnsi="Times New Roman"/>
          <w:sz w:val="20"/>
        </w:rPr>
      </w:pPr>
      <w:r>
        <w:rPr>
          <w:rFonts w:ascii="Times New Roman" w:hAnsi="Times New Roman"/>
          <w:b w:val="false"/>
          <w:color w:val="000000"/>
          <w:sz w:val="20"/>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94</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 or security breaches or incidents.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computer systems, as well as those of our contractors and consultants, are vulnerable to damage from computer viruses, ransomware and other malicious code,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secure processing, maintenance and transmission of this information is critical to our operations. Despite our security measures, our information technology and infrastructure may be vulnerable to attacks by hackers or internal bad actors, or breached due to technical vulnerabilities, employee error, malfeasance or other disruptions. Although, to our knowledge, we have not experienced such material security breach to date , any security breach or security incident could compromise our networks and the information stored there could be accessed, publicly disclosed, lost, stolen, or otherwise processed without authorization. Any such actual or perceived access, disclosure or other security breach or incident, loss, or unauthorized processing of information (whether affecting us or one of our third-party service providers)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techniques and sophistication used to conduct cyber-attacks and breaches of information technology systems, as well as the sources and targets of these attacks, may take many forms (including phishing, social engineering, denial or degradation of service attacks, ransomware, malware or other malicious code),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or incident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95</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controls that we or our third-party providers have implemented will be sufficient to prevent data-security related incidents from occurring.</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Economic conditions may adversely affect our business.</w:t>
      </w:r>
    </w:p>
    <w:p>
      <w:pPr>
        <w:pStyle w:val="TextBody"/>
        <w:bidi w:val="0"/>
        <w:spacing w:before="0" w:after="160"/>
        <w:jc w:val="left"/>
        <w:rPr>
          <w:rFonts w:ascii="Times New Roman" w:hAnsi="Times New Roman"/>
          <w:sz w:val="20"/>
        </w:rPr>
      </w:pPr>
      <w:r>
        <w:rPr>
          <w:rFonts w:ascii="Times New Roman" w:hAnsi="Times New Roman"/>
          <w:b w:val="false"/>
          <w:color w:val="000000"/>
          <w:sz w:val="20"/>
        </w:rPr>
        <w:t>Global economic, political and market conditions, armed conflict, including in Ukraine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val="false"/>
          <w:color w:val="000000"/>
          <w:sz w:val="20"/>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Litigation and other legal proceedings may adversely affect our business.</w:t>
      </w:r>
    </w:p>
    <w:p>
      <w:pPr>
        <w:pStyle w:val="TextBody"/>
        <w:bidi w:val="0"/>
        <w:spacing w:before="0" w:after="160"/>
        <w:jc w:val="left"/>
        <w:rPr>
          <w:rFonts w:ascii="Times New Roman" w:hAnsi="Times New Roman"/>
          <w:sz w:val="20"/>
        </w:rPr>
      </w:pPr>
      <w:r>
        <w:rPr>
          <w:rFonts w:ascii="Times New Roman" w:hAnsi="Times New Roman"/>
          <w:b w:val="false"/>
          <w:color w:val="000000"/>
          <w:sz w:val="20"/>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w:t>
      </w:r>
      <w:r>
        <w:rPr>
          <w:rFonts w:ascii="Times New Roman" w:hAnsi="Times New Roman"/>
          <w:color w:val="000000"/>
          <w:sz w:val="20"/>
        </w:rPr>
        <w:t xml:space="preserve"> </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96</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results of operations could be materially harmed if we are unable to accurately forecast customer demand for our products and manage our inventory.</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spacing w:before="0" w:after="120"/>
        <w:jc w:val="left"/>
        <w:rPr/>
      </w:pPr>
      <w:r>
        <w:rPr/>
        <w:t> </w:t>
      </w:r>
    </w:p>
    <w:p>
      <w:pPr>
        <w:pStyle w:val="TextBody"/>
        <w:bidi w:val="0"/>
        <w:spacing w:before="16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Recent Sales of Unregistered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97</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Use of Proceeds from Registered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 Issuer Purchases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60" w:after="283"/>
        <w:jc w:val="left"/>
        <w:rPr>
          <w:rFonts w:ascii="Times New Roman" w:hAnsi="Times New Roman"/>
          <w:b/>
          <w:color w:val="000000"/>
          <w:sz w:val="20"/>
        </w:rPr>
      </w:pPr>
      <w:bookmarkStart w:id="16" w:name="item3_default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60" w:after="283"/>
        <w:jc w:val="left"/>
        <w:rPr>
          <w:rFonts w:ascii="Times New Roman" w:hAnsi="Times New Roman"/>
          <w:b/>
          <w:color w:val="000000"/>
          <w:sz w:val="20"/>
        </w:rPr>
      </w:pPr>
      <w:bookmarkStart w:id="18" w:name="item5other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98</w:t>
            </w:r>
            <w:r>
              <w:rPr>
                <w:rFonts w:ascii="Times New Roman" w:hAnsi="Times New Roman"/>
                <w:color w:val="000000"/>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exhibits are filed as part of, or incorporated by reference into, this report unless otherwise stated.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32"/>
        <w:gridCol w:w="6685"/>
        <w:gridCol w:w="586"/>
        <w:gridCol w:w="551"/>
        <w:gridCol w:w="736"/>
        <w:gridCol w:w="815"/>
      </w:tblGrid>
      <w:tr>
        <w:trPr/>
        <w:tc>
          <w:tcPr>
            <w:tcW w:w="832" w:type="dxa"/>
            <w:tcBorders/>
            <w:vAlign w:val="center"/>
          </w:tcPr>
          <w:p>
            <w:pPr>
              <w:pStyle w:val="TableContents"/>
              <w:bidi w:val="0"/>
              <w:spacing w:before="0" w:after="283"/>
              <w:jc w:val="left"/>
              <w:rPr>
                <w:sz w:val="4"/>
                <w:szCs w:val="4"/>
              </w:rPr>
            </w:pPr>
            <w:r>
              <w:rPr>
                <w:sz w:val="4"/>
                <w:szCs w:val="4"/>
              </w:rPr>
            </w:r>
          </w:p>
        </w:tc>
        <w:tc>
          <w:tcPr>
            <w:tcW w:w="66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8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6685" w:type="dxa"/>
            <w:tcBorders/>
            <w:tcMar>
              <w:top w:w="0" w:type="dxa"/>
              <w:left w:w="0" w:type="dxa"/>
              <w:bottom w:w="0" w:type="dxa"/>
              <w:right w:w="0" w:type="dxa"/>
            </w:tcMar>
            <w:vAlign w:val="center"/>
          </w:tcPr>
          <w:p>
            <w:pPr>
              <w:pStyle w:val="TableContents"/>
              <w:bidi w:val="0"/>
              <w:spacing w:before="0" w:after="283"/>
              <w:jc w:val="left"/>
              <w:rPr/>
            </w:pPr>
            <w:r>
              <w:rPr/>
              <w:t> </w:t>
            </w:r>
          </w:p>
        </w:tc>
        <w:tc>
          <w:tcPr>
            <w:tcW w:w="2688"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8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66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Form</w:t>
            </w:r>
          </w:p>
        </w:tc>
        <w:tc>
          <w:tcPr>
            <w:tcW w:w="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File No.</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8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Filing Date</w:t>
            </w:r>
          </w:p>
        </w:tc>
      </w:tr>
      <w:tr>
        <w:trPr/>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c>
          <w:tcPr>
            <w:tcW w:w="6685"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668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Adopted Pursuant to Section 302 of the Sarbanes-Oxley Act of 2002.</w:t>
              </w:r>
            </w:hyperlink>
            <w:hyperlink w:anchor="rxst-ex31_1.htm">
              <w:r>
                <w:rPr>
                  <w:rStyle w:val="InternetLink"/>
                  <w:rFonts w:ascii="Times New Roman" w:hAnsi="Times New Roman"/>
                  <w:color w:val="0000FF"/>
                  <w:sz w:val="20"/>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668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Adopted Pursuant to Section 302 of the Sarbanes-Oxley Act of 2002.</w:t>
              </w:r>
            </w:hyperlink>
            <w:hyperlink w:anchor="rxst-ex31_2.htm">
              <w:r>
                <w:rPr>
                  <w:rStyle w:val="InternetLink"/>
                  <w:rFonts w:ascii="Times New Roman" w:hAnsi="Times New Roman"/>
                  <w:color w:val="0000FF"/>
                  <w:sz w:val="20"/>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668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6685"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937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 the Inline XBRL document).</w:t>
            </w:r>
          </w:p>
        </w:tc>
      </w:tr>
    </w:tbl>
    <w:p>
      <w:pPr>
        <w:pStyle w:val="TextBody"/>
        <w:pBdr>
          <w:bottom w:val="single" w:sz="6" w:space="1" w:color="000000"/>
        </w:pBdr>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jc w:val="left"/>
        <w:rPr/>
      </w:pPr>
      <w:r>
        <w:rPr/>
        <w:t> </w:t>
      </w:r>
    </w:p>
    <w:p>
      <w:pPr>
        <w:pStyle w:val="TextBody"/>
        <w:bidi w:val="0"/>
        <w:spacing w:before="0" w:after="160"/>
        <w:jc w:val="left"/>
        <w:rPr>
          <w:rFonts w:ascii="Times New Roman" w:hAnsi="Times New Roman"/>
          <w:b w:val="false"/>
          <w:color w:val="000000"/>
          <w:sz w:val="20"/>
        </w:rPr>
      </w:pPr>
      <w:r>
        <w:rPr>
          <w:rFonts w:ascii="Times New Roman" w:hAnsi="Times New Roman"/>
          <w:b w:val="false"/>
          <w:color w:val="000000"/>
          <w:sz w:val="20"/>
        </w:rPr>
        <w:t> 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240" w:after="160"/>
        <w:jc w:val="center"/>
        <w:rPr>
          <w:rFonts w:ascii="Times New Roman" w:hAnsi="Times New Roman"/>
          <w:b w:val="false"/>
          <w:color w:val="000000"/>
          <w:sz w:val="20"/>
        </w:rPr>
      </w:pPr>
      <w:r>
        <w:rPr>
          <w:rFonts w:ascii="Times New Roman" w:hAnsi="Times New Roman"/>
          <w:b w:val="false"/>
          <w:color w:val="000000"/>
          <w:sz w:val="20"/>
        </w:rPr>
        <w:t>99</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19" w:type="dxa"/>
        <w:jc w:val="left"/>
        <w:tblInd w:w="0" w:type="dxa"/>
        <w:tblLayout w:type="fixed"/>
        <w:tblCellMar>
          <w:top w:w="28" w:type="dxa"/>
          <w:left w:w="28" w:type="dxa"/>
          <w:bottom w:w="28" w:type="dxa"/>
          <w:right w:w="28" w:type="dxa"/>
        </w:tblCellMar>
      </w:tblPr>
      <w:tblGrid>
        <w:gridCol w:w="2101"/>
        <w:gridCol w:w="406"/>
        <w:gridCol w:w="14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RxSight,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/s/ Ron Kurtz, M.D.</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Ron Kurtz, M.D.</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Chief Executive Officer</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86" w:after="283"/>
              <w:jc w:val="center"/>
              <w:rPr>
                <w:rFonts w:ascii="Times New Roman" w:hAnsi="Times New Roman"/>
                <w:b w:val="false"/>
                <w:color w:val="000000"/>
                <w:sz w:val="20"/>
              </w:rPr>
            </w:pPr>
            <w:r>
              <w:rPr>
                <w:rFonts w:ascii="Times New Roman" w:hAnsi="Times New Roman"/>
                <w:b w:val="false"/>
                <w:color w:val="000000"/>
                <w:sz w:val="20"/>
              </w:rPr>
              <w:t>/s/ 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Shelley Thunen</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Chief Financial Officer</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spacing w:before="240" w:after="160"/>
        <w:jc w:val="center"/>
        <w:rPr>
          <w:rFonts w:ascii="Times New Roman" w:hAnsi="Times New Roman"/>
          <w:b w:val="false"/>
          <w:color w:val="000000"/>
          <w:sz w:val="20"/>
        </w:rPr>
      </w:pPr>
      <w:r>
        <w:rPr>
          <w:rFonts w:ascii="Times New Roman" w:hAnsi="Times New Roman"/>
          <w:b w:val="false"/>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bookmarkStart w:id="21" w:name="rxst-ex31_1.htm"/>
      <w:bookmarkStart w:id="22" w:name="ksrxst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Ron Kurtz, M.D.,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t>
            </w:r>
          </w:p>
        </w:tc>
        <w:tc>
          <w:tcPr>
            <w:tcW w:w="9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t>
            </w:r>
          </w:p>
        </w:tc>
        <w:tc>
          <w:tcPr>
            <w:tcW w:w="9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w:t>
            </w:r>
          </w:p>
        </w:tc>
        <w:tc>
          <w:tcPr>
            <w:tcW w:w="9829" w:type="dxa"/>
            <w:tcBorders/>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ableContents"/>
              <w:bidi w:val="0"/>
              <w:spacing w:before="0" w:after="283"/>
              <w:jc w:val="left"/>
              <w:rPr/>
            </w:pPr>
            <w:r>
              <w:rPr/>
              <w:t> </w:t>
            </w:r>
          </w:p>
        </w:tc>
      </w:tr>
    </w:tbl>
    <w:p>
      <w:pPr>
        <w:pStyle w:val="TextBody"/>
        <w:bidi w:val="0"/>
        <w:jc w:val="left"/>
        <w:rPr/>
      </w:pPr>
      <w:r>
        <w:rPr/>
        <w:t> </w:t>
      </w:r>
    </w:p>
    <w:tbl>
      <w:tblPr>
        <w:tblW w:w="5249" w:type="dxa"/>
        <w:jc w:val="left"/>
        <w:tblInd w:w="0" w:type="dxa"/>
        <w:tblLayout w:type="fixed"/>
        <w:tblCellMar>
          <w:top w:w="28" w:type="dxa"/>
          <w:left w:w="28" w:type="dxa"/>
          <w:bottom w:w="28" w:type="dxa"/>
          <w:right w:w="28" w:type="dxa"/>
        </w:tblCellMar>
      </w:tblPr>
      <w:tblGrid>
        <w:gridCol w:w="2101"/>
        <w:gridCol w:w="146"/>
        <w:gridCol w:w="406"/>
        <w:gridCol w:w="259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rxst-ex31_2.htm"/>
      <w:bookmarkStart w:id="24" w:name="ksrxst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 Shelley Thunen,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w:t>
            </w:r>
          </w:p>
        </w:tc>
        <w:tc>
          <w:tcPr>
            <w:tcW w:w="99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w:t>
            </w:r>
          </w:p>
        </w:tc>
        <w:tc>
          <w:tcPr>
            <w:tcW w:w="9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w:t>
            </w:r>
          </w:p>
        </w:tc>
        <w:tc>
          <w:tcPr>
            <w:tcW w:w="9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t>
            </w:r>
          </w:p>
        </w:tc>
        <w:tc>
          <w:tcPr>
            <w:tcW w:w="98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w:t>
            </w:r>
          </w:p>
        </w:tc>
        <w:tc>
          <w:tcPr>
            <w:tcW w:w="9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5.</w:t>
            </w:r>
          </w:p>
        </w:tc>
        <w:tc>
          <w:tcPr>
            <w:tcW w:w="9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w:t>
            </w:r>
          </w:p>
        </w:tc>
        <w:tc>
          <w:tcPr>
            <w:tcW w:w="9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w:t>
            </w:r>
          </w:p>
        </w:tc>
        <w:tc>
          <w:tcPr>
            <w:tcW w:w="9829" w:type="dxa"/>
            <w:tcBorders/>
            <w:tcMar>
              <w:top w:w="0" w:type="dxa"/>
              <w:left w:w="0" w:type="dxa"/>
              <w:bottom w:w="0" w:type="dxa"/>
              <w:right w:w="0" w:type="dxa"/>
            </w:tcMar>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ableContents"/>
              <w:bidi w:val="0"/>
              <w:spacing w:before="0" w:after="283"/>
              <w:jc w:val="left"/>
              <w:rPr/>
            </w:pPr>
            <w:r>
              <w:rPr/>
              <w:t> </w:t>
            </w:r>
          </w:p>
        </w:tc>
      </w:tr>
    </w:tbl>
    <w:p>
      <w:pPr>
        <w:pStyle w:val="TextBody"/>
        <w:bidi w:val="0"/>
        <w:jc w:val="left"/>
        <w:rPr/>
      </w:pPr>
      <w:r>
        <w:rPr/>
        <w:t> </w:t>
      </w:r>
    </w:p>
    <w:tbl>
      <w:tblPr>
        <w:tblW w:w="5219" w:type="dxa"/>
        <w:jc w:val="left"/>
        <w:tblInd w:w="0" w:type="dxa"/>
        <w:tblLayout w:type="fixed"/>
        <w:tblCellMar>
          <w:top w:w="28" w:type="dxa"/>
          <w:left w:w="28" w:type="dxa"/>
          <w:bottom w:w="28" w:type="dxa"/>
          <w:right w:w="28" w:type="dxa"/>
        </w:tblCellMar>
      </w:tblPr>
      <w:tblGrid>
        <w:gridCol w:w="2101"/>
        <w:gridCol w:w="146"/>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rxst-ex32_1.htm"/>
      <w:bookmarkStart w:id="26" w:name="ksrxst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Quarterly Report of RxSight, Inc. (the “Company”) on Form 10-Q for the quarterly period ended September 30, 2023, as filed with the Securities and Exchange Commission on the date hereof (the “Report”), I, Ron Kurtz, M.D., Chief Executive Officer of the Company, certify, pursuant to 18 U.S.C. §1350, as adopted pursuant to §906 of the Sarbanes-Oxley Act of 2002, that, to my knowledge:</w:t>
      </w:r>
    </w:p>
    <w:p>
      <w:pPr>
        <w:pStyle w:val="TextBody"/>
        <w:bidi w:val="0"/>
        <w:jc w:val="left"/>
        <w:rPr/>
      </w:pPr>
      <w:r>
        <w:rPr/>
        <w:t> </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tc>
      </w:tr>
    </w:tbl>
    <w:p>
      <w:pPr>
        <w:pStyle w:val="TextBody"/>
        <w:bidi w:val="0"/>
        <w:jc w:val="left"/>
        <w:rPr/>
      </w:pPr>
      <w:r>
        <w:rPr/>
        <w:t> </w:t>
      </w:r>
    </w:p>
    <w:tbl>
      <w:tblPr>
        <w:tblW w:w="5249" w:type="dxa"/>
        <w:jc w:val="left"/>
        <w:tblInd w:w="0" w:type="dxa"/>
        <w:tblLayout w:type="fixed"/>
        <w:tblCellMar>
          <w:top w:w="28" w:type="dxa"/>
          <w:left w:w="28" w:type="dxa"/>
          <w:bottom w:w="28" w:type="dxa"/>
          <w:right w:w="28" w:type="dxa"/>
        </w:tblCellMar>
      </w:tblPr>
      <w:tblGrid>
        <w:gridCol w:w="2101"/>
        <w:gridCol w:w="146"/>
        <w:gridCol w:w="406"/>
        <w:gridCol w:w="259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Ron Kurtz, M.D.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xst-ex32_2.htm"/>
      <w:bookmarkStart w:id="28" w:name="ksrxst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connection with the Quarterly Report of RxSight, Inc. (the “Company”) on Form 10-Q for the quarterly period ended September 30, 2023, as filed with the Securities and Exchange Commission on the date hereof (the “Report”), I, Shelley Thunen, Chief Financial Officer of the Company, certify, pursuant to 18 U.S.C. §1350, as adopted pursuant to §906 of the Sarbanes-Oxley Act of 2002, that, to my knowledge:</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w:t>
            </w:r>
          </w:p>
        </w:tc>
        <w:tc>
          <w:tcPr>
            <w:tcW w:w="9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tc>
      </w:tr>
    </w:tbl>
    <w:p>
      <w:pPr>
        <w:pStyle w:val="TextBody"/>
        <w:bidi w:val="0"/>
        <w:jc w:val="left"/>
        <w:rPr/>
      </w:pPr>
      <w:r>
        <w:rPr/>
        <w:t> </w:t>
      </w:r>
    </w:p>
    <w:tbl>
      <w:tblPr>
        <w:tblW w:w="5219" w:type="dxa"/>
        <w:jc w:val="left"/>
        <w:tblInd w:w="0" w:type="dxa"/>
        <w:tblLayout w:type="fixed"/>
        <w:tblCellMar>
          <w:top w:w="28" w:type="dxa"/>
          <w:left w:w="28" w:type="dxa"/>
          <w:bottom w:w="28" w:type="dxa"/>
          <w:right w:w="28" w:type="dxa"/>
        </w:tblCellMar>
      </w:tblPr>
      <w:tblGrid>
        <w:gridCol w:w="2101"/>
        <w:gridCol w:w="146"/>
        <w:gridCol w:w="406"/>
        <w:gridCol w:w="25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9,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Shelley Thunen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65290</Words>
  <Characters>361282</Characters>
  <CharactersWithSpaces>427705</CharactersWithSpaces>
  <Paragraphs>7231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