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579755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593725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75565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86995</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9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4"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02" w:lineRule="exact"/>
        <w:rPr>
          <w:sz w:val="24"/>
          <w:szCs w:val="24"/>
          <w:color w:val="auto"/>
        </w:rPr>
      </w:pPr>
    </w:p>
    <w:p>
      <w:pPr>
        <w:ind w:left="342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97"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85725</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RxSIGHT,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81280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87" w:lineRule="exact"/>
        <w:rPr>
          <w:sz w:val="24"/>
          <w:szCs w:val="24"/>
          <w:color w:val="auto"/>
        </w:rPr>
      </w:pPr>
    </w:p>
    <w:tbl>
      <w:tblPr>
        <w:tblLayout w:type="fixed"/>
        <w:tblInd w:w="1620" w:type="dxa"/>
        <w:tblCellMar>
          <w:top w:w="0" w:type="dxa"/>
          <w:left w:w="0" w:type="dxa"/>
          <w:bottom w:w="0" w:type="dxa"/>
          <w:right w:w="0" w:type="dxa"/>
        </w:tblCellMar>
      </w:tblPr>
      <w:tr>
        <w:trPr>
          <w:trHeight w:val="126"/>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1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94-3268801</w:t>
            </w:r>
          </w:p>
        </w:tc>
      </w:tr>
      <w:tr>
        <w:trPr>
          <w:trHeight w:val="127"/>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2"/>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120" w:type="dxa"/>
            <w:vAlign w:val="bottom"/>
          </w:tcPr>
          <w:p>
            <w:pPr>
              <w:jc w:val="center"/>
              <w:ind w:left="116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183"/>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100 Columbia</w:t>
            </w:r>
          </w:p>
        </w:tc>
        <w:tc>
          <w:tcPr>
            <w:tcW w:w="2120" w:type="dxa"/>
            <w:vAlign w:val="bottom"/>
          </w:tcPr>
          <w:p>
            <w:pPr>
              <w:spacing w:after="0"/>
              <w:rPr>
                <w:sz w:val="15"/>
                <w:szCs w:val="15"/>
                <w:color w:val="auto"/>
              </w:rPr>
            </w:pPr>
          </w:p>
        </w:tc>
      </w:tr>
      <w:tr>
        <w:trPr>
          <w:trHeight w:val="118"/>
        </w:trPr>
        <w:tc>
          <w:tcPr>
            <w:tcW w:w="3140" w:type="dxa"/>
            <w:vAlign w:val="bottom"/>
          </w:tcPr>
          <w:p>
            <w:pPr>
              <w:jc w:val="center"/>
              <w:ind w:right="1203"/>
              <w:spacing w:after="0" w:line="119" w:lineRule="exact"/>
              <w:rPr>
                <w:sz w:val="20"/>
                <w:szCs w:val="20"/>
                <w:color w:val="auto"/>
              </w:rPr>
            </w:pPr>
            <w:r>
              <w:rPr>
                <w:rFonts w:ascii="Times New Roman" w:cs="Times New Roman" w:eastAsia="Times New Roman" w:hAnsi="Times New Roman"/>
                <w:sz w:val="11"/>
                <w:szCs w:val="11"/>
                <w:b w:val="1"/>
                <w:bCs w:val="1"/>
                <w:color w:val="auto"/>
              </w:rPr>
              <w:t>Aliso Viejo, CA</w:t>
            </w:r>
          </w:p>
        </w:tc>
        <w:tc>
          <w:tcPr>
            <w:tcW w:w="2120" w:type="dxa"/>
            <w:vAlign w:val="bottom"/>
          </w:tcPr>
          <w:p>
            <w:pPr>
              <w:jc w:val="right"/>
              <w:ind w:right="243"/>
              <w:spacing w:after="0" w:line="119" w:lineRule="exact"/>
              <w:rPr>
                <w:sz w:val="20"/>
                <w:szCs w:val="20"/>
                <w:color w:val="auto"/>
              </w:rPr>
            </w:pPr>
            <w:r>
              <w:rPr>
                <w:rFonts w:ascii="Times New Roman" w:cs="Times New Roman" w:eastAsia="Times New Roman" w:hAnsi="Times New Roman"/>
                <w:sz w:val="11"/>
                <w:szCs w:val="11"/>
                <w:b w:val="1"/>
                <w:bCs w:val="1"/>
                <w:color w:val="auto"/>
              </w:rPr>
              <w:t>92656</w:t>
            </w:r>
          </w:p>
        </w:tc>
      </w:tr>
      <w:tr>
        <w:trPr>
          <w:trHeight w:val="150"/>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5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85725</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6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91"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31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Common Stock, par value $0.001 per share</w:t>
            </w:r>
          </w:p>
        </w:tc>
        <w:tc>
          <w:tcPr>
            <w:tcW w:w="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RXST</w:t>
            </w:r>
          </w:p>
        </w:tc>
        <w:tc>
          <w:tcPr>
            <w:tcW w:w="80" w:type="dxa"/>
            <w:vAlign w:val="bottom"/>
          </w:tcPr>
          <w:p>
            <w:pPr>
              <w:spacing w:after="0"/>
              <w:rPr>
                <w:sz w:val="12"/>
                <w:szCs w:val="12"/>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640" w:right="73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left="640" w:right="75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left="640" w:right="919" w:firstLine="351"/>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640" w:type="dxa"/>
        <w:tblCellMar>
          <w:top w:w="0" w:type="dxa"/>
          <w:left w:w="0" w:type="dxa"/>
          <w:bottom w:w="0" w:type="dxa"/>
          <w:right w:w="0" w:type="dxa"/>
        </w:tblCellMar>
      </w:tblPr>
      <w:tr>
        <w:trPr>
          <w:trHeight w:val="215"/>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1" w:lineRule="exact"/>
        <w:rPr>
          <w:sz w:val="24"/>
          <w:szCs w:val="24"/>
          <w:color w:val="auto"/>
        </w:rPr>
      </w:pPr>
    </w:p>
    <w:p>
      <w:pPr>
        <w:ind w:left="640" w:right="819" w:firstLine="351"/>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left="980" w:right="1159"/>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May 1, 2026, the registrant had 41,396,609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686435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78105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92075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993" w:right="1440"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188"/>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8"/>
        </w:trPr>
        <w:tc>
          <w:tcPr>
            <w:tcW w:w="1300" w:type="dxa"/>
            <w:vAlign w:val="bottom"/>
            <w:gridSpan w:val="3"/>
            <w:vMerge w:val="continue"/>
          </w:tcPr>
          <w:p>
            <w:pPr>
              <w:spacing w:after="0"/>
              <w:rPr>
                <w:sz w:val="12"/>
                <w:szCs w:val="12"/>
                <w:color w:val="auto"/>
              </w:rPr>
            </w:pPr>
          </w:p>
        </w:tc>
        <w:tc>
          <w:tcPr>
            <w:tcW w:w="6420" w:type="dxa"/>
            <w:vAlign w:val="bottom"/>
            <w:gridSpan w:val="13"/>
            <w:vMerge w:val="continue"/>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Equity</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960" w:type="dxa"/>
            <w:vAlign w:val="bottom"/>
            <w:tcBorders>
              <w:left w:val="single" w:sz="8" w:color="0000FF"/>
            </w:tcBorders>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gridSpan w:val="3"/>
            <w:vMerge w:val="continue"/>
          </w:tcPr>
          <w:p>
            <w:pPr>
              <w:spacing w:after="0"/>
              <w:rPr>
                <w:sz w:val="14"/>
                <w:szCs w:val="14"/>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OTHER INFORMATION</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7"/>
        </w:trPr>
        <w:tc>
          <w:tcPr>
            <w:tcW w:w="5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following:</w:t>
      </w:r>
    </w:p>
    <w:p>
      <w:pPr>
        <w:spacing w:after="0" w:line="97" w:lineRule="exact"/>
        <w:rPr>
          <w:sz w:val="20"/>
          <w:szCs w:val="20"/>
          <w:color w:val="auto"/>
        </w:rPr>
      </w:pPr>
    </w:p>
    <w:p>
      <w:pPr>
        <w:ind w:left="1860" w:right="1319" w:hanging="357"/>
        <w:spacing w:after="0" w:line="263"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capital resources to fund our future operating expenses and capital expenditure requirements, including our expectation that we do not anticipate the need to raise additional capital or incur additional debt in order to reach profitability from operations, provided that we may opportunistically seek to raise capital under advantageous circumstances from time to time in order to support the expansion of our sales and operations in the United States (“U.S.”) and internationally and to pursue other business opportunities;</w:t>
      </w:r>
    </w:p>
    <w:p>
      <w:pPr>
        <w:spacing w:after="0" w:line="58"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current cash, cash equivalents and short-term investments through the date of filing of this report will be sufficient to fund our operations for at least the next 12 months;</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68"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revenue will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54"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our expenses, ongoing losses, future revenue, capital requirements and our need for, or ability to obtain, additional financing;</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for the growth of our business and our organization, including with respect to new geographic markets;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over time, our adjustable lens solution can be used to address a broad range of cataract surgery patients, including those that would otherwise elect for a conventional cataract procedure today;</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w:t>
      </w:r>
    </w:p>
    <w:p>
      <w:pPr>
        <w:spacing w:after="0" w:line="50"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there is an opportunity to gain market share in the premium intraocular lens (“IOL”) market segment and also increase the penetration of premium IOLs in the broader market by converting doctors and patients currently electing for conventional cataract surgery;</w:t>
      </w:r>
    </w:p>
    <w:p>
      <w:pPr>
        <w:spacing w:after="0" w:line="50" w:lineRule="exact"/>
        <w:rPr>
          <w:rFonts w:ascii="Times New Roman" w:cs="Times New Roman" w:eastAsia="Times New Roman" w:hAnsi="Times New Roman"/>
          <w:sz w:val="14"/>
          <w:szCs w:val="14"/>
          <w:color w:val="auto"/>
        </w:rPr>
      </w:pPr>
    </w:p>
    <w:p>
      <w:pPr>
        <w:ind w:left="1860" w:right="1199" w:hanging="357"/>
        <w:spacing w:after="0" w:line="268"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w:t>
      </w:r>
    </w:p>
    <w:p>
      <w:pPr>
        <w:spacing w:after="0" w:line="54" w:lineRule="exact"/>
        <w:rPr>
          <w:rFonts w:ascii="Times New Roman" w:cs="Times New Roman" w:eastAsia="Times New Roman" w:hAnsi="Times New Roman"/>
          <w:sz w:val="14"/>
          <w:szCs w:val="14"/>
          <w:color w:val="auto"/>
        </w:rPr>
      </w:pPr>
    </w:p>
    <w:p>
      <w:pPr>
        <w:ind w:left="1860" w:right="147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regarding investment in our business as we pursue growth;</w:t>
      </w:r>
    </w:p>
    <w:p>
      <w:pPr>
        <w:spacing w:after="0" w:line="96" w:lineRule="exact"/>
        <w:rPr>
          <w:rFonts w:ascii="Times New Roman" w:cs="Times New Roman" w:eastAsia="Times New Roman" w:hAnsi="Times New Roman"/>
          <w:sz w:val="14"/>
          <w:szCs w:val="14"/>
          <w:color w:val="auto"/>
        </w:rPr>
      </w:pPr>
    </w:p>
    <w:p>
      <w:pPr>
        <w:ind w:left="1860" w:right="163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expected timelines related to our products, or developing new products, to address additional indications or otherwise;</w:t>
      </w:r>
    </w:p>
    <w:p>
      <w:pPr>
        <w:spacing w:after="0" w:line="37"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expand regulatory clearances for our products and any new products we create;</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uses of our existing resources;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 w:name="page4"/>
    <w:bookmarkEnd w:id="3"/>
    <w:p>
      <w:pPr>
        <w:ind w:left="1860" w:right="123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current manufacturing capacity is sufficient to meet our current expected demand for at least the next 12 months;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we have sufficiently trained personnel and processes to manufacture our products;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existing facilities are adequate for our near-term needs, and that suitable additional or alternative space would be available in the future as required on commercially reasonable terms;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government and third-party payer coverage and reimbursement;</w:t>
      </w:r>
    </w:p>
    <w:p>
      <w:pPr>
        <w:spacing w:after="0" w:line="96" w:lineRule="exact"/>
        <w:rPr>
          <w:rFonts w:ascii="Times New Roman" w:cs="Times New Roman" w:eastAsia="Times New Roman" w:hAnsi="Times New Roman"/>
          <w:sz w:val="14"/>
          <w:szCs w:val="14"/>
          <w:color w:val="auto"/>
        </w:rPr>
      </w:pPr>
    </w:p>
    <w:p>
      <w:pPr>
        <w:ind w:left="1860" w:right="13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supply of materials and components for our products from our third-party suppliers, including single and sole source suppliers;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enforce intellectual property protection for our products and protect our intellectual property rights;</w:t>
      </w:r>
    </w:p>
    <w:p>
      <w:pPr>
        <w:spacing w:after="0" w:line="37"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conduct further clinical trials and any expectations related to the timing or outcomes of such trials;</w:t>
      </w:r>
    </w:p>
    <w:p>
      <w:pPr>
        <w:spacing w:after="0" w:line="37" w:lineRule="exact"/>
        <w:rPr>
          <w:rFonts w:ascii="Times New Roman" w:cs="Times New Roman" w:eastAsia="Times New Roman" w:hAnsi="Times New Roman"/>
          <w:sz w:val="14"/>
          <w:szCs w:val="14"/>
          <w:color w:val="auto"/>
        </w:rPr>
      </w:pPr>
    </w:p>
    <w:p>
      <w:pPr>
        <w:ind w:left="1860" w:right="133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and future government laws, rules and regulations both in the U.S. and internationally;</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and planned products and/or acquire new products; and</w:t>
      </w:r>
    </w:p>
    <w:p>
      <w:pPr>
        <w:spacing w:after="0" w:line="96" w:lineRule="exact"/>
        <w:rPr>
          <w:rFonts w:ascii="Times New Roman" w:cs="Times New Roman" w:eastAsia="Times New Roman" w:hAnsi="Times New Roman"/>
          <w:sz w:val="14"/>
          <w:szCs w:val="14"/>
          <w:color w:val="auto"/>
        </w:rPr>
      </w:pPr>
    </w:p>
    <w:p>
      <w:pPr>
        <w:ind w:left="1860" w:right="12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our competitors or our industry, including anticipated growth rates for the conventional and premium IOL markets.</w:t>
      </w:r>
    </w:p>
    <w:p>
      <w:pPr>
        <w:spacing w:after="0" w:line="70"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76"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9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INDUSTRY, BUSINESS AND MARKET DATA</w:t>
      </w:r>
    </w:p>
    <w:p>
      <w:pPr>
        <w:spacing w:after="0" w:line="120"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 w:name="page5"/>
    <w:bookmarkEnd w:id="4"/>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TRADEMARKS, SERVICE MARKS AND TRADE NAMES</w:t>
      </w:r>
    </w:p>
    <w:p>
      <w:pPr>
        <w:spacing w:after="0" w:line="120"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6"/>
          <w:szCs w:val="16"/>
          <w:b w:val="1"/>
          <w:bCs w:val="1"/>
          <w:color w:val="auto"/>
        </w:rPr>
        <w:t>Item 1: Financial Statements (Unaudited)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6350</wp:posOffset>
            </wp:positionV>
            <wp:extent cx="425513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09"/>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43"/>
              <w:spacing w:after="0" w:line="109" w:lineRule="exact"/>
              <w:rPr>
                <w:sz w:val="20"/>
                <w:szCs w:val="20"/>
                <w:color w:val="auto"/>
              </w:rPr>
            </w:pPr>
            <w:r>
              <w:rPr>
                <w:rFonts w:ascii="Times New Roman" w:cs="Times New Roman" w:eastAsia="Times New Roman" w:hAnsi="Times New Roman"/>
                <w:sz w:val="11"/>
                <w:szCs w:val="11"/>
                <w:color w:val="auto"/>
              </w:rPr>
              <w:t>(Unaudited)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assets: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and cash equivalents</w:t>
            </w:r>
          </w:p>
        </w:tc>
        <w:tc>
          <w:tcPr>
            <w:tcW w:w="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17,573</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19,949</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Short-term investments</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200,307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208,179</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Accounts receivable, net</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22,443</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23,383</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Inventories, net</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34,869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31,559</w:t>
            </w:r>
          </w:p>
        </w:tc>
        <w:tc>
          <w:tcPr>
            <w:tcW w:w="0" w:type="dxa"/>
            <w:vAlign w:val="bottom"/>
          </w:tcPr>
          <w:p>
            <w:pPr>
              <w:spacing w:after="0"/>
              <w:rPr>
                <w:sz w:val="1"/>
                <w:szCs w:val="1"/>
                <w:color w:val="auto"/>
              </w:rPr>
            </w:pPr>
          </w:p>
        </w:tc>
      </w:tr>
      <w:tr>
        <w:trPr>
          <w:trHeight w:val="118"/>
        </w:trPr>
        <w:tc>
          <w:tcPr>
            <w:tcW w:w="470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Prepaid and other current assets</w:t>
            </w: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4,033</w:t>
            </w:r>
          </w:p>
        </w:tc>
        <w:tc>
          <w:tcPr>
            <w:tcW w:w="16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4,389</w:t>
            </w:r>
          </w:p>
        </w:tc>
        <w:tc>
          <w:tcPr>
            <w:tcW w:w="0" w:type="dxa"/>
            <w:vAlign w:val="bottom"/>
          </w:tcPr>
          <w:p>
            <w:pPr>
              <w:spacing w:after="0"/>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current assets</w:t>
            </w:r>
          </w:p>
        </w:tc>
        <w:tc>
          <w:tcPr>
            <w:tcW w:w="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279,225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287,459</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Property and equipment, net</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13,232</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13,056</w:t>
            </w: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Operating leases right-of-use assets</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9,760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9,959</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Restricted cash</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750</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750</w:t>
            </w: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1,026</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590</w:t>
            </w:r>
          </w:p>
        </w:tc>
        <w:tc>
          <w:tcPr>
            <w:tcW w:w="0" w:type="dxa"/>
            <w:vAlign w:val="bottom"/>
          </w:tcPr>
          <w:p>
            <w:pPr>
              <w:spacing w:after="0"/>
              <w:rPr>
                <w:sz w:val="1"/>
                <w:szCs w:val="1"/>
                <w:color w:val="auto"/>
              </w:rPr>
            </w:pPr>
          </w:p>
        </w:tc>
      </w:tr>
      <w:tr>
        <w:trPr>
          <w:trHeight w:val="149"/>
        </w:trPr>
        <w:tc>
          <w:tcPr>
            <w:tcW w:w="4700" w:type="dxa"/>
            <w:vAlign w:val="bottom"/>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303,993</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311,814</w:t>
            </w:r>
          </w:p>
        </w:tc>
        <w:tc>
          <w:tcPr>
            <w:tcW w:w="0" w:type="dxa"/>
            <w:vAlign w:val="bottom"/>
          </w:tcPr>
          <w:p>
            <w:pPr>
              <w:spacing w:after="0"/>
              <w:rPr>
                <w:sz w:val="1"/>
                <w:szCs w:val="1"/>
                <w:color w:val="auto"/>
              </w:rPr>
            </w:pPr>
          </w:p>
        </w:tc>
      </w:tr>
      <w:tr>
        <w:trPr>
          <w:trHeight w:val="90"/>
        </w:trPr>
        <w:tc>
          <w:tcPr>
            <w:tcW w:w="47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liabilities: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Accounts payable</w:t>
            </w:r>
          </w:p>
        </w:tc>
        <w:tc>
          <w:tcPr>
            <w:tcW w:w="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7,124</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5,296</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18,748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19,795</w:t>
            </w:r>
          </w:p>
        </w:tc>
        <w:tc>
          <w:tcPr>
            <w:tcW w:w="0" w:type="dxa"/>
            <w:vAlign w:val="bottom"/>
          </w:tcPr>
          <w:p>
            <w:pPr>
              <w:spacing w:after="0"/>
              <w:rPr>
                <w:sz w:val="1"/>
                <w:szCs w:val="1"/>
                <w:color w:val="auto"/>
              </w:rPr>
            </w:pPr>
          </w:p>
        </w:tc>
      </w:tr>
      <w:tr>
        <w:trPr>
          <w:trHeight w:val="118"/>
        </w:trPr>
        <w:tc>
          <w:tcPr>
            <w:tcW w:w="470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Lease liabilities</w:t>
            </w: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1,504</w:t>
            </w:r>
          </w:p>
        </w:tc>
        <w:tc>
          <w:tcPr>
            <w:tcW w:w="16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1,162</w:t>
            </w:r>
          </w:p>
        </w:tc>
        <w:tc>
          <w:tcPr>
            <w:tcW w:w="0" w:type="dxa"/>
            <w:vAlign w:val="bottom"/>
          </w:tcPr>
          <w:p>
            <w:pPr>
              <w:spacing w:after="0"/>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current liabilities</w:t>
            </w:r>
          </w:p>
        </w:tc>
        <w:tc>
          <w:tcPr>
            <w:tcW w:w="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27,376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26,253</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Long-term lease liabilities</w:t>
            </w: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9,322</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9,878</w:t>
            </w:r>
          </w:p>
        </w:tc>
        <w:tc>
          <w:tcPr>
            <w:tcW w:w="0" w:type="dxa"/>
            <w:vAlign w:val="bottom"/>
          </w:tcPr>
          <w:p>
            <w:pPr>
              <w:spacing w:after="0"/>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36,698</w:t>
            </w: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36,131</w:t>
            </w:r>
          </w:p>
        </w:tc>
        <w:tc>
          <w:tcPr>
            <w:tcW w:w="0" w:type="dxa"/>
            <w:vAlign w:val="bottom"/>
          </w:tcPr>
          <w:p>
            <w:pPr>
              <w:spacing w:after="0"/>
              <w:rPr>
                <w:sz w:val="1"/>
                <w:szCs w:val="1"/>
                <w:color w:val="auto"/>
              </w:rPr>
            </w:pPr>
          </w:p>
        </w:tc>
      </w:tr>
      <w:tr>
        <w:trPr>
          <w:trHeight w:val="109"/>
        </w:trPr>
        <w:tc>
          <w:tcPr>
            <w:tcW w:w="47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Commitments and contingencies (Note 8)</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tcBorders>
              <w:righ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Stockholders' equity:</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70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Common stock, $0.001 par value, 900,000,000 shares authorized,</w:t>
            </w: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20" w:type="dxa"/>
            <w:vAlign w:val="bottom"/>
            <w:tcBorders>
              <w:right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200"/>
              <w:spacing w:after="0" w:line="119" w:lineRule="exact"/>
              <w:rPr>
                <w:sz w:val="20"/>
                <w:szCs w:val="20"/>
                <w:color w:val="auto"/>
              </w:rPr>
            </w:pPr>
            <w:r>
              <w:rPr>
                <w:rFonts w:ascii="Times New Roman" w:cs="Times New Roman" w:eastAsia="Times New Roman" w:hAnsi="Times New Roman"/>
                <w:sz w:val="11"/>
                <w:szCs w:val="11"/>
                <w:color w:val="auto"/>
              </w:rPr>
              <w:t>41,384,120 shares issued and outstanding as of March 31, 2026 and</w:t>
            </w: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35"/>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41,242,005 shares issued and outstanding as of December 31, 2025</w:t>
            </w:r>
          </w:p>
        </w:tc>
        <w:tc>
          <w:tcPr>
            <w:tcW w:w="8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tcBorders>
              <w:right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Preferred stock, $0.001 par value, 100,000,000 shares authorized,</w:t>
            </w:r>
          </w:p>
        </w:tc>
        <w:tc>
          <w:tcPr>
            <w:tcW w:w="80" w:type="dxa"/>
            <w:vAlign w:val="bottom"/>
          </w:tcPr>
          <w:p>
            <w:pPr>
              <w:spacing w:after="0"/>
              <w:rPr>
                <w:sz w:val="8"/>
                <w:szCs w:val="8"/>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9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4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 shares issued and outstanding</w:t>
            </w: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Additional paid-in capital</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944,244</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936,628</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other comprehensive (loss) income</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0"/>
                <w:szCs w:val="10"/>
                <w:color w:val="auto"/>
              </w:rPr>
            </w:pPr>
          </w:p>
        </w:tc>
        <w:tc>
          <w:tcPr>
            <w:tcW w:w="92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deficit</w:t>
            </w:r>
          </w:p>
        </w:tc>
        <w:tc>
          <w:tcPr>
            <w:tcW w:w="80" w:type="dxa"/>
            <w:vAlign w:val="bottom"/>
            <w:shd w:val="clear" w:color="auto" w:fill="CFF0FC"/>
          </w:tcPr>
          <w:p>
            <w:pPr>
              <w:spacing w:after="0"/>
              <w:rPr>
                <w:sz w:val="10"/>
                <w:szCs w:val="10"/>
                <w:color w:val="auto"/>
              </w:rPr>
            </w:pPr>
          </w:p>
        </w:tc>
        <w:tc>
          <w:tcPr>
            <w:tcW w:w="90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(676,923)</w:t>
            </w:r>
          </w:p>
        </w:tc>
        <w:tc>
          <w:tcPr>
            <w:tcW w:w="10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(661,039)</w:t>
            </w:r>
          </w:p>
        </w:tc>
        <w:tc>
          <w:tcPr>
            <w:tcW w:w="0" w:type="dxa"/>
            <w:vAlign w:val="bottom"/>
          </w:tcPr>
          <w:p>
            <w:pPr>
              <w:spacing w:after="0"/>
              <w:rPr>
                <w:sz w:val="1"/>
                <w:szCs w:val="1"/>
                <w:color w:val="auto"/>
              </w:rPr>
            </w:pPr>
          </w:p>
        </w:tc>
      </w:tr>
      <w:tr>
        <w:trPr>
          <w:trHeight w:val="109"/>
        </w:trPr>
        <w:tc>
          <w:tcPr>
            <w:tcW w:w="4700" w:type="dxa"/>
            <w:vAlign w:val="bottom"/>
            <w:tcBorders>
              <w:top w:val="single" w:sz="8" w:color="CFF0FC"/>
            </w:tcBorders>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stockholders' equity</w:t>
            </w:r>
          </w:p>
        </w:tc>
        <w:tc>
          <w:tcPr>
            <w:tcW w:w="8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267,295</w:t>
            </w:r>
          </w:p>
        </w:tc>
        <w:tc>
          <w:tcPr>
            <w:tcW w:w="160" w:type="dxa"/>
            <w:vAlign w:val="bottom"/>
            <w:tcBorders>
              <w:top w:val="single" w:sz="8" w:color="CFF0FC"/>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275,683</w:t>
            </w:r>
          </w:p>
        </w:tc>
        <w:tc>
          <w:tcPr>
            <w:tcW w:w="0" w:type="dxa"/>
            <w:vAlign w:val="bottom"/>
          </w:tcPr>
          <w:p>
            <w:pPr>
              <w:spacing w:after="0"/>
              <w:rPr>
                <w:sz w:val="1"/>
                <w:szCs w:val="1"/>
                <w:color w:val="auto"/>
              </w:rPr>
            </w:pPr>
          </w:p>
        </w:tc>
      </w:tr>
      <w:tr>
        <w:trPr>
          <w:trHeight w:val="129"/>
        </w:trPr>
        <w:tc>
          <w:tcPr>
            <w:tcW w:w="4700" w:type="dxa"/>
            <w:vAlign w:val="bottom"/>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303,993</w:t>
            </w: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311,814</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-2113280</wp:posOffset>
            </wp:positionV>
            <wp:extent cx="406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-2113280</wp:posOffset>
            </wp:positionV>
            <wp:extent cx="4064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-1649730</wp:posOffset>
            </wp:positionV>
            <wp:extent cx="4064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-1635760</wp:posOffset>
            </wp:positionV>
            <wp:extent cx="4064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-1649730</wp:posOffset>
            </wp:positionV>
            <wp:extent cx="4064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-1635760</wp:posOffset>
            </wp:positionV>
            <wp:extent cx="4064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-1179195</wp:posOffset>
            </wp:positionV>
            <wp:extent cx="4064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-1179195</wp:posOffset>
            </wp:positionV>
            <wp:extent cx="4064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-1035050</wp:posOffset>
            </wp:positionV>
            <wp:extent cx="6604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-1035050</wp:posOffset>
            </wp:positionV>
            <wp:extent cx="6604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-183515</wp:posOffset>
            </wp:positionV>
            <wp:extent cx="4064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-183515</wp:posOffset>
            </wp:positionV>
            <wp:extent cx="4064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-19685</wp:posOffset>
            </wp:positionV>
            <wp:extent cx="4064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-6350</wp:posOffset>
            </wp:positionV>
            <wp:extent cx="4064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322"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6350</wp:posOffset>
            </wp:positionV>
            <wp:extent cx="425513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3420" w:type="dxa"/>
            <w:vAlign w:val="bottom"/>
          </w:tcPr>
          <w:p>
            <w:pPr>
              <w:spacing w:after="0"/>
              <w:rPr>
                <w:sz w:val="11"/>
                <w:szCs w:val="11"/>
                <w:color w:val="auto"/>
              </w:rPr>
            </w:pPr>
          </w:p>
        </w:tc>
        <w:tc>
          <w:tcPr>
            <w:tcW w:w="3280" w:type="dxa"/>
            <w:vAlign w:val="bottom"/>
            <w:gridSpan w:val="7"/>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3420" w:type="dxa"/>
            <w:vAlign w:val="bottom"/>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jc w:val="right"/>
              <w:ind w:right="46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9"/>
                <w:szCs w:val="9"/>
                <w:color w:val="auto"/>
              </w:rPr>
            </w:pPr>
          </w:p>
        </w:tc>
      </w:tr>
      <w:tr>
        <w:trPr>
          <w:trHeight w:val="109"/>
        </w:trPr>
        <w:tc>
          <w:tcPr>
            <w:tcW w:w="3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18"/>
        </w:trPr>
        <w:tc>
          <w:tcPr>
            <w:tcW w:w="34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Sales</w:t>
            </w:r>
          </w:p>
        </w:tc>
        <w:tc>
          <w:tcPr>
            <w:tcW w:w="920" w:type="dxa"/>
            <w:vAlign w:val="bottom"/>
            <w:shd w:val="clear" w:color="auto" w:fill="CFF0FC"/>
          </w:tcPr>
          <w:p>
            <w:pPr>
              <w:jc w:val="right"/>
              <w:ind w:right="80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30,893</w:t>
            </w:r>
          </w:p>
        </w:tc>
        <w:tc>
          <w:tcPr>
            <w:tcW w:w="1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37,895</w:t>
            </w: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Cost of sales</w:t>
            </w: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7,395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9,566</w:t>
            </w:r>
          </w:p>
        </w:tc>
        <w:tc>
          <w:tcPr>
            <w:tcW w:w="260" w:type="dxa"/>
            <w:vAlign w:val="bottom"/>
          </w:tcPr>
          <w:p>
            <w:pPr>
              <w:spacing w:after="0"/>
              <w:rPr>
                <w:sz w:val="10"/>
                <w:szCs w:val="10"/>
                <w:color w:val="auto"/>
              </w:rPr>
            </w:pPr>
          </w:p>
        </w:tc>
      </w:tr>
      <w:tr>
        <w:trPr>
          <w:trHeight w:val="109"/>
        </w:trPr>
        <w:tc>
          <w:tcPr>
            <w:tcW w:w="342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Gross profit</w:t>
            </w:r>
          </w:p>
        </w:tc>
        <w:tc>
          <w:tcPr>
            <w:tcW w:w="92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23,498</w:t>
            </w: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28,329</w:t>
            </w:r>
          </w:p>
        </w:tc>
        <w:tc>
          <w:tcPr>
            <w:tcW w:w="260" w:type="dxa"/>
            <w:vAlign w:val="bottom"/>
            <w:tcBorders>
              <w:bottom w:val="single" w:sz="8" w:color="CFF0FC"/>
            </w:tcBorders>
            <w:shd w:val="clear" w:color="auto" w:fill="CFF0FC"/>
          </w:tcPr>
          <w:p>
            <w:pPr>
              <w:spacing w:after="0"/>
              <w:rPr>
                <w:sz w:val="9"/>
                <w:szCs w:val="9"/>
                <w:color w:val="auto"/>
              </w:rPr>
            </w:pPr>
          </w:p>
        </w:tc>
      </w:tr>
      <w:tr>
        <w:trPr>
          <w:trHeight w:val="109"/>
        </w:trPr>
        <w:tc>
          <w:tcPr>
            <w:tcW w:w="342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Operating expenses:</w:t>
            </w: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18"/>
        </w:trPr>
        <w:tc>
          <w:tcPr>
            <w:tcW w:w="342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9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31,855</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28,636</w:t>
            </w: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Research and development</w:t>
            </w: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9,472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10,367</w:t>
            </w:r>
          </w:p>
        </w:tc>
        <w:tc>
          <w:tcPr>
            <w:tcW w:w="260" w:type="dxa"/>
            <w:vAlign w:val="bottom"/>
          </w:tcPr>
          <w:p>
            <w:pPr>
              <w:spacing w:after="0"/>
              <w:rPr>
                <w:sz w:val="10"/>
                <w:szCs w:val="10"/>
                <w:color w:val="auto"/>
              </w:rPr>
            </w:pPr>
          </w:p>
        </w:tc>
      </w:tr>
      <w:tr>
        <w:trPr>
          <w:trHeight w:val="109"/>
        </w:trPr>
        <w:tc>
          <w:tcPr>
            <w:tcW w:w="342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Total operating expenses</w:t>
            </w:r>
          </w:p>
        </w:tc>
        <w:tc>
          <w:tcPr>
            <w:tcW w:w="92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41,327</w:t>
            </w: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39,003</w:t>
            </w:r>
          </w:p>
        </w:tc>
        <w:tc>
          <w:tcPr>
            <w:tcW w:w="260" w:type="dxa"/>
            <w:vAlign w:val="bottom"/>
            <w:tcBorders>
              <w:bottom w:val="single" w:sz="8" w:color="CFF0FC"/>
            </w:tcBorders>
            <w:shd w:val="clear" w:color="auto" w:fill="CFF0FC"/>
          </w:tcPr>
          <w:p>
            <w:pPr>
              <w:spacing w:after="0"/>
              <w:rPr>
                <w:sz w:val="9"/>
                <w:szCs w:val="9"/>
                <w:color w:val="auto"/>
              </w:rPr>
            </w:pPr>
          </w:p>
        </w:tc>
      </w:tr>
      <w:tr>
        <w:trPr>
          <w:trHeight w:val="109"/>
        </w:trPr>
        <w:tc>
          <w:tcPr>
            <w:tcW w:w="342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Loss from operations</w:t>
            </w:r>
          </w:p>
        </w:tc>
        <w:tc>
          <w:tcPr>
            <w:tcW w:w="920" w:type="dxa"/>
            <w:vAlign w:val="bottom"/>
          </w:tcPr>
          <w:p>
            <w:pPr>
              <w:spacing w:after="0"/>
              <w:rPr>
                <w:sz w:val="9"/>
                <w:szCs w:val="9"/>
                <w:color w:val="auto"/>
              </w:rPr>
            </w:pPr>
          </w:p>
        </w:tc>
        <w:tc>
          <w:tcPr>
            <w:tcW w:w="7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(17,829)</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(10,674)</w:t>
            </w:r>
          </w:p>
        </w:tc>
      </w:tr>
      <w:tr>
        <w:trPr>
          <w:trHeight w:val="118"/>
        </w:trPr>
        <w:tc>
          <w:tcPr>
            <w:tcW w:w="34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income (expense), net:</w:t>
            </w:r>
          </w:p>
        </w:tc>
        <w:tc>
          <w:tcPr>
            <w:tcW w:w="9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expense</w:t>
            </w:r>
          </w:p>
        </w:tc>
        <w:tc>
          <w:tcPr>
            <w:tcW w:w="920" w:type="dxa"/>
            <w:vAlign w:val="bottom"/>
          </w:tcPr>
          <w:p>
            <w:pPr>
              <w:spacing w:after="0"/>
              <w:rPr>
                <w:sz w:val="10"/>
                <w:szCs w:val="10"/>
                <w:color w:val="auto"/>
              </w:rPr>
            </w:pPr>
          </w:p>
        </w:tc>
        <w:tc>
          <w:tcPr>
            <w:tcW w:w="7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(6)</w:t>
            </w:r>
          </w:p>
        </w:tc>
      </w:tr>
      <w:tr>
        <w:trPr>
          <w:trHeight w:val="118"/>
        </w:trPr>
        <w:tc>
          <w:tcPr>
            <w:tcW w:w="3420" w:type="dxa"/>
            <w:vAlign w:val="bottom"/>
            <w:tcBorders>
              <w:bottom w:val="single" w:sz="8" w:color="CFF0FC"/>
            </w:tcBorders>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and other income</w:t>
            </w:r>
          </w:p>
        </w:tc>
        <w:tc>
          <w:tcPr>
            <w:tcW w:w="9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1,954</w:t>
            </w:r>
          </w:p>
        </w:tc>
        <w:tc>
          <w:tcPr>
            <w:tcW w:w="1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2,508</w:t>
            </w:r>
          </w:p>
        </w:tc>
        <w:tc>
          <w:tcPr>
            <w:tcW w:w="260" w:type="dxa"/>
            <w:vAlign w:val="bottom"/>
            <w:tcBorders>
              <w:bottom w:val="single" w:sz="8" w:color="CFF0FC"/>
            </w:tcBorders>
            <w:shd w:val="clear" w:color="auto" w:fill="CFF0FC"/>
          </w:tcPr>
          <w:p>
            <w:pPr>
              <w:spacing w:after="0"/>
              <w:rPr>
                <w:sz w:val="10"/>
                <w:szCs w:val="10"/>
                <w:color w:val="auto"/>
              </w:rPr>
            </w:pPr>
          </w:p>
        </w:tc>
      </w:tr>
      <w:tr>
        <w:trPr>
          <w:trHeight w:val="109"/>
        </w:trPr>
        <w:tc>
          <w:tcPr>
            <w:tcW w:w="342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Loss before income taxes</w:t>
            </w:r>
          </w:p>
        </w:tc>
        <w:tc>
          <w:tcPr>
            <w:tcW w:w="920" w:type="dxa"/>
            <w:vAlign w:val="bottom"/>
          </w:tcPr>
          <w:p>
            <w:pPr>
              <w:spacing w:after="0"/>
              <w:rPr>
                <w:sz w:val="9"/>
                <w:szCs w:val="9"/>
                <w:color w:val="auto"/>
              </w:rPr>
            </w:pPr>
          </w:p>
        </w:tc>
        <w:tc>
          <w:tcPr>
            <w:tcW w:w="7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(15,878)</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(8,172)</w:t>
            </w:r>
          </w:p>
        </w:tc>
      </w:tr>
      <w:tr>
        <w:trPr>
          <w:trHeight w:val="118"/>
        </w:trPr>
        <w:tc>
          <w:tcPr>
            <w:tcW w:w="342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Income tax expense</w:t>
            </w:r>
          </w:p>
        </w:tc>
        <w:tc>
          <w:tcPr>
            <w:tcW w:w="9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260" w:type="dxa"/>
            <w:vAlign w:val="bottom"/>
            <w:tcBorders>
              <w:bottom w:val="single" w:sz="8" w:color="CFF0FC"/>
            </w:tcBorders>
            <w:shd w:val="clear" w:color="auto" w:fill="CFF0FC"/>
          </w:tcPr>
          <w:p>
            <w:pPr>
              <w:spacing w:after="0"/>
              <w:rPr>
                <w:sz w:val="10"/>
                <w:szCs w:val="10"/>
                <w:color w:val="auto"/>
              </w:rPr>
            </w:pPr>
          </w:p>
        </w:tc>
      </w:tr>
      <w:tr>
        <w:trPr>
          <w:trHeight w:val="109"/>
        </w:trPr>
        <w:tc>
          <w:tcPr>
            <w:tcW w:w="3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58"/>
        </w:trPr>
        <w:tc>
          <w:tcPr>
            <w:tcW w:w="342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loss</w:t>
            </w:r>
          </w:p>
        </w:tc>
        <w:tc>
          <w:tcPr>
            <w:tcW w:w="920" w:type="dxa"/>
            <w:vAlign w:val="bottom"/>
            <w:tcBorders>
              <w:bottom w:val="single" w:sz="8" w:color="auto"/>
            </w:tcBorders>
            <w:shd w:val="clear" w:color="auto" w:fill="CFF0FC"/>
          </w:tcPr>
          <w:p>
            <w:pPr>
              <w:jc w:val="right"/>
              <w:ind w:right="80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(15,884)</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(8,190)</w:t>
            </w:r>
          </w:p>
        </w:tc>
        <w:tc>
          <w:tcPr>
            <w:tcW w:w="260" w:type="dxa"/>
            <w:vAlign w:val="bottom"/>
            <w:tcBorders>
              <w:bottom w:val="single" w:sz="8" w:color="CFF0FC"/>
            </w:tcBorders>
            <w:shd w:val="clear" w:color="auto" w:fill="CFF0FC"/>
          </w:tcPr>
          <w:p>
            <w:pPr>
              <w:spacing w:after="0"/>
              <w:rPr>
                <w:sz w:val="13"/>
                <w:szCs w:val="13"/>
                <w:color w:val="auto"/>
              </w:rPr>
            </w:pPr>
          </w:p>
        </w:tc>
      </w:tr>
      <w:tr>
        <w:trPr>
          <w:trHeight w:val="90"/>
        </w:trPr>
        <w:tc>
          <w:tcPr>
            <w:tcW w:w="342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auto"/>
              </w:rPr>
              <w:t>Other comprehensive loss</w:t>
            </w: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18"/>
        </w:trPr>
        <w:tc>
          <w:tcPr>
            <w:tcW w:w="342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9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(157)</w:t>
            </w: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Foreign currency translation gain</w:t>
            </w: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260" w:type="dxa"/>
            <w:vAlign w:val="bottom"/>
          </w:tcPr>
          <w:p>
            <w:pPr>
              <w:spacing w:after="0"/>
              <w:rPr>
                <w:sz w:val="10"/>
                <w:szCs w:val="10"/>
                <w:color w:val="auto"/>
              </w:rPr>
            </w:pPr>
          </w:p>
        </w:tc>
      </w:tr>
      <w:tr>
        <w:trPr>
          <w:trHeight w:val="109"/>
        </w:trPr>
        <w:tc>
          <w:tcPr>
            <w:tcW w:w="342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Total other comprehensive loss</w:t>
            </w:r>
          </w:p>
        </w:tc>
        <w:tc>
          <w:tcPr>
            <w:tcW w:w="9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40" w:type="dxa"/>
            <w:vAlign w:val="bottom"/>
            <w:gridSpan w:val="2"/>
            <w:shd w:val="clear" w:color="auto" w:fill="CFF0FC"/>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(151)</w:t>
            </w:r>
          </w:p>
        </w:tc>
      </w:tr>
      <w:tr>
        <w:trPr>
          <w:trHeight w:val="109"/>
        </w:trPr>
        <w:tc>
          <w:tcPr>
            <w:tcW w:w="3420" w:type="dxa"/>
            <w:vAlign w:val="bottom"/>
            <w:tcBorders>
              <w:top w:val="single" w:sz="8" w:color="CFF0F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r>
      <w:tr>
        <w:trPr>
          <w:trHeight w:val="158"/>
        </w:trPr>
        <w:tc>
          <w:tcPr>
            <w:tcW w:w="342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Comprehensive loss</w:t>
            </w:r>
          </w:p>
        </w:tc>
        <w:tc>
          <w:tcPr>
            <w:tcW w:w="920" w:type="dxa"/>
            <w:vAlign w:val="bottom"/>
            <w:tcBorders>
              <w:bottom w:val="single" w:sz="8" w:color="auto"/>
            </w:tcBorders>
            <w:shd w:val="clear" w:color="auto" w:fill="CFF0FC"/>
          </w:tcPr>
          <w:p>
            <w:pPr>
              <w:jc w:val="right"/>
              <w:ind w:right="80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(16,004)</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(8,341)</w:t>
            </w:r>
          </w:p>
        </w:tc>
        <w:tc>
          <w:tcPr>
            <w:tcW w:w="260" w:type="dxa"/>
            <w:vAlign w:val="bottom"/>
            <w:tcBorders>
              <w:bottom w:val="single" w:sz="8" w:color="CFF0FC"/>
            </w:tcBorders>
            <w:shd w:val="clear" w:color="auto" w:fill="CFF0FC"/>
          </w:tcPr>
          <w:p>
            <w:pPr>
              <w:spacing w:after="0"/>
              <w:rPr>
                <w:sz w:val="13"/>
                <w:szCs w:val="13"/>
                <w:color w:val="auto"/>
              </w:rPr>
            </w:pPr>
          </w:p>
        </w:tc>
      </w:tr>
      <w:tr>
        <w:trPr>
          <w:trHeight w:val="90"/>
        </w:trPr>
        <w:tc>
          <w:tcPr>
            <w:tcW w:w="3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18"/>
        </w:trPr>
        <w:tc>
          <w:tcPr>
            <w:tcW w:w="34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Net loss per share:</w:t>
            </w:r>
          </w:p>
        </w:tc>
        <w:tc>
          <w:tcPr>
            <w:tcW w:w="9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Basic &amp; diluted</w:t>
            </w:r>
          </w:p>
        </w:tc>
        <w:tc>
          <w:tcPr>
            <w:tcW w:w="920" w:type="dxa"/>
            <w:vAlign w:val="bottom"/>
          </w:tcPr>
          <w:p>
            <w:pPr>
              <w:jc w:val="right"/>
              <w:ind w:right="80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(0.38)</w:t>
            </w:r>
          </w:p>
        </w:tc>
        <w:tc>
          <w:tcPr>
            <w:tcW w:w="380" w:type="dxa"/>
            <w:vAlign w:val="bottom"/>
            <w:gridSpan w:val="2"/>
          </w:tcPr>
          <w:p>
            <w:pPr>
              <w:jc w:val="right"/>
              <w:ind w:right="1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(0.20)</w:t>
            </w:r>
          </w:p>
        </w:tc>
      </w:tr>
      <w:tr>
        <w:trPr>
          <w:trHeight w:val="101"/>
        </w:trPr>
        <w:tc>
          <w:tcPr>
            <w:tcW w:w="342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Weighted-average shares used in computing net loss per</w:t>
            </w:r>
          </w:p>
        </w:tc>
        <w:tc>
          <w:tcPr>
            <w:tcW w:w="9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r>
      <w:tr>
        <w:trPr>
          <w:trHeight w:val="135"/>
        </w:trPr>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share:</w:t>
            </w:r>
          </w:p>
        </w:tc>
        <w:tc>
          <w:tcPr>
            <w:tcW w:w="9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r>
      <w:tr>
        <w:trPr>
          <w:trHeight w:val="148"/>
        </w:trPr>
        <w:tc>
          <w:tcPr>
            <w:tcW w:w="34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Attributable to common stock, basic &amp; diluted</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41,306,110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40,509,646</w:t>
            </w:r>
          </w:p>
        </w:tc>
        <w:tc>
          <w:tcPr>
            <w:tcW w:w="2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-1907540</wp:posOffset>
            </wp:positionV>
            <wp:extent cx="4064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-1907540</wp:posOffset>
            </wp:positionV>
            <wp:extent cx="406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-1593850</wp:posOffset>
            </wp:positionV>
            <wp:extent cx="406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-1593850</wp:posOffset>
            </wp:positionV>
            <wp:extent cx="406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-1286510</wp:posOffset>
            </wp:positionV>
            <wp:extent cx="406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-1286510</wp:posOffset>
            </wp:positionV>
            <wp:extent cx="4064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-1129665</wp:posOffset>
            </wp:positionV>
            <wp:extent cx="4064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-1129665</wp:posOffset>
            </wp:positionV>
            <wp:extent cx="4064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-972820</wp:posOffset>
            </wp:positionV>
            <wp:extent cx="4064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-959485</wp:posOffset>
            </wp:positionV>
            <wp:extent cx="4064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-972820</wp:posOffset>
            </wp:positionV>
            <wp:extent cx="4064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-959485</wp:posOffset>
            </wp:positionV>
            <wp:extent cx="4064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-645795</wp:posOffset>
            </wp:positionV>
            <wp:extent cx="4064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-645795</wp:posOffset>
            </wp:positionV>
            <wp:extent cx="4064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-488950</wp:posOffset>
            </wp:positionV>
            <wp:extent cx="4064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-474980</wp:posOffset>
            </wp:positionV>
            <wp:extent cx="4064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-488950</wp:posOffset>
            </wp:positionV>
            <wp:extent cx="4064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-474980</wp:posOffset>
            </wp:positionV>
            <wp:extent cx="4064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spacing w:after="0" w:line="234"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654685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6985</wp:posOffset>
            </wp:positionV>
            <wp:extent cx="46164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16450" cy="69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60" w:type="dxa"/>
            <w:vAlign w:val="bottom"/>
            <w:gridSpan w:val="5"/>
            <w:vMerge w:val="restart"/>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2060" w:type="dxa"/>
            <w:vAlign w:val="bottom"/>
            <w:tcBorders>
              <w:bottom w:val="single" w:sz="8" w:color="auto"/>
            </w:tcBorders>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8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94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1"/>
                <w:szCs w:val="11"/>
                <w:color w:val="auto"/>
              </w:rPr>
              <w:t>Balance at December 31, 2025</w:t>
            </w:r>
          </w:p>
        </w:tc>
        <w:tc>
          <w:tcPr>
            <w:tcW w:w="104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41,242,005</w:t>
            </w:r>
          </w:p>
        </w:tc>
        <w:tc>
          <w:tcPr>
            <w:tcW w:w="14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3"/>
              <w:spacing w:after="0" w:line="11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41</w:t>
            </w:r>
          </w:p>
        </w:tc>
        <w:tc>
          <w:tcPr>
            <w:tcW w:w="420" w:type="dxa"/>
            <w:vAlign w:val="bottom"/>
            <w:gridSpan w:val="2"/>
            <w:shd w:val="clear" w:color="auto" w:fill="CFF0FC"/>
          </w:tcPr>
          <w:p>
            <w:pPr>
              <w:jc w:val="right"/>
              <w:ind w:right="79"/>
              <w:spacing w:after="0" w:line="11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936,628</w:t>
            </w:r>
          </w:p>
        </w:tc>
        <w:tc>
          <w:tcPr>
            <w:tcW w:w="140" w:type="dxa"/>
            <w:vAlign w:val="bottom"/>
            <w:shd w:val="clear" w:color="auto" w:fill="CFF0FC"/>
          </w:tcPr>
          <w:p>
            <w:pPr>
              <w:spacing w:after="0"/>
              <w:rPr>
                <w:sz w:val="9"/>
                <w:szCs w:val="9"/>
                <w:color w:val="auto"/>
              </w:rPr>
            </w:pPr>
          </w:p>
        </w:tc>
        <w:tc>
          <w:tcPr>
            <w:tcW w:w="18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53</w:t>
            </w:r>
          </w:p>
        </w:tc>
        <w:tc>
          <w:tcPr>
            <w:tcW w:w="12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3"/>
              <w:spacing w:after="0" w:line="112"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(661,039)</w:t>
            </w:r>
          </w:p>
        </w:tc>
        <w:tc>
          <w:tcPr>
            <w:tcW w:w="16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275,683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204,323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(62,208)</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(473)</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(473)</w:t>
            </w: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7,945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7,945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94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1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(120)</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(15,884)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(15,884)</w:t>
            </w:r>
          </w:p>
        </w:tc>
        <w:tc>
          <w:tcPr>
            <w:tcW w:w="0" w:type="dxa"/>
            <w:vAlign w:val="bottom"/>
          </w:tcPr>
          <w:p>
            <w:pPr>
              <w:spacing w:after="0"/>
              <w:rPr>
                <w:sz w:val="1"/>
                <w:szCs w:val="1"/>
                <w:color w:val="auto"/>
              </w:rPr>
            </w:pPr>
          </w:p>
        </w:tc>
      </w:tr>
      <w:tr>
        <w:trPr>
          <w:trHeight w:val="149"/>
        </w:trPr>
        <w:tc>
          <w:tcPr>
            <w:tcW w:w="2940" w:type="dxa"/>
            <w:vAlign w:val="bottom"/>
            <w:tcBorders>
              <w:top w:val="single" w:sz="8" w:color="CFF0FC"/>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2026</w:t>
            </w:r>
          </w:p>
        </w:tc>
        <w:tc>
          <w:tcPr>
            <w:tcW w:w="104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41,384,120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41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79"/>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944,244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(67)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(676,923)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267,295</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-19685</wp:posOffset>
            </wp:positionV>
            <wp:extent cx="6794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-6350</wp:posOffset>
            </wp:positionV>
            <wp:extent cx="6794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-101600</wp:posOffset>
            </wp:positionV>
            <wp:extent cx="6794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-19685</wp:posOffset>
            </wp:positionV>
            <wp:extent cx="679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-6350</wp:posOffset>
            </wp:positionV>
            <wp:extent cx="679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-101600</wp:posOffset>
            </wp:positionV>
            <wp:extent cx="679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-19685</wp:posOffset>
            </wp:positionV>
            <wp:extent cx="6794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-6350</wp:posOffset>
            </wp:positionV>
            <wp:extent cx="679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-101600</wp:posOffset>
            </wp:positionV>
            <wp:extent cx="6794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-19685</wp:posOffset>
            </wp:positionV>
            <wp:extent cx="615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-6350</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-101600</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-19685</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-6350</wp:posOffset>
            </wp:positionV>
            <wp:extent cx="615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-101600</wp:posOffset>
            </wp:positionV>
            <wp:extent cx="615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-19685</wp:posOffset>
            </wp:positionV>
            <wp:extent cx="615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-6350</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-101600</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412750</wp:posOffset>
            </wp:positionV>
            <wp:extent cx="722249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2490"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654685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ectPr>
          <w:pgSz w:w="11900" w:h="16838" w:orient="portrait"/>
          <w:cols w:equalWidth="0" w:num="1">
            <w:col w:w="10320"/>
          </w:cols>
          <w:pgMar w:left="820" w:top="1151" w:right="7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ind w:right="40"/>
        <w:spacing w:after="0" w:line="234"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654685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pacing w:after="0" w:line="2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6985</wp:posOffset>
            </wp:positionV>
            <wp:extent cx="46164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16450" cy="69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60" w:type="dxa"/>
            <w:vAlign w:val="bottom"/>
            <w:gridSpan w:val="5"/>
            <w:vMerge w:val="restart"/>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2060" w:type="dxa"/>
            <w:vAlign w:val="bottom"/>
            <w:tcBorders>
              <w:bottom w:val="single" w:sz="8" w:color="auto"/>
            </w:tcBorders>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80" w:type="dxa"/>
            <w:vAlign w:val="bottom"/>
          </w:tcPr>
          <w:p>
            <w:pPr>
              <w:spacing w:after="0"/>
              <w:rPr>
                <w:sz w:val="14"/>
                <w:szCs w:val="14"/>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94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2024</w:t>
            </w:r>
          </w:p>
        </w:tc>
        <w:tc>
          <w:tcPr>
            <w:tcW w:w="10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40,428,220</w:t>
            </w:r>
          </w:p>
        </w:tc>
        <w:tc>
          <w:tcPr>
            <w:tcW w:w="14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w:t>
            </w:r>
          </w:p>
        </w:tc>
        <w:tc>
          <w:tcPr>
            <w:tcW w:w="420" w:type="dxa"/>
            <w:vAlign w:val="bottom"/>
            <w:gridSpan w:val="2"/>
            <w:shd w:val="clear" w:color="auto" w:fill="CFF0FC"/>
          </w:tcPr>
          <w:p>
            <w:pPr>
              <w:jc w:val="right"/>
              <w:ind w:right="79"/>
              <w:spacing w:after="0" w:line="10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903,127</w:t>
            </w:r>
          </w:p>
        </w:tc>
        <w:tc>
          <w:tcPr>
            <w:tcW w:w="14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378"/>
              <w:spacing w:after="0" w:line="109"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166</w:t>
            </w:r>
          </w:p>
        </w:tc>
        <w:tc>
          <w:tcPr>
            <w:tcW w:w="12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(622,095)</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281,238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210,332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(50,012)</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(1,418)</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(1,418)</w:t>
            </w: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7,140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7,140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94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1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(157)</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(8,190)</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(8,190)</w:t>
            </w:r>
          </w:p>
        </w:tc>
        <w:tc>
          <w:tcPr>
            <w:tcW w:w="0" w:type="dxa"/>
            <w:vAlign w:val="bottom"/>
          </w:tcPr>
          <w:p>
            <w:pPr>
              <w:spacing w:after="0"/>
              <w:rPr>
                <w:sz w:val="1"/>
                <w:szCs w:val="1"/>
                <w:color w:val="auto"/>
              </w:rPr>
            </w:pPr>
          </w:p>
        </w:tc>
      </w:tr>
      <w:tr>
        <w:trPr>
          <w:trHeight w:val="109"/>
        </w:trPr>
        <w:tc>
          <w:tcPr>
            <w:tcW w:w="29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2025</w:t>
            </w:r>
          </w:p>
        </w:tc>
        <w:tc>
          <w:tcPr>
            <w:tcW w:w="10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40,588,540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41</w:t>
            </w:r>
          </w:p>
        </w:tc>
        <w:tc>
          <w:tcPr>
            <w:tcW w:w="2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79"/>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909,545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ind w:right="378"/>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(630,285)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279,316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412750</wp:posOffset>
            </wp:positionV>
            <wp:extent cx="722249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2490"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654685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ectPr>
          <w:pgSz w:w="11900" w:h="16838" w:orient="portrait"/>
          <w:cols w:equalWidth="0" w:num="1">
            <w:col w:w="10320"/>
          </w:cols>
          <w:pgMar w:left="820" w:top="1151" w:right="7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ind w:left="4000"/>
        <w:spacing w:after="0"/>
        <w:rPr>
          <w:sz w:val="20"/>
          <w:szCs w:val="20"/>
          <w:color w:val="auto"/>
        </w:rPr>
      </w:pPr>
      <w:r>
        <w:rPr>
          <w:rFonts w:ascii="Times New Roman" w:cs="Times New Roman" w:eastAsia="Times New Roman" w:hAnsi="Times New Roman"/>
          <w:sz w:val="15"/>
          <w:szCs w:val="15"/>
          <w:b w:val="1"/>
          <w:bCs w:val="1"/>
          <w:color w:val="auto"/>
        </w:rPr>
        <w:t>(UNAUDITED)</w:t>
      </w:r>
    </w:p>
    <w:p>
      <w:pPr>
        <w:ind w:left="404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9525</wp:posOffset>
            </wp:positionV>
            <wp:extent cx="4255135"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86"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37"/>
        </w:trPr>
        <w:tc>
          <w:tcPr>
            <w:tcW w:w="4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140" w:type="dxa"/>
            <w:vAlign w:val="bottom"/>
            <w:shd w:val="clear" w:color="auto" w:fill="CFF0FC"/>
          </w:tcPr>
          <w:p>
            <w:pPr>
              <w:jc w:val="right"/>
              <w:ind w:right="2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(15,884)</w:t>
            </w:r>
          </w:p>
        </w:tc>
        <w:tc>
          <w:tcPr>
            <w:tcW w:w="260" w:type="dxa"/>
            <w:vAlign w:val="bottom"/>
            <w:gridSpan w:val="2"/>
            <w:shd w:val="clear" w:color="auto" w:fill="CFF0FC"/>
          </w:tcPr>
          <w:p>
            <w:pPr>
              <w:jc w:val="right"/>
              <w:ind w:right="13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(8,190)</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834</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776</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Provision for bad debts</w:t>
            </w:r>
          </w:p>
        </w:tc>
        <w:tc>
          <w:tcPr>
            <w:tcW w:w="14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right-of-use lease assets</w:t>
            </w: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discount on short-term investments</w:t>
            </w:r>
          </w:p>
        </w:tc>
        <w:tc>
          <w:tcPr>
            <w:tcW w:w="14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(1,854)</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(2,411)</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7,945</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7,140</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1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Accounts receivable</w:t>
            </w:r>
          </w:p>
        </w:tc>
        <w:tc>
          <w:tcPr>
            <w:tcW w:w="1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936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(928)</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Inventories</w:t>
            </w: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(3,370)</w:t>
            </w: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(1,597)</w:t>
            </w: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Prepaid and other assets</w:t>
            </w:r>
          </w:p>
        </w:tc>
        <w:tc>
          <w:tcPr>
            <w:tcW w:w="1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254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Accounts payable</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1,577</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2,226</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Accrued expenses and other liabilities</w:t>
            </w:r>
          </w:p>
        </w:tc>
        <w:tc>
          <w:tcPr>
            <w:tcW w:w="14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(1,255)</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(6,163)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used in operating activities</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(10,891)</w:t>
            </w: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(8,832)</w:t>
            </w:r>
          </w:p>
        </w:tc>
        <w:tc>
          <w:tcPr>
            <w:tcW w:w="0" w:type="dxa"/>
            <w:vAlign w:val="bottom"/>
          </w:tcPr>
          <w:p>
            <w:pPr>
              <w:spacing w:after="0"/>
              <w:rPr>
                <w:sz w:val="1"/>
                <w:szCs w:val="1"/>
                <w:color w:val="auto"/>
              </w:rPr>
            </w:pPr>
          </w:p>
        </w:tc>
      </w:tr>
      <w:tr>
        <w:trPr>
          <w:trHeight w:val="109"/>
        </w:trPr>
        <w:tc>
          <w:tcPr>
            <w:tcW w:w="458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Investing Activities:</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Purchases of property and equipment</w:t>
            </w: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(759)</w:t>
            </w: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(575)</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Maturities of short-term investments</w:t>
            </w:r>
          </w:p>
        </w:tc>
        <w:tc>
          <w:tcPr>
            <w:tcW w:w="1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110,000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60,000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Purchases of short-term investments</w:t>
            </w: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(100,393)</w:t>
            </w: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(38,570)</w:t>
            </w:r>
          </w:p>
        </w:tc>
        <w:tc>
          <w:tcPr>
            <w:tcW w:w="0" w:type="dxa"/>
            <w:vAlign w:val="bottom"/>
          </w:tcPr>
          <w:p>
            <w:pPr>
              <w:spacing w:after="0"/>
              <w:rPr>
                <w:sz w:val="1"/>
                <w:szCs w:val="1"/>
                <w:color w:val="auto"/>
              </w:rPr>
            </w:pPr>
          </w:p>
        </w:tc>
      </w:tr>
      <w:tr>
        <w:trPr>
          <w:trHeight w:val="109"/>
        </w:trPr>
        <w:tc>
          <w:tcPr>
            <w:tcW w:w="4580" w:type="dxa"/>
            <w:vAlign w:val="bottom"/>
            <w:tcBorders>
              <w:top w:val="single" w:sz="8" w:color="CFF0FC"/>
            </w:tcBorders>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provided by investing activities</w:t>
            </w:r>
          </w:p>
        </w:tc>
        <w:tc>
          <w:tcPr>
            <w:tcW w:w="14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8,848</w:t>
            </w: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20,855</w:t>
            </w: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Financing Activities:</w:t>
            </w: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Proceeds from issuance of common stock</w:t>
            </w:r>
          </w:p>
        </w:tc>
        <w:tc>
          <w:tcPr>
            <w:tcW w:w="1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696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Payments for employee taxes related to stock compensation</w:t>
            </w: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(473)</w:t>
            </w: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(1,418)</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Principal payments on finance lease liabilities</w:t>
            </w:r>
          </w:p>
        </w:tc>
        <w:tc>
          <w:tcPr>
            <w:tcW w:w="14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(336)</w:t>
            </w: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(735)</w:t>
            </w:r>
          </w:p>
        </w:tc>
        <w:tc>
          <w:tcPr>
            <w:tcW w:w="0" w:type="dxa"/>
            <w:vAlign w:val="bottom"/>
          </w:tcPr>
          <w:p>
            <w:pPr>
              <w:spacing w:after="0"/>
              <w:rPr>
                <w:sz w:val="1"/>
                <w:szCs w:val="1"/>
                <w:color w:val="auto"/>
              </w:rPr>
            </w:pPr>
          </w:p>
        </w:tc>
      </w:tr>
      <w:tr>
        <w:trPr>
          <w:trHeight w:val="109"/>
        </w:trPr>
        <w:tc>
          <w:tcPr>
            <w:tcW w:w="458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Effect of foreign exchange rate on cash, cash equivalents and restricted cash</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(2,376)</w:t>
            </w: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11,294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 beginning of period</w:t>
            </w: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20,699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17,456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 end of period</w:t>
            </w:r>
          </w:p>
        </w:tc>
        <w:tc>
          <w:tcPr>
            <w:tcW w:w="140" w:type="dxa"/>
            <w:vAlign w:val="bottom"/>
            <w:tcBorders>
              <w:bottom w:val="single" w:sz="8" w:color="auto"/>
            </w:tcBorders>
            <w:shd w:val="clear" w:color="auto" w:fill="CFF0FC"/>
          </w:tcPr>
          <w:p>
            <w:pPr>
              <w:jc w:val="right"/>
              <w:ind w:right="26"/>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18,323</w:t>
            </w: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28,750</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8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Operating cash flows from operating leases</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980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694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paid for income taxes</w:t>
            </w:r>
          </w:p>
        </w:tc>
        <w:tc>
          <w:tcPr>
            <w:tcW w:w="14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580" w:type="dxa"/>
            <w:vAlign w:val="bottom"/>
          </w:tcPr>
          <w:p>
            <w:pPr>
              <w:ind w:left="140"/>
              <w:spacing w:after="0" w:line="107" w:lineRule="exact"/>
              <w:rPr>
                <w:sz w:val="20"/>
                <w:szCs w:val="20"/>
                <w:color w:val="auto"/>
              </w:rPr>
            </w:pPr>
            <w:r>
              <w:rPr>
                <w:rFonts w:ascii="Times New Roman" w:cs="Times New Roman" w:eastAsia="Times New Roman" w:hAnsi="Times New Roman"/>
                <w:sz w:val="11"/>
                <w:szCs w:val="11"/>
                <w:color w:val="auto"/>
              </w:rPr>
              <w:t>Acquisition of property and equipment included in accounts payable and accrued expenses</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5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and accrued liabilities</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-1567815</wp:posOffset>
            </wp:positionV>
            <wp:extent cx="4064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-1567815</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-1261110</wp:posOffset>
            </wp:positionV>
            <wp:extent cx="4064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-1261110</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-790575</wp:posOffset>
            </wp:positionV>
            <wp:extent cx="4064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-790575</wp:posOffset>
            </wp:positionV>
            <wp:extent cx="476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-476885</wp:posOffset>
            </wp:positionV>
            <wp:extent cx="406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-462915</wp:posOffset>
            </wp:positionV>
            <wp:extent cx="4064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-476885</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-462915</wp:posOffset>
            </wp:positionV>
            <wp:extent cx="476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1 - Organization and Basis of Presentation</w:t>
      </w:r>
    </w:p>
    <w:p>
      <w:pPr>
        <w:spacing w:after="0" w:line="1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1160" w:right="1299" w:firstLine="258"/>
        <w:spacing w:after="0" w:line="260" w:lineRule="auto"/>
        <w:rPr>
          <w:sz w:val="20"/>
          <w:szCs w:val="20"/>
          <w:color w:val="auto"/>
        </w:rPr>
      </w:pPr>
      <w:r>
        <w:rPr>
          <w:rFonts w:ascii="Times New Roman" w:cs="Times New Roman" w:eastAsia="Times New Roman" w:hAnsi="Times New Roman"/>
          <w:sz w:val="14"/>
          <w:szCs w:val="14"/>
          <w:color w:val="auto"/>
        </w:rPr>
        <w:t>RxSight®, Inc. (the “Company”) is a commercial stage technology company dedicated to providing high-quality customized vision to patients following cataract surgery. The Company’s proprietary RxSight®Light Adjustable Lens system (“RxSight system”) is the first and only commercially available premium cataract technology that enables doctors to customize and optimize visual acuity for patients after surgery. The RxSight system is comprised of the Company's RxSight Light Adjustable Lens®(LAL®/LAL+®,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 The Company's products are approved by the United States (“U.S.”) Food and Drug Administration (“FDA”) primarily for sale in the U.S. and have regulatory approval in several foreign countries. The Company began marketing its products in 2019.</w:t>
      </w:r>
    </w:p>
    <w:p>
      <w:pPr>
        <w:spacing w:after="0" w:line="253"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The Company is a Delaware corporation headquartered in Aliso Viejo, California with two wholly owned subsidiaries located in Amsterdam, Netherlands (“RxSight, B.V.”) and Hong Kong (“RxSight, Limited”).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w:t>
      </w:r>
    </w:p>
    <w:p>
      <w:pPr>
        <w:spacing w:after="0" w:line="88"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RxSight, Inc. and its wholly owned subsidiaries. All significant inter-company balances and transactions have been eliminated in consolidation.</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Basis of Presentation and Principles of Consolidation</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2025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2025 Annual Report on Form 10-K filed with the SEC on February 25, 2026. The operating results presented in these unaudited condensed consolidated financial statements are not necessarily indicative of the results that may be expected for any future periods.</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Operating Segments</w:t>
      </w:r>
    </w:p>
    <w:p>
      <w:pPr>
        <w:spacing w:after="0" w:line="13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Company determined that it operates and manages its business (including its non-U.S. subsidiaries) in one reportable segment: the research and development, manufacture and sale of light adjustable lenses and related capital equipment. 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Asset information provided to the CODM is consistent with those reported on the Consolidated Balance Sheets and are primarily attributable to the U.S. The key measure of segment profit and loss that the CODM uses to allocate resources and assess performance is the Company’s consolidated net loss. The table below shows a reconciliation of the Company’s net loss, including the significant expense categories regularly provided to and</w:t>
      </w:r>
    </w:p>
    <w:p>
      <w:pPr>
        <w:spacing w:after="0" w:line="3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1" w:name="page12"/>
    <w:bookmarkEnd w:id="11"/>
    <w:p>
      <w:pPr>
        <w:ind w:left="1160"/>
        <w:spacing w:after="0"/>
        <w:rPr>
          <w:sz w:val="20"/>
          <w:szCs w:val="20"/>
          <w:color w:val="auto"/>
        </w:rPr>
      </w:pPr>
      <w:r>
        <w:rPr>
          <w:rFonts w:ascii="Times New Roman" w:cs="Times New Roman" w:eastAsia="Times New Roman" w:hAnsi="Times New Roman"/>
          <w:sz w:val="14"/>
          <w:szCs w:val="14"/>
          <w:color w:val="auto"/>
        </w:rPr>
        <w:t>reviewed by the CODM, as computed under U.S. GAAP to the Company’s total consolidated net loss in the</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Consolidated Statements of Operations:</w:t>
      </w:r>
    </w:p>
    <w:p>
      <w:pPr>
        <w:spacing w:after="0" w:line="282"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3940" w:type="dxa"/>
            <w:vAlign w:val="bottom"/>
          </w:tcPr>
          <w:p>
            <w:pPr>
              <w:spacing w:after="0"/>
              <w:rPr>
                <w:sz w:val="11"/>
                <w:szCs w:val="11"/>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9"/>
        </w:trPr>
        <w:tc>
          <w:tcPr>
            <w:tcW w:w="3940" w:type="dxa"/>
            <w:vAlign w:val="bottom"/>
          </w:tcPr>
          <w:p>
            <w:pPr>
              <w:spacing w:after="0"/>
              <w:rPr>
                <w:sz w:val="9"/>
                <w:szCs w:val="9"/>
                <w:color w:val="auto"/>
              </w:rPr>
            </w:pPr>
          </w:p>
        </w:tc>
        <w:tc>
          <w:tcPr>
            <w:tcW w:w="780" w:type="dxa"/>
            <w:vAlign w:val="bottom"/>
            <w:tcBorders>
              <w:bottom w:val="single" w:sz="8" w:color="auto"/>
            </w:tcBorders>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auto"/>
            </w:tcBorders>
          </w:tcPr>
          <w:p>
            <w:pPr>
              <w:jc w:val="right"/>
              <w:ind w:right="8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3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8"/>
        </w:trPr>
        <w:tc>
          <w:tcPr>
            <w:tcW w:w="394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Sales</w:t>
            </w:r>
          </w:p>
        </w:tc>
        <w:tc>
          <w:tcPr>
            <w:tcW w:w="780" w:type="dxa"/>
            <w:vAlign w:val="bottom"/>
            <w:shd w:val="clear" w:color="auto" w:fill="CFF0FC"/>
          </w:tcPr>
          <w:p>
            <w:pPr>
              <w:jc w:val="right"/>
              <w:ind w:right="66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30,893</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74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37,895</w:t>
            </w: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Cost of sales</w:t>
            </w: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7,395</w:t>
            </w:r>
          </w:p>
        </w:tc>
        <w:tc>
          <w:tcPr>
            <w:tcW w:w="2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9,566</w:t>
            </w:r>
          </w:p>
        </w:tc>
        <w:tc>
          <w:tcPr>
            <w:tcW w:w="60" w:type="dxa"/>
            <w:vAlign w:val="bottom"/>
          </w:tcPr>
          <w:p>
            <w:pPr>
              <w:spacing w:after="0"/>
              <w:rPr>
                <w:sz w:val="10"/>
                <w:szCs w:val="10"/>
                <w:color w:val="auto"/>
              </w:rPr>
            </w:pPr>
          </w:p>
        </w:tc>
      </w:tr>
      <w:tr>
        <w:trPr>
          <w:trHeight w:val="109"/>
        </w:trPr>
        <w:tc>
          <w:tcPr>
            <w:tcW w:w="394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Gross profit</w:t>
            </w:r>
          </w:p>
        </w:tc>
        <w:tc>
          <w:tcPr>
            <w:tcW w:w="7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23,498</w:t>
            </w:r>
          </w:p>
        </w:tc>
        <w:tc>
          <w:tcPr>
            <w:tcW w:w="2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28,329</w:t>
            </w:r>
          </w:p>
        </w:tc>
        <w:tc>
          <w:tcPr>
            <w:tcW w:w="60" w:type="dxa"/>
            <w:vAlign w:val="bottom"/>
            <w:tcBorders>
              <w:bottom w:val="single" w:sz="8" w:color="CFF0FC"/>
            </w:tcBorders>
            <w:shd w:val="clear" w:color="auto" w:fill="CFF0FC"/>
          </w:tcPr>
          <w:p>
            <w:pPr>
              <w:spacing w:after="0"/>
              <w:rPr>
                <w:sz w:val="9"/>
                <w:szCs w:val="9"/>
                <w:color w:val="auto"/>
              </w:rPr>
            </w:pPr>
          </w:p>
        </w:tc>
      </w:tr>
      <w:tr>
        <w:trPr>
          <w:trHeight w:val="109"/>
        </w:trPr>
        <w:tc>
          <w:tcPr>
            <w:tcW w:w="394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Operating expenses:</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8"/>
        </w:trPr>
        <w:tc>
          <w:tcPr>
            <w:tcW w:w="394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Commercial</w:t>
            </w:r>
          </w:p>
        </w:tc>
        <w:tc>
          <w:tcPr>
            <w:tcW w:w="7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20,210</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21,174</w:t>
            </w: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General and administrative</w:t>
            </w:r>
          </w:p>
        </w:tc>
        <w:tc>
          <w:tcPr>
            <w:tcW w:w="7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11,645</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7,462</w:t>
            </w:r>
          </w:p>
        </w:tc>
        <w:tc>
          <w:tcPr>
            <w:tcW w:w="60" w:type="dxa"/>
            <w:vAlign w:val="bottom"/>
          </w:tcPr>
          <w:p>
            <w:pPr>
              <w:spacing w:after="0"/>
              <w:rPr>
                <w:sz w:val="10"/>
                <w:szCs w:val="10"/>
                <w:color w:val="auto"/>
              </w:rPr>
            </w:pPr>
          </w:p>
        </w:tc>
      </w:tr>
      <w:tr>
        <w:trPr>
          <w:trHeight w:val="118"/>
        </w:trPr>
        <w:tc>
          <w:tcPr>
            <w:tcW w:w="394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Research and development</w:t>
            </w:r>
          </w:p>
        </w:tc>
        <w:tc>
          <w:tcPr>
            <w:tcW w:w="7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7,836</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9,056</w:t>
            </w: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Clinical &amp; regulatory</w:t>
            </w: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1,636</w:t>
            </w:r>
          </w:p>
        </w:tc>
        <w:tc>
          <w:tcPr>
            <w:tcW w:w="2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1,311</w:t>
            </w:r>
          </w:p>
        </w:tc>
        <w:tc>
          <w:tcPr>
            <w:tcW w:w="60" w:type="dxa"/>
            <w:vAlign w:val="bottom"/>
          </w:tcPr>
          <w:p>
            <w:pPr>
              <w:spacing w:after="0"/>
              <w:rPr>
                <w:sz w:val="10"/>
                <w:szCs w:val="10"/>
                <w:color w:val="auto"/>
              </w:rPr>
            </w:pPr>
          </w:p>
        </w:tc>
      </w:tr>
      <w:tr>
        <w:trPr>
          <w:trHeight w:val="109"/>
        </w:trPr>
        <w:tc>
          <w:tcPr>
            <w:tcW w:w="394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Total operating expenses</w:t>
            </w:r>
          </w:p>
        </w:tc>
        <w:tc>
          <w:tcPr>
            <w:tcW w:w="7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41,327</w:t>
            </w:r>
          </w:p>
        </w:tc>
        <w:tc>
          <w:tcPr>
            <w:tcW w:w="2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39,003</w:t>
            </w:r>
          </w:p>
        </w:tc>
        <w:tc>
          <w:tcPr>
            <w:tcW w:w="60" w:type="dxa"/>
            <w:vAlign w:val="bottom"/>
            <w:tcBorders>
              <w:bottom w:val="single" w:sz="8" w:color="CFF0FC"/>
            </w:tcBorders>
            <w:shd w:val="clear" w:color="auto" w:fill="CFF0FC"/>
          </w:tcPr>
          <w:p>
            <w:pPr>
              <w:spacing w:after="0"/>
              <w:rPr>
                <w:sz w:val="9"/>
                <w:szCs w:val="9"/>
                <w:color w:val="auto"/>
              </w:rPr>
            </w:pPr>
          </w:p>
        </w:tc>
      </w:tr>
      <w:tr>
        <w:trPr>
          <w:trHeight w:val="109"/>
        </w:trPr>
        <w:tc>
          <w:tcPr>
            <w:tcW w:w="394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Loss from operations</w:t>
            </w:r>
          </w:p>
        </w:tc>
        <w:tc>
          <w:tcPr>
            <w:tcW w:w="780" w:type="dxa"/>
            <w:vAlign w:val="bottom"/>
          </w:tcPr>
          <w:p>
            <w:pPr>
              <w:spacing w:after="0"/>
              <w:rPr>
                <w:sz w:val="9"/>
                <w:szCs w:val="9"/>
                <w:color w:val="auto"/>
              </w:rPr>
            </w:pPr>
          </w:p>
        </w:tc>
        <w:tc>
          <w:tcPr>
            <w:tcW w:w="68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(17,829)</w:t>
            </w:r>
          </w:p>
        </w:tc>
        <w:tc>
          <w:tcPr>
            <w:tcW w:w="860" w:type="dxa"/>
            <w:vAlign w:val="bottom"/>
          </w:tcPr>
          <w:p>
            <w:pPr>
              <w:spacing w:after="0"/>
              <w:rPr>
                <w:sz w:val="9"/>
                <w:szCs w:val="9"/>
                <w:color w:val="auto"/>
              </w:rPr>
            </w:pPr>
          </w:p>
        </w:tc>
        <w:tc>
          <w:tcPr>
            <w:tcW w:w="44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(10,674)</w:t>
            </w:r>
          </w:p>
        </w:tc>
      </w:tr>
      <w:tr>
        <w:trPr>
          <w:trHeight w:val="118"/>
        </w:trPr>
        <w:tc>
          <w:tcPr>
            <w:tcW w:w="394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income (expense), net:</w:t>
            </w:r>
          </w:p>
        </w:tc>
        <w:tc>
          <w:tcPr>
            <w:tcW w:w="7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expense</w:t>
            </w:r>
          </w:p>
        </w:tc>
        <w:tc>
          <w:tcPr>
            <w:tcW w:w="78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6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w:t>
            </w:r>
          </w:p>
        </w:tc>
      </w:tr>
      <w:tr>
        <w:trPr>
          <w:trHeight w:val="118"/>
        </w:trPr>
        <w:tc>
          <w:tcPr>
            <w:tcW w:w="3940" w:type="dxa"/>
            <w:vAlign w:val="bottom"/>
            <w:tcBorders>
              <w:bottom w:val="single" w:sz="8" w:color="CFF0FC"/>
            </w:tcBorders>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and other income</w:t>
            </w:r>
          </w:p>
        </w:tc>
        <w:tc>
          <w:tcPr>
            <w:tcW w:w="78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1,954</w:t>
            </w:r>
          </w:p>
        </w:tc>
        <w:tc>
          <w:tcPr>
            <w:tcW w:w="24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2,508</w:t>
            </w:r>
          </w:p>
        </w:tc>
        <w:tc>
          <w:tcPr>
            <w:tcW w:w="60" w:type="dxa"/>
            <w:vAlign w:val="bottom"/>
            <w:tcBorders>
              <w:bottom w:val="single" w:sz="8" w:color="CFF0FC"/>
            </w:tcBorders>
            <w:shd w:val="clear" w:color="auto" w:fill="CFF0FC"/>
          </w:tcPr>
          <w:p>
            <w:pPr>
              <w:spacing w:after="0"/>
              <w:rPr>
                <w:sz w:val="10"/>
                <w:szCs w:val="10"/>
                <w:color w:val="auto"/>
              </w:rPr>
            </w:pPr>
          </w:p>
        </w:tc>
      </w:tr>
      <w:tr>
        <w:trPr>
          <w:trHeight w:val="109"/>
        </w:trPr>
        <w:tc>
          <w:tcPr>
            <w:tcW w:w="394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Loss before income taxes</w:t>
            </w:r>
          </w:p>
        </w:tc>
        <w:tc>
          <w:tcPr>
            <w:tcW w:w="780" w:type="dxa"/>
            <w:vAlign w:val="bottom"/>
          </w:tcPr>
          <w:p>
            <w:pPr>
              <w:spacing w:after="0"/>
              <w:rPr>
                <w:sz w:val="9"/>
                <w:szCs w:val="9"/>
                <w:color w:val="auto"/>
              </w:rPr>
            </w:pPr>
          </w:p>
        </w:tc>
        <w:tc>
          <w:tcPr>
            <w:tcW w:w="68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(15,878)</w:t>
            </w:r>
          </w:p>
        </w:tc>
        <w:tc>
          <w:tcPr>
            <w:tcW w:w="860" w:type="dxa"/>
            <w:vAlign w:val="bottom"/>
          </w:tcPr>
          <w:p>
            <w:pPr>
              <w:spacing w:after="0"/>
              <w:rPr>
                <w:sz w:val="9"/>
                <w:szCs w:val="9"/>
                <w:color w:val="auto"/>
              </w:rPr>
            </w:pPr>
          </w:p>
        </w:tc>
        <w:tc>
          <w:tcPr>
            <w:tcW w:w="44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(8,172)</w:t>
            </w:r>
          </w:p>
        </w:tc>
      </w:tr>
      <w:tr>
        <w:trPr>
          <w:trHeight w:val="118"/>
        </w:trPr>
        <w:tc>
          <w:tcPr>
            <w:tcW w:w="394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Income tax expense</w:t>
            </w:r>
          </w:p>
        </w:tc>
        <w:tc>
          <w:tcPr>
            <w:tcW w:w="78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24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60" w:type="dxa"/>
            <w:vAlign w:val="bottom"/>
            <w:tcBorders>
              <w:bottom w:val="single" w:sz="8" w:color="CFF0FC"/>
            </w:tcBorders>
            <w:shd w:val="clear" w:color="auto" w:fill="CFF0FC"/>
          </w:tcPr>
          <w:p>
            <w:pPr>
              <w:spacing w:after="0"/>
              <w:rPr>
                <w:sz w:val="10"/>
                <w:szCs w:val="10"/>
                <w:color w:val="auto"/>
              </w:rPr>
            </w:pPr>
          </w:p>
        </w:tc>
      </w:tr>
      <w:tr>
        <w:trPr>
          <w:trHeight w:val="109"/>
        </w:trPr>
        <w:tc>
          <w:tcPr>
            <w:tcW w:w="394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loss</w:t>
            </w:r>
          </w:p>
        </w:tc>
        <w:tc>
          <w:tcPr>
            <w:tcW w:w="780" w:type="dxa"/>
            <w:vAlign w:val="bottom"/>
            <w:tcBorders>
              <w:bottom w:val="single" w:sz="8" w:color="auto"/>
            </w:tcBorders>
          </w:tcPr>
          <w:p>
            <w:pPr>
              <w:jc w:val="right"/>
              <w:ind w:right="6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(15,884)</w:t>
            </w:r>
          </w:p>
        </w:tc>
        <w:tc>
          <w:tcPr>
            <w:tcW w:w="240" w:type="dxa"/>
            <w:vAlign w:val="bottom"/>
          </w:tcPr>
          <w:p>
            <w:pPr>
              <w:spacing w:after="0"/>
              <w:rPr>
                <w:sz w:val="9"/>
                <w:szCs w:val="9"/>
                <w:color w:val="auto"/>
              </w:rPr>
            </w:pPr>
          </w:p>
        </w:tc>
        <w:tc>
          <w:tcPr>
            <w:tcW w:w="860" w:type="dxa"/>
            <w:vAlign w:val="bottom"/>
            <w:tcBorders>
              <w:bottom w:val="single" w:sz="8" w:color="auto"/>
            </w:tcBorders>
          </w:tcPr>
          <w:p>
            <w:pPr>
              <w:jc w:val="right"/>
              <w:ind w:right="7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(8,190)</w:t>
            </w:r>
          </w:p>
        </w:tc>
        <w:tc>
          <w:tcPr>
            <w:tcW w:w="60" w:type="dxa"/>
            <w:vAlign w:val="bottom"/>
          </w:tcPr>
          <w:p>
            <w:pPr>
              <w:spacing w:after="0"/>
              <w:rPr>
                <w:sz w:val="9"/>
                <w:szCs w:val="9"/>
                <w:color w:val="auto"/>
              </w:rPr>
            </w:pPr>
          </w:p>
        </w:tc>
      </w:tr>
      <w:tr>
        <w:trPr>
          <w:trHeight w:val="20"/>
        </w:trPr>
        <w:tc>
          <w:tcPr>
            <w:tcW w:w="3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-1029335</wp:posOffset>
            </wp:positionV>
            <wp:extent cx="406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-1029335</wp:posOffset>
            </wp:positionV>
            <wp:extent cx="406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-565150</wp:posOffset>
            </wp:positionV>
            <wp:extent cx="406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-565150</wp:posOffset>
            </wp:positionV>
            <wp:extent cx="4064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-258445</wp:posOffset>
            </wp:positionV>
            <wp:extent cx="4064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-258445</wp:posOffset>
            </wp:positionV>
            <wp:extent cx="4064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-101600</wp:posOffset>
            </wp:positionV>
            <wp:extent cx="4064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-101600</wp:posOffset>
            </wp:positionV>
            <wp:extent cx="4064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Liquidity</w:t>
      </w:r>
    </w:p>
    <w:p>
      <w:pPr>
        <w:spacing w:after="0" w:line="120" w:lineRule="exact"/>
        <w:rPr>
          <w:sz w:val="20"/>
          <w:szCs w:val="20"/>
          <w:color w:val="auto"/>
        </w:rPr>
      </w:pPr>
    </w:p>
    <w:p>
      <w:pPr>
        <w:ind w:left="1160" w:right="1719" w:firstLine="258"/>
        <w:spacing w:after="0" w:line="292" w:lineRule="auto"/>
        <w:rPr>
          <w:sz w:val="20"/>
          <w:szCs w:val="20"/>
          <w:color w:val="auto"/>
        </w:rPr>
      </w:pPr>
      <w:r>
        <w:rPr>
          <w:rFonts w:ascii="Times New Roman" w:cs="Times New Roman" w:eastAsia="Times New Roman" w:hAnsi="Times New Roman"/>
          <w:sz w:val="14"/>
          <w:szCs w:val="14"/>
          <w:color w:val="auto"/>
        </w:rPr>
        <w:t>As of March 31, 2026 and December 31, 2025 the Company had cash, cash equivalents and short-term investments of $217.9 million and $228.1 million, respectively.</w:t>
      </w:r>
    </w:p>
    <w:p>
      <w:pPr>
        <w:spacing w:after="0" w:line="7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The Company began generating revenue from its principal operations in 2019. The Company has a limited operating history, and the revenue and income potential of the Company’s business and market continue to develop. The Company has experienced recurring net losses and negative cash flows from operating activities since its inception. For the three months ended March 31, 2026 and 2025, the Company incurred losses from operations of $17.8 million and $10.7 million, respectively. Based on the Company’s anticipated sales in relation to the anticipated costs associated with, among other things, its continuing research and development activities and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5"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near future. Successful transition to attaining profitable operations is dependent upon achieving a level of revenues adequate to support the Company’s cost structure.</w:t>
      </w:r>
    </w:p>
    <w:p>
      <w:pPr>
        <w:spacing w:after="0" w:line="78"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consolidated financial statements. The Company plans to continue to fund its losses from operations using its cash, cash equivalents and short-term investments as of March 31, 2026 and meet its future capital funding needs, as needed, through equity or debt financings, other third-party funding, collaborations, strategic alliances and licensing arrangements or a combination of these.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200" w:lineRule="exact"/>
        <w:rPr>
          <w:sz w:val="20"/>
          <w:szCs w:val="20"/>
          <w:color w:val="auto"/>
        </w:rPr>
      </w:pPr>
    </w:p>
    <w:p>
      <w:pPr>
        <w:spacing w:after="0" w:line="3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2" w:name="page13"/>
    <w:bookmarkEnd w:id="12"/>
    <w:p>
      <w:pPr>
        <w:ind w:left="1160"/>
        <w:spacing w:after="0"/>
        <w:rPr>
          <w:sz w:val="20"/>
          <w:szCs w:val="20"/>
          <w:color w:val="auto"/>
        </w:rPr>
      </w:pPr>
      <w:r>
        <w:rPr>
          <w:rFonts w:ascii="Times New Roman" w:cs="Times New Roman" w:eastAsia="Times New Roman" w:hAnsi="Times New Roman"/>
          <w:sz w:val="14"/>
          <w:szCs w:val="14"/>
          <w:b w:val="1"/>
          <w:bCs w:val="1"/>
          <w:color w:val="auto"/>
        </w:rPr>
        <w:t>Note 2 - Summary of Accounting Policies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20"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preparation of condensed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These estimates and assumptions involve judgments with respect to numerous factors that are difficult to predict. Actual results may differ materially from the estimates used in the preparation of the accompanying condensed consolidated financial statements under different assumptions or conditions.</w:t>
      </w:r>
    </w:p>
    <w:p>
      <w:pPr>
        <w:spacing w:after="0" w:line="9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The Company’s condensed consolidated financial statements reflect the Company’s estimates of the impact of the macroeconomic environment, including the impact of inflation, varying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date of this filing.</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99"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There have been no significant changes to the accounting policies during the three months ended March 31, 2026, as compared to the significant accounting policies described in Note 2 of the “Notes to Consolidated Financial Statements” in the Company’s audited consolidated financial statements included in its Annual Report on Form 10-K filed with the SEC on February 25, 2026.</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Cash Equivalents</w:t>
      </w:r>
    </w:p>
    <w:p>
      <w:pPr>
        <w:spacing w:after="0" w:line="99"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 Cash equivalents are recorded at face value or cost, which approximates fair market value.</w:t>
      </w:r>
    </w:p>
    <w:p>
      <w:pPr>
        <w:spacing w:after="0" w:line="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13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1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267" w:lineRule="exact"/>
        <w:rPr>
          <w:sz w:val="20"/>
          <w:szCs w:val="20"/>
          <w:color w:val="auto"/>
        </w:rPr>
      </w:pPr>
    </w:p>
    <w:p>
      <w:pPr>
        <w:ind w:left="1500" w:hanging="347"/>
        <w:spacing w:after="0"/>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has been in a continuous loss position for over 12 months;</w:t>
      </w:r>
    </w:p>
    <w:p>
      <w:pPr>
        <w:spacing w:after="0" w:line="118" w:lineRule="exact"/>
        <w:rPr>
          <w:rFonts w:ascii="Times New Roman" w:cs="Times New Roman" w:eastAsia="Times New Roman" w:hAnsi="Times New Roman"/>
          <w:sz w:val="14"/>
          <w:szCs w:val="14"/>
          <w:color w:val="auto"/>
        </w:rPr>
      </w:pPr>
    </w:p>
    <w:p>
      <w:pPr>
        <w:ind w:left="1500" w:hanging="347"/>
        <w:spacing w:after="0"/>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to maturity of investments;</w:t>
      </w:r>
    </w:p>
    <w:p>
      <w:pPr>
        <w:spacing w:after="0" w:line="128" w:lineRule="exact"/>
        <w:rPr>
          <w:rFonts w:ascii="Times New Roman" w:cs="Times New Roman" w:eastAsia="Times New Roman" w:hAnsi="Times New Roman"/>
          <w:sz w:val="14"/>
          <w:szCs w:val="14"/>
          <w:color w:val="auto"/>
        </w:rPr>
      </w:pPr>
    </w:p>
    <w:p>
      <w:pPr>
        <w:ind w:left="1500" w:right="1299" w:hanging="347"/>
        <w:spacing w:after="0" w:line="292" w:lineRule="auto"/>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 and ability to hold the investment to maturity and if it is not more likely than not that the Company will be required to sell the investment before recovery of the amortized cost basis;</w:t>
      </w:r>
    </w:p>
    <w:p>
      <w:pPr>
        <w:spacing w:after="0" w:line="70" w:lineRule="exact"/>
        <w:rPr>
          <w:rFonts w:ascii="Times New Roman" w:cs="Times New Roman" w:eastAsia="Times New Roman" w:hAnsi="Times New Roman"/>
          <w:sz w:val="14"/>
          <w:szCs w:val="14"/>
          <w:color w:val="auto"/>
        </w:rPr>
      </w:pPr>
    </w:p>
    <w:p>
      <w:pPr>
        <w:ind w:left="1500" w:hanging="347"/>
        <w:spacing w:after="0"/>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rating, financial condition and near-term prospects of the issuer; and</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13" w:name="page14"/>
    <w:bookmarkEnd w:id="13"/>
    <w:p>
      <w:pPr>
        <w:ind w:left="1500" w:hanging="347"/>
        <w:spacing w:after="0"/>
        <w:tabs>
          <w:tab w:leader="none" w:pos="1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of investments made.</w:t>
      </w:r>
    </w:p>
    <w:p>
      <w:pPr>
        <w:spacing w:after="0" w:line="97" w:lineRule="exact"/>
        <w:rPr>
          <w:sz w:val="20"/>
          <w:szCs w:val="20"/>
          <w:color w:val="auto"/>
        </w:rPr>
      </w:pPr>
    </w:p>
    <w:p>
      <w:pPr>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The Company had $65,000 net unrealized losses and $53,000 of net unrealized gains related to short-term investments as of March 31, 2026 and December 31, 2025, respectively.</w:t>
      </w:r>
    </w:p>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Concentration of Credit Risk and Other Risks and Uncertainties</w:t>
      </w:r>
    </w:p>
    <w:p>
      <w:pPr>
        <w:spacing w:after="0" w:line="13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264"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78" w:lineRule="exact"/>
        <w:rPr>
          <w:sz w:val="20"/>
          <w:szCs w:val="20"/>
          <w:color w:val="auto"/>
        </w:rPr>
      </w:pPr>
    </w:p>
    <w:p>
      <w:pPr>
        <w:ind w:left="1160" w:right="1459" w:firstLine="258"/>
        <w:spacing w:after="0" w:line="265" w:lineRule="auto"/>
        <w:rPr>
          <w:sz w:val="20"/>
          <w:szCs w:val="20"/>
          <w:color w:val="auto"/>
        </w:rPr>
      </w:pPr>
      <w:r>
        <w:rPr>
          <w:rFonts w:ascii="Times New Roman" w:cs="Times New Roman" w:eastAsia="Times New Roman" w:hAnsi="Times New Roman"/>
          <w:sz w:val="14"/>
          <w:szCs w:val="14"/>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56"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 is subject to risks from changes in United States trade policy, including recently announced tariffs. The imposition of retaliatory or new tariffs or increases in existing tariffs on goods imported from countries where we source our products could result in increased material costs for our products. The Company is also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99"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Accounts receivable pertain to contracts with customers who are granted credit by the Company in the ordinary course of business and are presented net of allowances for credit losses. The Company has a diverse customer base and as of March 31, 2026 and December 31, 2025 the Company did not have any customers who individually accounted for greater than 10% of accounts receivable. The Company maintains an allowance for credit losses resulting from the inability of its customers, including ambulatory surgery centers, to make required payments. The allowance for credit losses is calculated quarterly and is developed using an aging of receivables where receivables are segregated into various categories based upon due date, and a historical loss percentage is applied to each category that is adjusted for current receivable composition, counterparty and specific risk and prevailing economic condition and supportable forecasted economic conditions. If a receivable is deemed uncollectible after collection efforts have been exhausted, it is written off against the allowance for credit losses. The Company closely monitors the credit quality of its customers and has historically had minimal write-offs of receivables or uncollected receivables. After evaluation of the collectability of accounts receivable, the Company did not record any significant allowance for credit losses as of March 31, 2026 or December 31, 2025. The Company does not generally require collateral or other security on receivables.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w:t>
      </w:r>
    </w:p>
    <w:p>
      <w:pPr>
        <w:spacing w:after="0" w:line="3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14" w:name="page15"/>
    <w:bookmarkEnd w:id="14"/>
    <w:p>
      <w:pPr>
        <w:ind w:left="1160" w:right="1279"/>
        <w:spacing w:after="0" w:line="274" w:lineRule="auto"/>
        <w:rPr>
          <w:sz w:val="20"/>
          <w:szCs w:val="20"/>
          <w:color w:val="auto"/>
        </w:rPr>
      </w:pPr>
      <w:r>
        <w:rPr>
          <w:rFonts w:ascii="Times New Roman" w:cs="Times New Roman" w:eastAsia="Times New Roman" w:hAnsi="Times New Roman"/>
          <w:sz w:val="14"/>
          <w:szCs w:val="14"/>
          <w:color w:val="auto"/>
        </w:rPr>
        <w:t>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82"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Level 1—Observable inputs such as unadjusted quoted prices in active markets that are accessible at the measurement date for identical unrestricted assets or liabilities.</w:t>
      </w:r>
    </w:p>
    <w:p>
      <w:pPr>
        <w:spacing w:after="0" w:line="59"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9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91"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78"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w:t>
      </w:r>
    </w:p>
    <w:p>
      <w:pPr>
        <w:spacing w:after="0" w:line="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131"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31"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5" w:name="page16"/>
    <w:bookmarkEnd w:id="15"/>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lease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2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13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9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spacing w:after="0" w:line="16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7" w:lineRule="exact"/>
        <w:rPr>
          <w:sz w:val="20"/>
          <w:szCs w:val="20"/>
          <w:color w:val="auto"/>
        </w:rPr>
      </w:pPr>
    </w:p>
    <w:tbl>
      <w:tblPr>
        <w:tblLayout w:type="fixed"/>
        <w:tblInd w:w="1160" w:type="dxa"/>
        <w:tblCellMar>
          <w:top w:w="0" w:type="dxa"/>
          <w:left w:w="0" w:type="dxa"/>
          <w:bottom w:w="0" w:type="dxa"/>
          <w:right w:w="0" w:type="dxa"/>
        </w:tblCellMar>
      </w:tblPr>
      <w:tr>
        <w:trPr>
          <w:trHeight w:val="164"/>
        </w:trPr>
        <w:tc>
          <w:tcPr>
            <w:tcW w:w="38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4"/>
                <w:szCs w:val="14"/>
                <w:color w:val="auto"/>
              </w:rPr>
            </w:pPr>
          </w:p>
        </w:tc>
      </w:tr>
      <w:tr>
        <w:trPr>
          <w:trHeight w:val="148"/>
        </w:trPr>
        <w:tc>
          <w:tcPr>
            <w:tcW w:w="4700" w:type="dxa"/>
            <w:vAlign w:val="bottom"/>
            <w:tcBorders>
              <w:top w:val="single" w:sz="8" w:color="auto"/>
            </w:tcBorders>
            <w:gridSpan w:val="2"/>
          </w:tcPr>
          <w:p>
            <w:pPr>
              <w:ind w:left="140"/>
              <w:spacing w:after="0" w:line="148" w:lineRule="exact"/>
              <w:rPr>
                <w:sz w:val="20"/>
                <w:szCs w:val="20"/>
                <w:color w:val="auto"/>
              </w:rPr>
            </w:pPr>
            <w:r>
              <w:rPr>
                <w:rFonts w:ascii="Times New Roman" w:cs="Times New Roman" w:eastAsia="Times New Roman" w:hAnsi="Times New Roman"/>
                <w:sz w:val="14"/>
                <w:szCs w:val="14"/>
                <w:color w:val="auto"/>
              </w:rPr>
              <w:t>Stock options issued and outstanding under the 2015 Equity</w:t>
            </w: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86"/>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Incentive Plan and the 2021 Equity Incentive Plan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106,456</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4,515,812</w:t>
            </w:r>
          </w:p>
        </w:tc>
        <w:tc>
          <w:tcPr>
            <w:tcW w:w="60" w:type="dxa"/>
            <w:vAlign w:val="bottom"/>
          </w:tcPr>
          <w:p>
            <w:pPr>
              <w:spacing w:after="0"/>
              <w:rPr>
                <w:sz w:val="16"/>
                <w:szCs w:val="16"/>
                <w:color w:val="auto"/>
              </w:rPr>
            </w:pPr>
          </w:p>
        </w:tc>
      </w:tr>
      <w:tr>
        <w:trPr>
          <w:trHeight w:val="158"/>
        </w:trPr>
        <w:tc>
          <w:tcPr>
            <w:tcW w:w="4700" w:type="dxa"/>
            <w:vAlign w:val="bottom"/>
            <w:gridSpan w:val="2"/>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Restricted stock units issued under the 2021 Equity Incentive</w:t>
            </w: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87"/>
        </w:trPr>
        <w:tc>
          <w:tcPr>
            <w:tcW w:w="4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Plan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675,476</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451,324</w:t>
            </w:r>
          </w:p>
        </w:tc>
        <w:tc>
          <w:tcPr>
            <w:tcW w:w="60" w:type="dxa"/>
            <w:vAlign w:val="bottom"/>
            <w:shd w:val="clear" w:color="auto" w:fill="CFF0FC"/>
          </w:tcPr>
          <w:p>
            <w:pPr>
              <w:spacing w:after="0"/>
              <w:rPr>
                <w:sz w:val="16"/>
                <w:szCs w:val="16"/>
                <w:color w:val="auto"/>
              </w:rPr>
            </w:pPr>
          </w:p>
        </w:tc>
      </w:tr>
      <w:tr>
        <w:trPr>
          <w:trHeight w:val="157"/>
        </w:trPr>
        <w:tc>
          <w:tcPr>
            <w:tcW w:w="4700" w:type="dxa"/>
            <w:vAlign w:val="bottom"/>
            <w:gridSpan w:val="2"/>
          </w:tcPr>
          <w:p>
            <w:pPr>
              <w:ind w:left="140"/>
              <w:spacing w:after="0" w:line="157" w:lineRule="exact"/>
              <w:rPr>
                <w:sz w:val="20"/>
                <w:szCs w:val="20"/>
                <w:color w:val="auto"/>
              </w:rPr>
            </w:pPr>
            <w:r>
              <w:rPr>
                <w:rFonts w:ascii="Times New Roman" w:cs="Times New Roman" w:eastAsia="Times New Roman" w:hAnsi="Times New Roman"/>
                <w:sz w:val="14"/>
                <w:szCs w:val="14"/>
                <w:color w:val="auto"/>
              </w:rPr>
              <w:t>Stock issuable in offering period under the 2021 Employee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6"/>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 Purchase Plan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127,382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50,425</w:t>
            </w:r>
          </w:p>
        </w:tc>
        <w:tc>
          <w:tcPr>
            <w:tcW w:w="60" w:type="dxa"/>
            <w:vAlign w:val="bottom"/>
          </w:tcPr>
          <w:p>
            <w:pPr>
              <w:spacing w:after="0"/>
              <w:rPr>
                <w:sz w:val="16"/>
                <w:szCs w:val="16"/>
                <w:color w:val="auto"/>
              </w:rPr>
            </w:pPr>
          </w:p>
        </w:tc>
      </w:tr>
    </w:tbl>
    <w:p>
      <w:pPr>
        <w:spacing w:after="0" w:line="2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20"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and several foreign countries. Customers are primarily comprised of ambulatory surgery centers, hospitals, and physician private practices in the U.S. and distributors internationally.</w:t>
      </w:r>
    </w:p>
    <w:p>
      <w:pPr>
        <w:spacing w:after="0" w:line="86"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Company recognizes revenue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2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16" w:name="page17"/>
    <w:bookmarkEnd w:id="16"/>
    <w:p>
      <w:pPr>
        <w:ind w:left="1160" w:right="1159" w:firstLine="258"/>
        <w:spacing w:after="0" w:line="257" w:lineRule="auto"/>
        <w:rPr>
          <w:sz w:val="20"/>
          <w:szCs w:val="20"/>
          <w:color w:val="auto"/>
        </w:rPr>
      </w:pPr>
      <w:r>
        <w:rPr>
          <w:rFonts w:ascii="Times New Roman" w:cs="Times New Roman" w:eastAsia="Times New Roman" w:hAnsi="Times New Roman"/>
          <w:sz w:val="14"/>
          <w:szCs w:val="14"/>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Revenue for the LDD capital asset is recognized at a point in time either at installation and customer acceptance or upon shipment to our international distributors. Revenue for training is also recorded at a point in time, generally 60 days after installation. Revenue for the device service is recognized ratably over time after installation, generally 12-24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72"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LALs are generally held at customer sites on consignment. The single performance obligation is satisfied, and revenue from sales is recognized for LALs upon customer notification that the LALs have been implanted in a patient or when title transfers to the distributor. For the three months ended March 31, 2026 and 2025, credits related to returns and rebates on list prices were not significant.</w:t>
      </w:r>
    </w:p>
    <w:p>
      <w:pPr>
        <w:spacing w:after="0" w:line="76"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spacing w:after="0" w:line="8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2026 and 2025, revenue from contracts with customers consisted of the following (in thousands):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3"/>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LDD (including training)</w:t>
            </w:r>
          </w:p>
        </w:tc>
        <w:tc>
          <w:tcPr>
            <w:tcW w:w="11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60" w:type="dxa"/>
            <w:vAlign w:val="bottom"/>
            <w:shd w:val="clear" w:color="auto" w:fill="CFF0FC"/>
          </w:tcPr>
          <w:p>
            <w:pPr>
              <w:spacing w:after="0"/>
              <w:rPr>
                <w:sz w:val="14"/>
                <w:szCs w:val="14"/>
                <w:color w:val="auto"/>
              </w:rPr>
            </w:pPr>
          </w:p>
        </w:tc>
      </w:tr>
      <w:tr>
        <w:trPr>
          <w:trHeight w:val="17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LAL</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27,037</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27,186</w:t>
            </w:r>
          </w:p>
        </w:tc>
        <w:tc>
          <w:tcPr>
            <w:tcW w:w="60" w:type="dxa"/>
            <w:vAlign w:val="bottom"/>
          </w:tcPr>
          <w:p>
            <w:pPr>
              <w:spacing w:after="0"/>
              <w:rPr>
                <w:sz w:val="14"/>
                <w:szCs w:val="14"/>
                <w:color w:val="auto"/>
              </w:rPr>
            </w:pPr>
          </w:p>
        </w:tc>
      </w:tr>
      <w:tr>
        <w:trPr>
          <w:trHeight w:val="172"/>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warranty, service contracts, and accessories</w:t>
            </w:r>
          </w:p>
        </w:tc>
        <w:tc>
          <w:tcPr>
            <w:tcW w:w="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sales</w:t>
            </w:r>
          </w:p>
        </w:tc>
        <w:tc>
          <w:tcPr>
            <w:tcW w:w="1180" w:type="dxa"/>
            <w:vAlign w:val="bottom"/>
            <w:gridSpan w:val="2"/>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30,893</w:t>
            </w:r>
          </w:p>
        </w:tc>
        <w:tc>
          <w:tcPr>
            <w:tcW w:w="104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37,895</w:t>
            </w:r>
          </w:p>
        </w:tc>
        <w:tc>
          <w:tcPr>
            <w:tcW w:w="6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-135890</wp:posOffset>
            </wp:positionV>
            <wp:extent cx="4064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79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2026 and 2025, the Company did not have any customers who individually accounted for greater than 10% of revenue.</w:t>
      </w:r>
    </w:p>
    <w:p>
      <w:pPr>
        <w:spacing w:after="0" w:line="59"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represents the contract liabilities from sales activity for the three months ended March 31, 2026 and 2025, respectively (in thousands):</w:t>
      </w:r>
    </w:p>
    <w:p>
      <w:pPr>
        <w:spacing w:after="0" w:line="3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17" w:name="page18"/>
    <w:bookmarkEnd w:id="17"/>
    <w:tbl>
      <w:tblPr>
        <w:tblLayout w:type="fixed"/>
        <w:tblInd w:w="116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740" w:type="dxa"/>
            <w:vAlign w:val="bottom"/>
            <w:gridSpan w:val="2"/>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20" w:type="dxa"/>
            <w:vAlign w:val="bottom"/>
          </w:tcPr>
          <w:p>
            <w:pPr>
              <w:spacing w:after="0"/>
              <w:rPr>
                <w:sz w:val="24"/>
                <w:szCs w:val="24"/>
                <w:color w:val="auto"/>
              </w:rPr>
            </w:pPr>
          </w:p>
        </w:tc>
        <w:tc>
          <w:tcPr>
            <w:tcW w:w="86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2,994</w:t>
            </w:r>
          </w:p>
        </w:tc>
      </w:tr>
      <w:tr>
        <w:trPr>
          <w:trHeight w:val="172"/>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Additions during the period</w:t>
            </w: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1,496</w:t>
            </w:r>
          </w:p>
        </w:tc>
      </w:tr>
      <w:tr>
        <w:trPr>
          <w:trHeight w:val="172"/>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Revenue recognized during the period</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(1,419)</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(1,184)</w:t>
            </w:r>
          </w:p>
        </w:tc>
      </w:tr>
      <w:tr>
        <w:trPr>
          <w:trHeight w:val="203"/>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7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-19685</wp:posOffset>
            </wp:positionV>
            <wp:extent cx="4064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-6350</wp:posOffset>
            </wp:positionV>
            <wp:extent cx="4064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-19685</wp:posOffset>
            </wp:positionV>
            <wp:extent cx="406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-6350</wp:posOffset>
            </wp:positionV>
            <wp:extent cx="406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31" w:lineRule="exact"/>
        <w:rPr>
          <w:sz w:val="20"/>
          <w:szCs w:val="20"/>
          <w:color w:val="auto"/>
        </w:rPr>
      </w:pPr>
    </w:p>
    <w:p>
      <w:pPr>
        <w:jc w:val="both"/>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The Company has two equity incentive compensation plans: the Calhoun Vision, Inc. 2015 Equity Incentive Plan (the “2015 Plan”) and the 2021 Equity Incentive Plan (the “2021 Plan”), which are collectively referred to as the “Equity Plans.” The Company also has an employee stock purchase plan, the 2021 Employee Stock Purchase Plan (“2021 ESPP”).</w:t>
      </w:r>
    </w:p>
    <w:p>
      <w:pPr>
        <w:spacing w:after="0" w:line="76"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condensed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Forfeitures of unvested stock option awards are recognized as reductions of expense as they occur.</w:t>
      </w:r>
    </w:p>
    <w:p>
      <w:pPr>
        <w:spacing w:after="0" w:line="9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Black-Scholes option-pricing model requires the use of assumptions about a number of variables, such as the fair market value of the Company’s common stock, expected volatility, expected term, risk-free interest rate, and dividend yield as discussed below:</w:t>
      </w:r>
    </w:p>
    <w:p>
      <w:pPr>
        <w:spacing w:after="0" w:line="80" w:lineRule="exact"/>
        <w:rPr>
          <w:sz w:val="20"/>
          <w:szCs w:val="20"/>
          <w:color w:val="auto"/>
        </w:rPr>
      </w:pPr>
    </w:p>
    <w:p>
      <w:pPr>
        <w:ind w:left="1600" w:right="1379"/>
        <w:spacing w:after="0" w:line="295" w:lineRule="auto"/>
        <w:rPr>
          <w:sz w:val="20"/>
          <w:szCs w:val="20"/>
          <w:color w:val="auto"/>
        </w:rPr>
      </w:pPr>
      <w:r>
        <w:rPr>
          <w:rFonts w:ascii="Times New Roman" w:cs="Times New Roman" w:eastAsia="Times New Roman" w:hAnsi="Times New Roman"/>
          <w:sz w:val="14"/>
          <w:szCs w:val="14"/>
          <w:i w:val="1"/>
          <w:iCs w:val="1"/>
          <w:color w:val="auto"/>
        </w:rPr>
        <w:t>Fair market value</w:t>
      </w:r>
      <w:r>
        <w:rPr>
          <w:rFonts w:ascii="Times New Roman" w:cs="Times New Roman" w:eastAsia="Times New Roman" w:hAnsi="Times New Roman"/>
          <w:sz w:val="14"/>
          <w:szCs w:val="14"/>
          <w:color w:val="auto"/>
        </w:rPr>
        <w:t>—The fair value of common stock is determined by using the closing price per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as reported on the Nasdaq Global Market.</w:t>
      </w:r>
    </w:p>
    <w:p>
      <w:pPr>
        <w:spacing w:after="0" w:line="55" w:lineRule="exact"/>
        <w:rPr>
          <w:sz w:val="20"/>
          <w:szCs w:val="20"/>
          <w:color w:val="auto"/>
        </w:rPr>
      </w:pPr>
    </w:p>
    <w:p>
      <w:pPr>
        <w:ind w:left="1600" w:right="1379"/>
        <w:spacing w:after="0" w:line="295"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—Effective January 1, 2024, the Company based the expected volatility on the historic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volatility of its common stock.</w:t>
      </w:r>
    </w:p>
    <w:p>
      <w:pPr>
        <w:spacing w:after="0" w:line="66" w:lineRule="exact"/>
        <w:rPr>
          <w:sz w:val="20"/>
          <w:szCs w:val="20"/>
          <w:color w:val="auto"/>
        </w:rPr>
      </w:pPr>
    </w:p>
    <w:p>
      <w:pPr>
        <w:ind w:left="1600" w:right="1359"/>
        <w:spacing w:after="0" w:line="275"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—The Company’s expected term represents the period that the Company’s stock-based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are expected to be outstanding. The Company used the simplified method (based on the mid-point between the vesting date and the end of the contractual term) to determine the expected term.</w:t>
      </w:r>
    </w:p>
    <w:p>
      <w:pPr>
        <w:spacing w:after="0" w:line="80" w:lineRule="exact"/>
        <w:rPr>
          <w:sz w:val="20"/>
          <w:szCs w:val="20"/>
          <w:color w:val="auto"/>
        </w:rPr>
      </w:pPr>
    </w:p>
    <w:p>
      <w:pPr>
        <w:ind w:left="1600" w:right="1379"/>
        <w:spacing w:after="0" w:line="275" w:lineRule="auto"/>
        <w:rPr>
          <w:sz w:val="20"/>
          <w:szCs w:val="20"/>
          <w:color w:val="auto"/>
        </w:rPr>
      </w:pPr>
      <w:r>
        <w:rPr>
          <w:rFonts w:ascii="Times New Roman" w:cs="Times New Roman" w:eastAsia="Times New Roman" w:hAnsi="Times New Roman"/>
          <w:sz w:val="14"/>
          <w:szCs w:val="14"/>
          <w:i w:val="1"/>
          <w:iCs w:val="1"/>
          <w:color w:val="auto"/>
        </w:rPr>
        <w:t>Risk-free interest rate</w:t>
      </w:r>
      <w:r>
        <w:rPr>
          <w:rFonts w:ascii="Times New Roman" w:cs="Times New Roman" w:eastAsia="Times New Roman" w:hAnsi="Times New Roman"/>
          <w:sz w:val="14"/>
          <w:szCs w:val="14"/>
          <w:color w:val="auto"/>
        </w:rPr>
        <w:t>—The risk-free interest rate used is based on the published U.S. Department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Treasury interest rates in effect at the time of stock option grant for zero coupon U.S. Treasury notes with maturities approximating each grant’s expected term.</w:t>
      </w:r>
    </w:p>
    <w:p>
      <w:pPr>
        <w:spacing w:after="0" w:line="134" w:lineRule="exact"/>
        <w:rPr>
          <w:sz w:val="20"/>
          <w:szCs w:val="20"/>
          <w:color w:val="auto"/>
        </w:rPr>
      </w:pPr>
    </w:p>
    <w:p>
      <w:pPr>
        <w:ind w:left="1600" w:right="1579"/>
        <w:spacing w:after="0" w:line="295" w:lineRule="auto"/>
        <w:rPr>
          <w:sz w:val="20"/>
          <w:szCs w:val="20"/>
          <w:color w:val="auto"/>
        </w:rPr>
      </w:pPr>
      <w:r>
        <w:rPr>
          <w:rFonts w:ascii="Times New Roman" w:cs="Times New Roman" w:eastAsia="Times New Roman" w:hAnsi="Times New Roman"/>
          <w:sz w:val="14"/>
          <w:szCs w:val="14"/>
          <w:i w:val="1"/>
          <w:iCs w:val="1"/>
          <w:color w:val="auto"/>
        </w:rPr>
        <w:t>Dividend yield</w:t>
      </w:r>
      <w:r>
        <w:rPr>
          <w:rFonts w:ascii="Times New Roman" w:cs="Times New Roman" w:eastAsia="Times New Roman" w:hAnsi="Times New Roman"/>
          <w:sz w:val="14"/>
          <w:szCs w:val="14"/>
          <w:color w:val="auto"/>
        </w:rPr>
        <w:t>—The Company has never paid dividends on its common stock and has no plans to pay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on its common stock. Therefore, the Company used an expected dividend yield of zero.</w:t>
      </w:r>
    </w:p>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13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March 31, 2026 that are of significance or potential significance to the Company.</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8" w:name="page19"/>
    <w:bookmarkEnd w:id="18"/>
    <w:p>
      <w:pPr>
        <w:ind w:left="1160"/>
        <w:spacing w:after="0"/>
        <w:rPr>
          <w:sz w:val="20"/>
          <w:szCs w:val="20"/>
          <w:color w:val="auto"/>
        </w:rPr>
      </w:pPr>
      <w:r>
        <w:rPr>
          <w:rFonts w:ascii="Times New Roman" w:cs="Times New Roman" w:eastAsia="Times New Roman" w:hAnsi="Times New Roman"/>
          <w:sz w:val="14"/>
          <w:szCs w:val="14"/>
          <w:b w:val="1"/>
          <w:bCs w:val="1"/>
          <w:color w:val="auto"/>
        </w:rPr>
        <w:t>Note 3 – Short-Term Investments</w:t>
      </w:r>
    </w:p>
    <w:p>
      <w:pPr>
        <w:spacing w:after="0" w:line="99"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Short-term investments, principally U.S. Treasury bills, are available-for-sale and consisted of the following (in thousands):</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64"/>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Unrealized Loss, Net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83"/>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200,372</w:t>
            </w: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200,307</w:t>
            </w:r>
          </w:p>
        </w:tc>
      </w:tr>
      <w:tr>
        <w:trPr>
          <w:trHeight w:val="20"/>
        </w:trPr>
        <w:tc>
          <w:tcPr>
            <w:tcW w:w="1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240"/>
        </w:trPr>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64"/>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Unrealized Gain, Net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83"/>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208,126</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208,179</w:t>
            </w:r>
          </w:p>
        </w:tc>
      </w:tr>
      <w:tr>
        <w:trPr>
          <w:trHeight w:val="20"/>
        </w:trPr>
        <w:tc>
          <w:tcPr>
            <w:tcW w:w="1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-442595</wp:posOffset>
            </wp:positionV>
            <wp:extent cx="406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-429260</wp:posOffset>
            </wp:positionV>
            <wp:extent cx="406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-442595</wp:posOffset>
            </wp:positionV>
            <wp:extent cx="406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-429260</wp:posOffset>
            </wp:positionV>
            <wp:extent cx="406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-442595</wp:posOffset>
            </wp:positionV>
            <wp:extent cx="406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-429260</wp:posOffset>
            </wp:positionV>
            <wp:extent cx="4064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-19685</wp:posOffset>
            </wp:positionV>
            <wp:extent cx="4064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-6350</wp:posOffset>
            </wp:positionV>
            <wp:extent cx="4064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-19685</wp:posOffset>
            </wp:positionV>
            <wp:extent cx="4064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-6350</wp:posOffset>
            </wp:positionV>
            <wp:extent cx="4064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All available-for-sale securities held as of March 31, 2026 and December 31, 2025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84"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8"/>
        </w:trPr>
        <w:tc>
          <w:tcPr>
            <w:tcW w:w="3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 consisted of the following (in thousands):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3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4"/>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23,173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21,635</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w:t>
            </w:r>
          </w:p>
        </w:tc>
      </w:tr>
      <w:tr>
        <w:trPr>
          <w:trHeight w:val="172"/>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Work-in-process</w:t>
            </w: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3,555</w:t>
            </w:r>
          </w:p>
        </w:tc>
      </w:tr>
      <w:tr>
        <w:trPr>
          <w:trHeight w:val="16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inventories, gross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33,531</w:t>
            </w:r>
          </w:p>
        </w:tc>
      </w:tr>
      <w:tr>
        <w:trPr>
          <w:trHeight w:val="17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reserve for excess and obsolete inventory</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(1,793)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(1,972)</w:t>
            </w:r>
          </w:p>
        </w:tc>
      </w:tr>
      <w:tr>
        <w:trPr>
          <w:trHeight w:val="20"/>
        </w:trPr>
        <w:tc>
          <w:tcPr>
            <w:tcW w:w="39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r>
      <w:tr>
        <w:trPr>
          <w:trHeight w:val="16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inventories,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34,869</w:t>
            </w:r>
          </w:p>
        </w:tc>
        <w:tc>
          <w:tcPr>
            <w:tcW w:w="2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31,559</w:t>
            </w: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-360680</wp:posOffset>
            </wp:positionV>
            <wp:extent cx="4064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-360680</wp:posOffset>
            </wp:positionV>
            <wp:extent cx="4064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-135890</wp:posOffset>
            </wp:positionV>
            <wp:extent cx="406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-135890</wp:posOffset>
            </wp:positionV>
            <wp:extent cx="4064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At March 31, 2026 and December 31, 2025, finished goods included $6.8 million and $6.9 million of inventory held on consignment at customer sites, respectively.</w:t>
      </w:r>
    </w:p>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5 – Fair Value Measurements</w:t>
      </w:r>
    </w:p>
    <w:p>
      <w:pPr>
        <w:spacing w:after="0" w:line="99"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table below (in thousands) presents information about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spacing w:after="0" w:line="86" w:lineRule="exact"/>
        <w:rPr>
          <w:sz w:val="20"/>
          <w:szCs w:val="20"/>
          <w:color w:val="auto"/>
        </w:rPr>
      </w:pPr>
    </w:p>
    <w:p>
      <w:pPr>
        <w:ind w:left="1160" w:right="1399" w:firstLine="258"/>
        <w:spacing w:after="0" w:line="268" w:lineRule="auto"/>
        <w:rPr>
          <w:sz w:val="20"/>
          <w:szCs w:val="20"/>
          <w:color w:val="auto"/>
        </w:rPr>
      </w:pPr>
      <w:r>
        <w:rPr>
          <w:rFonts w:ascii="Times New Roman" w:cs="Times New Roman" w:eastAsia="Times New Roman" w:hAnsi="Times New Roman"/>
          <w:sz w:val="14"/>
          <w:szCs w:val="14"/>
          <w:color w:val="auto"/>
        </w:rPr>
        <w:t>Money market funds and U.S. Treasury securities are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w:t>
      </w: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Level 1 Assets:</w:t>
            </w:r>
          </w:p>
        </w:tc>
        <w:tc>
          <w:tcPr>
            <w:tcW w:w="4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2060" w:type="dxa"/>
            <w:vAlign w:val="bottom"/>
            <w:tcBorders>
              <w:top w:val="single" w:sz="8" w:color="auto"/>
              <w:right w:val="single" w:sz="8" w:color="CFF0FC"/>
            </w:tcBorders>
            <w:shd w:val="clear" w:color="auto" w:fill="CFF0FC"/>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securities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10,704</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15,025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1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4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200,307</w:t>
            </w: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0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208,179</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211,011</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223,204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color w:val="auto"/>
              </w:rPr>
              <w:t>19</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29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1040" w:type="dxa"/>
            <w:vAlign w:val="bottom"/>
            <w:tcBorders>
              <w:bottom w:val="single" w:sz="8" w:color="9A9A9A"/>
            </w:tcBorders>
          </w:tcPr>
          <w:p>
            <w:pPr>
              <w:spacing w:after="0"/>
              <w:rPr>
                <w:sz w:val="24"/>
                <w:szCs w:val="24"/>
                <w:color w:val="auto"/>
              </w:rPr>
            </w:pPr>
          </w:p>
        </w:tc>
        <w:tc>
          <w:tcPr>
            <w:tcW w:w="194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70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2060" w:type="dxa"/>
            <w:vAlign w:val="bottom"/>
            <w:tcBorders>
              <w:top w:val="single" w:sz="8" w:color="auto"/>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-1090295</wp:posOffset>
            </wp:positionV>
            <wp:extent cx="406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-1090295</wp:posOffset>
            </wp:positionV>
            <wp:extent cx="4064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19" w:name="page20"/>
    <w:bookmarkEnd w:id="19"/>
    <w:p>
      <w:pPr>
        <w:ind w:left="1160"/>
        <w:spacing w:after="0"/>
        <w:rPr>
          <w:sz w:val="20"/>
          <w:szCs w:val="20"/>
          <w:color w:val="auto"/>
        </w:rPr>
      </w:pPr>
      <w:r>
        <w:rPr>
          <w:rFonts w:ascii="Times New Roman" w:cs="Times New Roman" w:eastAsia="Times New Roman" w:hAnsi="Times New Roman"/>
          <w:sz w:val="14"/>
          <w:szCs w:val="14"/>
          <w:b w:val="1"/>
          <w:bCs w:val="1"/>
          <w:color w:val="auto"/>
        </w:rPr>
        <w:t>Note 6 – Stock-Based Compensation Expense</w:t>
      </w:r>
    </w:p>
    <w:p>
      <w:pPr>
        <w:spacing w:after="0" w:line="1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has two equity incentive compensation plans: the 2015 Plan and the 2021 Plan.</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2015 Plan</w:t>
      </w:r>
    </w:p>
    <w:p>
      <w:pPr>
        <w:spacing w:after="0" w:line="133" w:lineRule="exact"/>
        <w:rPr>
          <w:sz w:val="20"/>
          <w:szCs w:val="20"/>
          <w:color w:val="auto"/>
        </w:rPr>
      </w:pPr>
    </w:p>
    <w:p>
      <w:pPr>
        <w:jc w:val="both"/>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The 2015 Plan was originally adopted by the Board and approved by the Company’s stockholders in 2015. In connection with the Company’s initial public offering in July 2021,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2021 Plan</w:t>
      </w:r>
    </w:p>
    <w:p>
      <w:pPr>
        <w:spacing w:after="0" w:line="10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On July 28, 2021, the 2021 Plan was adopted and approved by the Board and stockholders.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6,989,665 shares of common stock.</w:t>
      </w:r>
    </w:p>
    <w:p>
      <w:pPr>
        <w:spacing w:after="0" w:line="80"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lesser of: (i) 7,260,406 shares of the Company's common stock; (ii) 4% of the outstanding shares of the Company's common stock on the last day of the immediately preceding fiscal year; or (iii) such other amount as the administrator may determine. The 2021 Plan is administered by the Board, or a duly authorized committee thereof. On January 1, 2026 and 2025, the number of shares available under the 2021 Plan increased by 1,649,680 and 1,617,128 shares of common stock, respectively, pursuant to this feature. As of March 31, 2026, the number of shares of the Company’s common stock available for future issuance and not subject to outstanding awards under the 2021 Plan was equal to 559,369 shares of common stock.</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2021 ESPP</w:t>
      </w:r>
    </w:p>
    <w:p>
      <w:pPr>
        <w:spacing w:after="0" w:line="101" w:lineRule="exact"/>
        <w:rPr>
          <w:sz w:val="20"/>
          <w:szCs w:val="20"/>
          <w:color w:val="auto"/>
        </w:rPr>
      </w:pPr>
    </w:p>
    <w:p>
      <w:pPr>
        <w:jc w:val="both"/>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On July 28, 2021, the Board and stockholders adopted and approved the 2021 ESPP. As of March 31, 2026, the number of shares of the Company’s common stock available for future issuance under the 2021 ESPP was equal to 394,868 shares of common stock. The initial purchase period began on November 1, 2021.</w:t>
      </w:r>
    </w:p>
    <w:p>
      <w:pPr>
        <w:spacing w:after="0" w:line="82" w:lineRule="exact"/>
        <w:rPr>
          <w:sz w:val="20"/>
          <w:szCs w:val="20"/>
          <w:color w:val="auto"/>
        </w:rPr>
      </w:pPr>
    </w:p>
    <w:p>
      <w:pPr>
        <w:ind w:left="1160" w:right="1179" w:firstLine="258"/>
        <w:spacing w:after="0" w:line="267" w:lineRule="auto"/>
        <w:rPr>
          <w:sz w:val="20"/>
          <w:szCs w:val="20"/>
          <w:color w:val="auto"/>
        </w:rPr>
      </w:pPr>
      <w:r>
        <w:rPr>
          <w:rFonts w:ascii="Times New Roman" w:cs="Times New Roman" w:eastAsia="Times New Roman" w:hAnsi="Times New Roman"/>
          <w:sz w:val="14"/>
          <w:szCs w:val="14"/>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w:t>
      </w:r>
    </w:p>
    <w:p>
      <w:pPr>
        <w:spacing w:after="0" w:line="250"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ESPP will be increased automatically on the first day of each fiscal year beginning with the 2022 fiscal year, by a number equal to the lesser of: (i) 1,452,081 shares; (ii) 1% of the outstanding shares of the Company's common stock on the last day of the immediately preceding fiscal year; or (iii) such other amount as the administrator may determine. The 2021 ESPP is administered by the Board. The Board determined that no additional shares were reserved for issuance on January 1, 2026 and 2025 pursuant to this feature.</w:t>
      </w:r>
    </w:p>
    <w:p>
      <w:pPr>
        <w:spacing w:after="0" w:line="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01" w:lineRule="exact"/>
        <w:rPr>
          <w:sz w:val="20"/>
          <w:szCs w:val="20"/>
          <w:color w:val="auto"/>
        </w:rPr>
      </w:pPr>
    </w:p>
    <w:p>
      <w:pPr>
        <w:jc w:val="both"/>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86"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Stock option awards are granted with an exercise price of no less than 100% of estimated fair market value on the date of grant. Time based option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w:t>
      </w:r>
    </w:p>
    <w:p>
      <w:pPr>
        <w:spacing w:after="0" w:line="3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20" w:name="page21"/>
    <w:bookmarkEnd w:id="20"/>
    <w:p>
      <w:pPr>
        <w:ind w:left="1160" w:right="1339"/>
        <w:spacing w:after="0" w:line="292" w:lineRule="auto"/>
        <w:rPr>
          <w:sz w:val="20"/>
          <w:szCs w:val="20"/>
          <w:color w:val="auto"/>
        </w:rPr>
      </w:pPr>
      <w:r>
        <w:rPr>
          <w:rFonts w:ascii="Times New Roman" w:cs="Times New Roman" w:eastAsia="Times New Roman" w:hAnsi="Times New Roman"/>
          <w:sz w:val="14"/>
          <w:szCs w:val="14"/>
          <w:color w:val="auto"/>
        </w:rPr>
        <w:t>monthly anniversary thereafter for the remaining three years, or (ii) 1/48th of the total number of shares subject to the option vest and become exercisable each month over four years.</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Stock option awards</w:t>
      </w:r>
    </w:p>
    <w:p>
      <w:pPr>
        <w:spacing w:after="0" w:line="10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A summary of the stock option activities related to the Equity Plans for the three months ended March 31, 2026 is presented below:</w:t>
      </w:r>
    </w:p>
    <w:p>
      <w:pPr>
        <w:sectPr>
          <w:pgSz w:w="11900" w:h="16838" w:orient="portrait"/>
          <w:cols w:equalWidth="0" w:num="1">
            <w:col w:w="9019"/>
          </w:cols>
          <w:pgMar w:left="1440" w:top="12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color w:val="auto"/>
        </w:rPr>
        <w:t>Options outstanding as of December 31, 2025</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Granted</w:t>
      </w:r>
    </w:p>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Exercised</w:t>
      </w:r>
    </w:p>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Forfeited</w:t>
      </w:r>
    </w:p>
    <w:p>
      <w:pPr>
        <w:spacing w:after="0" w:line="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Expired</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Options outstanding as of March 31, 2026</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Exercisable as of March 31, 2026</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Weighted Avg</w:t>
            </w:r>
          </w:p>
        </w:tc>
      </w:t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61"/>
        </w:trPr>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Contractual Life</w:t>
            </w:r>
          </w:p>
        </w:tc>
      </w:tr>
      <w:tr>
        <w:trPr>
          <w:trHeight w:val="171"/>
        </w:trPr>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(Years)</w:t>
            </w:r>
          </w:p>
        </w:tc>
      </w:tr>
      <w:tr>
        <w:trPr>
          <w:trHeight w:val="144"/>
        </w:trPr>
        <w:tc>
          <w:tcPr>
            <w:tcW w:w="9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6,556,728</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23.60</w:t>
            </w:r>
          </w:p>
        </w:tc>
        <w:tc>
          <w:tcPr>
            <w:tcW w:w="140" w:type="dxa"/>
            <w:vAlign w:val="bottom"/>
          </w:tcPr>
          <w:p>
            <w:pPr>
              <w:spacing w:after="0"/>
              <w:rPr>
                <w:sz w:val="12"/>
                <w:szCs w:val="12"/>
                <w:color w:val="auto"/>
              </w:rPr>
            </w:pPr>
          </w:p>
        </w:tc>
        <w:tc>
          <w:tcPr>
            <w:tcW w:w="9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6.80</w:t>
            </w:r>
          </w:p>
        </w:tc>
      </w:tr>
      <w:tr>
        <w:trPr>
          <w:trHeight w:val="161"/>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354,770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1"/>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(34,010)</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1"/>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(23,986)</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27.79</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(153,445)</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2"/>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6,700,057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52"/>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4,367,892</w:t>
            </w:r>
          </w:p>
        </w:tc>
        <w:tc>
          <w:tcPr>
            <w:tcW w:w="16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5.69</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-749300</wp:posOffset>
            </wp:positionV>
            <wp:extent cx="4255135" cy="1022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5135" cy="102235"/>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-544830</wp:posOffset>
            </wp:positionV>
            <wp:extent cx="4255135" cy="1022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5135" cy="102235"/>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-340360</wp:posOffset>
            </wp:positionV>
            <wp:extent cx="4255135" cy="1092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55135" cy="10922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-121920</wp:posOffset>
            </wp:positionV>
            <wp:extent cx="4255135" cy="1225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55135" cy="1225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040" w:space="720"/>
            <w:col w:w="4259"/>
          </w:cols>
          <w:pgMar w:left="1440" w:top="1242" w:right="1440" w:bottom="1440" w:gutter="0" w:footer="0" w:header="0"/>
          <w:type w:val="continuous"/>
        </w:sect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As of March 31, 2026 and December 31, 2025 the intrinsic value of options vested was $0.2 million and $0.8 million, respectively, and of all options outstanding was $0.2 million and $1.2 million, respectively. During the three months ended March 31, 2026 and 2025, the total cash received from the exercise of stock options was $0.1 million and $0.7 million, respectively. The total fair value less strike price of these options was $0.2 million and $1.4 million, respectively.</w:t>
      </w:r>
    </w:p>
    <w:p>
      <w:pPr>
        <w:spacing w:after="0" w:line="88"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The Company grants RSUs, under the 2021 Plan . RSUs vest either based solely on the satisfaction of time-based service conditions or on the satisfaction of time-based service conditions combined with performance criteria. RSUs are subject to forfeiture if the holder’s services to the Company terminate before vesting.</w:t>
      </w:r>
    </w:p>
    <w:p>
      <w:pPr>
        <w:spacing w:after="0" w:line="82" w:lineRule="exact"/>
        <w:rPr>
          <w:sz w:val="20"/>
          <w:szCs w:val="20"/>
          <w:color w:val="auto"/>
        </w:rPr>
      </w:pPr>
    </w:p>
    <w:p>
      <w:pPr>
        <w:ind w:left="1160" w:right="1599" w:firstLine="258"/>
        <w:spacing w:after="0" w:line="292" w:lineRule="auto"/>
        <w:rPr>
          <w:sz w:val="20"/>
          <w:szCs w:val="20"/>
          <w:color w:val="auto"/>
        </w:rPr>
      </w:pPr>
      <w:r>
        <w:rPr>
          <w:rFonts w:ascii="Times New Roman" w:cs="Times New Roman" w:eastAsia="Times New Roman" w:hAnsi="Times New Roman"/>
          <w:sz w:val="14"/>
          <w:szCs w:val="14"/>
          <w:color w:val="auto"/>
        </w:rPr>
        <w:t>A summary of non-vested restricted stock unit activities for the three months ended March 31, 2026 is as follows:</w:t>
      </w:r>
    </w:p>
    <w:p>
      <w:pPr>
        <w:spacing w:after="0" w:line="6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Weight</w:t>
            </w:r>
          </w:p>
        </w:tc>
      </w:t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ed</w:t>
            </w:r>
          </w:p>
        </w:tc>
      </w:t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Averag</w:t>
            </w:r>
          </w:p>
        </w:tc>
      </w:t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w:t>
            </w:r>
          </w:p>
        </w:tc>
      </w:t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Grant</w:t>
            </w:r>
          </w:p>
        </w:tc>
      </w:t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71"/>
        </w:trPr>
        <w:tc>
          <w:tcPr>
            <w:tcW w:w="2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Restricted stock units</w:t>
            </w:r>
          </w:p>
        </w:tc>
        <w:tc>
          <w:tcPr>
            <w:tcW w:w="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Time-based</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and Time-based</w:t>
            </w:r>
          </w:p>
        </w:tc>
        <w:tc>
          <w:tcPr>
            <w:tcW w:w="1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65"/>
        </w:trPr>
        <w:tc>
          <w:tcPr>
            <w:tcW w:w="2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Unvested at December 31, 2025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812,227</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812,227</w:t>
            </w:r>
          </w:p>
        </w:tc>
        <w:tc>
          <w:tcPr>
            <w:tcW w:w="10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60" w:type="dxa"/>
            <w:vAlign w:val="bottom"/>
            <w:shd w:val="clear" w:color="auto" w:fill="CFF0FC"/>
          </w:tcPr>
          <w:p>
            <w:pPr>
              <w:spacing w:after="0"/>
              <w:rPr>
                <w:sz w:val="14"/>
                <w:szCs w:val="14"/>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991,277</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649,097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1,640,374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60" w:type="dxa"/>
            <w:vAlign w:val="bottom"/>
          </w:tcPr>
          <w:p>
            <w:pPr>
              <w:spacing w:after="0"/>
              <w:rPr>
                <w:sz w:val="14"/>
                <w:szCs w:val="14"/>
                <w:color w:val="auto"/>
              </w:rPr>
            </w:pPr>
          </w:p>
        </w:tc>
      </w:tr>
      <w:tr>
        <w:trPr>
          <w:trHeight w:val="16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Vested</w:t>
            </w: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(170,313)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(170,313)</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60" w:type="dxa"/>
            <w:vAlign w:val="bottom"/>
            <w:shd w:val="clear" w:color="auto" w:fill="CFF0FC"/>
          </w:tcPr>
          <w:p>
            <w:pPr>
              <w:spacing w:after="0"/>
              <w:rPr>
                <w:sz w:val="14"/>
                <w:szCs w:val="14"/>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(51,012)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(51,012)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60" w:type="dxa"/>
            <w:vAlign w:val="bottom"/>
          </w:tcPr>
          <w:p>
            <w:pPr>
              <w:spacing w:after="0"/>
              <w:rPr>
                <w:sz w:val="14"/>
                <w:szCs w:val="14"/>
                <w:color w:val="auto"/>
              </w:rPr>
            </w:pPr>
          </w:p>
        </w:tc>
      </w:tr>
      <w:tr>
        <w:trPr>
          <w:trHeight w:val="192"/>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Unvested at March 31, 2026</w:t>
            </w:r>
          </w:p>
        </w:tc>
        <w:tc>
          <w:tcPr>
            <w:tcW w:w="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1,582,179</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649,097</w:t>
            </w: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2,231,276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6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-19685</wp:posOffset>
            </wp:positionV>
            <wp:extent cx="406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-6350</wp:posOffset>
            </wp:positionV>
            <wp:extent cx="4064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-19685</wp:posOffset>
            </wp:positionV>
            <wp:extent cx="406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-6350</wp:posOffset>
            </wp:positionV>
            <wp:extent cx="40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-19685</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-6350</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Stock-based compensation expense was classified in the accompanying condensed consolidated statements of operations and comprehensive income (loss) as follows (in thousands):</w:t>
      </w:r>
    </w:p>
    <w:p>
      <w:pPr>
        <w:spacing w:after="0" w:line="72"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20" w:type="dxa"/>
            <w:vAlign w:val="bottom"/>
            <w:gridSpan w:val="2"/>
            <w:shd w:val="clear" w:color="auto" w:fill="CFF0FC"/>
          </w:tcPr>
          <w:p>
            <w:pPr>
              <w:jc w:val="right"/>
              <w:ind w:right="99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92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60" w:type="dxa"/>
            <w:vAlign w:val="bottom"/>
            <w:shd w:val="clear" w:color="auto" w:fill="CFF0FC"/>
          </w:tcPr>
          <w:p>
            <w:pPr>
              <w:spacing w:after="0"/>
              <w:rPr>
                <w:sz w:val="13"/>
                <w:szCs w:val="13"/>
                <w:color w:val="auto"/>
              </w:rPr>
            </w:pPr>
          </w:p>
        </w:tc>
      </w:tr>
      <w:tr>
        <w:trPr>
          <w:trHeight w:val="16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4,714</w:t>
            </w:r>
          </w:p>
        </w:tc>
        <w:tc>
          <w:tcPr>
            <w:tcW w:w="60" w:type="dxa"/>
            <w:vAlign w:val="bottom"/>
          </w:tcPr>
          <w:p>
            <w:pPr>
              <w:spacing w:after="0"/>
              <w:rPr>
                <w:sz w:val="14"/>
                <w:szCs w:val="14"/>
                <w:color w:val="auto"/>
              </w:rPr>
            </w:pPr>
          </w:p>
        </w:tc>
      </w:tr>
      <w:tr>
        <w:trPr>
          <w:trHeight w:val="161"/>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52"/>
        </w:trPr>
        <w:tc>
          <w:tcPr>
            <w:tcW w:w="3740" w:type="dxa"/>
            <w:vAlign w:val="bottom"/>
          </w:tcPr>
          <w:p>
            <w:pPr>
              <w:spacing w:after="0"/>
              <w:rPr>
                <w:sz w:val="13"/>
                <w:szCs w:val="13"/>
                <w:color w:val="auto"/>
              </w:rPr>
            </w:pPr>
          </w:p>
        </w:tc>
        <w:tc>
          <w:tcPr>
            <w:tcW w:w="1120" w:type="dxa"/>
            <w:vAlign w:val="bottom"/>
            <w:gridSpan w:val="2"/>
          </w:tcPr>
          <w:p>
            <w:pPr>
              <w:jc w:val="right"/>
              <w:ind w:right="99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7,945</w:t>
            </w:r>
          </w:p>
        </w:tc>
        <w:tc>
          <w:tcPr>
            <w:tcW w:w="920" w:type="dxa"/>
            <w:vAlign w:val="bottom"/>
            <w:gridSpan w:val="2"/>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7,140</w:t>
            </w:r>
          </w:p>
        </w:tc>
        <w:tc>
          <w:tcPr>
            <w:tcW w:w="60" w:type="dxa"/>
            <w:vAlign w:val="bottom"/>
          </w:tcPr>
          <w:p>
            <w:pPr>
              <w:spacing w:after="0"/>
              <w:rPr>
                <w:sz w:val="13"/>
                <w:szCs w:val="13"/>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-128905</wp:posOffset>
            </wp:positionV>
            <wp:extent cx="4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-128905</wp:posOffset>
            </wp:positionV>
            <wp:extent cx="406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As of March 31, 2026 and December 31, 2025, there were 2,332,165 and 2,307,812 unvested options, respectively. As of March 31, 2026 and December 31, 2025, total unrecognized expense related to unvested stock</w:t>
      </w:r>
    </w:p>
    <w:p>
      <w:pPr>
        <w:spacing w:after="0" w:line="3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type w:val="continuous"/>
        </w:sectPr>
      </w:pPr>
    </w:p>
    <w:bookmarkStart w:id="21" w:name="page22"/>
    <w:bookmarkEnd w:id="21"/>
    <w:p>
      <w:pPr>
        <w:ind w:left="1160" w:right="1759"/>
        <w:spacing w:after="0" w:line="292" w:lineRule="auto"/>
        <w:rPr>
          <w:sz w:val="20"/>
          <w:szCs w:val="20"/>
          <w:color w:val="auto"/>
        </w:rPr>
      </w:pPr>
      <w:r>
        <w:rPr>
          <w:rFonts w:ascii="Times New Roman" w:cs="Times New Roman" w:eastAsia="Times New Roman" w:hAnsi="Times New Roman"/>
          <w:sz w:val="14"/>
          <w:szCs w:val="14"/>
          <w:color w:val="auto"/>
        </w:rPr>
        <w:t>options was approximately $35.7 million and $43.5 million, respectively. Both amounts are expected to be recognized over a weighted average period of approximately 2.5 and 2.5 years, respectively.</w:t>
      </w:r>
    </w:p>
    <w:p>
      <w:pPr>
        <w:spacing w:after="0" w:line="70"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2026, and December 31, 2025, total unrecognized expense related to non-vested restricted stock units was approximately $21.4 million and $17.8 million, respectively. The unrecognized compensation cost is expected to be recognized over a weighted average period of 1.8 years and 2.1 years, respectively.</w:t>
      </w:r>
    </w:p>
    <w:p>
      <w:pPr>
        <w:spacing w:after="0" w:line="71"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range and weighted-average assumptions, used in the Black-Scholes option pricing model to determine the fair value of stock options:</w:t>
      </w:r>
    </w:p>
    <w:p>
      <w:pPr>
        <w:spacing w:after="0" w:line="65"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09"/>
        </w:trPr>
        <w:tc>
          <w:tcPr>
            <w:tcW w:w="1700" w:type="dxa"/>
            <w:vAlign w:val="bottom"/>
          </w:tcPr>
          <w:p>
            <w:pPr>
              <w:spacing w:after="0"/>
              <w:rPr>
                <w:sz w:val="9"/>
                <w:szCs w:val="9"/>
                <w:color w:val="auto"/>
              </w:rPr>
            </w:pPr>
          </w:p>
        </w:tc>
        <w:tc>
          <w:tcPr>
            <w:tcW w:w="138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3"/>
          </w:tcPr>
          <w:p>
            <w:pPr>
              <w:jc w:val="right"/>
              <w:ind w:right="103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9"/>
        </w:trPr>
        <w:tc>
          <w:tcPr>
            <w:tcW w:w="1700" w:type="dxa"/>
            <w:vAlign w:val="bottom"/>
          </w:tcPr>
          <w:p>
            <w:pPr>
              <w:spacing w:after="0"/>
              <w:rPr>
                <w:sz w:val="9"/>
                <w:szCs w:val="9"/>
                <w:color w:val="auto"/>
              </w:rPr>
            </w:pPr>
          </w:p>
        </w:tc>
        <w:tc>
          <w:tcPr>
            <w:tcW w:w="1180" w:type="dxa"/>
            <w:vAlign w:val="bottom"/>
            <w:tcBorders>
              <w:bottom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Range</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center"/>
              <w:ind w:right="13"/>
              <w:spacing w:after="0" w:line="109"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20" w:type="dxa"/>
            <w:vAlign w:val="bottom"/>
          </w:tcPr>
          <w:p>
            <w:pPr>
              <w:spacing w:after="0"/>
              <w:rPr>
                <w:sz w:val="9"/>
                <w:szCs w:val="9"/>
                <w:color w:val="auto"/>
              </w:rPr>
            </w:pPr>
          </w:p>
        </w:tc>
        <w:tc>
          <w:tcPr>
            <w:tcW w:w="1080" w:type="dxa"/>
            <w:vAlign w:val="bottom"/>
            <w:tcBorders>
              <w:bottom w:val="single" w:sz="8" w:color="auto"/>
            </w:tcBorders>
          </w:tcPr>
          <w:p>
            <w:pPr>
              <w:jc w:val="center"/>
              <w:ind w:left="11"/>
              <w:spacing w:after="0" w:line="109" w:lineRule="exact"/>
              <w:rPr>
                <w:sz w:val="20"/>
                <w:szCs w:val="20"/>
                <w:color w:val="auto"/>
              </w:rPr>
            </w:pPr>
            <w:r>
              <w:rPr>
                <w:rFonts w:ascii="Times New Roman" w:cs="Times New Roman" w:eastAsia="Times New Roman" w:hAnsi="Times New Roman"/>
                <w:sz w:val="11"/>
                <w:szCs w:val="11"/>
                <w:b w:val="1"/>
                <w:bCs w:val="1"/>
                <w:color w:val="auto"/>
              </w:rPr>
              <w:t>Range</w:t>
            </w: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63"/>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38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4"/>
                <w:szCs w:val="14"/>
                <w:color w:val="auto"/>
              </w:rPr>
              <w:t>72.0% to 73.0%</w:t>
            </w:r>
          </w:p>
        </w:tc>
        <w:tc>
          <w:tcPr>
            <w:tcW w:w="1060" w:type="dxa"/>
            <w:vAlign w:val="bottom"/>
            <w:shd w:val="clear" w:color="auto" w:fill="CFF0FC"/>
          </w:tcPr>
          <w:p>
            <w:pPr>
              <w:jc w:val="center"/>
              <w:ind w:right="33"/>
              <w:spacing w:after="0"/>
              <w:rPr>
                <w:sz w:val="20"/>
                <w:szCs w:val="20"/>
                <w:color w:val="auto"/>
              </w:rPr>
            </w:pPr>
            <w:r>
              <w:rPr>
                <w:rFonts w:ascii="Times New Roman" w:cs="Times New Roman" w:eastAsia="Times New Roman" w:hAnsi="Times New Roman"/>
                <w:sz w:val="14"/>
                <w:szCs w:val="14"/>
                <w:color w:val="auto"/>
                <w:w w:val="99"/>
              </w:rPr>
              <w:t>73.0%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52.0% to 66.0%</w:t>
            </w:r>
          </w:p>
        </w:tc>
        <w:tc>
          <w:tcPr>
            <w:tcW w:w="1360" w:type="dxa"/>
            <w:vAlign w:val="bottom"/>
            <w:gridSpan w:val="3"/>
            <w:shd w:val="clear" w:color="auto" w:fill="CFF0FC"/>
          </w:tcPr>
          <w:p>
            <w:pPr>
              <w:jc w:val="center"/>
              <w:ind w:left="131"/>
              <w:spacing w:after="0"/>
              <w:rPr>
                <w:sz w:val="20"/>
                <w:szCs w:val="20"/>
                <w:color w:val="auto"/>
              </w:rPr>
            </w:pPr>
            <w:r>
              <w:rPr>
                <w:rFonts w:ascii="Times New Roman" w:cs="Times New Roman" w:eastAsia="Times New Roman" w:hAnsi="Times New Roman"/>
                <w:sz w:val="14"/>
                <w:szCs w:val="14"/>
                <w:color w:val="auto"/>
                <w:w w:val="99"/>
              </w:rPr>
              <w:t>65.8%</w:t>
            </w:r>
          </w:p>
        </w:tc>
      </w:tr>
      <w:tr>
        <w:trPr>
          <w:trHeight w:val="17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3.6% to 4.0%</w:t>
            </w: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4"/>
                <w:szCs w:val="14"/>
                <w:color w:val="auto"/>
              </w:rPr>
            </w:pPr>
          </w:p>
        </w:tc>
        <w:tc>
          <w:tcPr>
            <w:tcW w:w="10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4.0% to 4.8%</w:t>
            </w:r>
          </w:p>
        </w:tc>
        <w:tc>
          <w:tcPr>
            <w:tcW w:w="1360" w:type="dxa"/>
            <w:vAlign w:val="bottom"/>
            <w:gridSpan w:val="3"/>
          </w:tcPr>
          <w:p>
            <w:pPr>
              <w:jc w:val="center"/>
              <w:ind w:left="111"/>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38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4"/>
                <w:szCs w:val="14"/>
                <w:color w:val="auto"/>
              </w:rPr>
              <w:t>5.5 to 6.1 years</w:t>
            </w:r>
          </w:p>
        </w:tc>
        <w:tc>
          <w:tcPr>
            <w:tcW w:w="1060" w:type="dxa"/>
            <w:vAlign w:val="bottom"/>
            <w:shd w:val="clear" w:color="auto" w:fill="CFF0FC"/>
          </w:tcPr>
          <w:p>
            <w:pPr>
              <w:jc w:val="center"/>
              <w:ind w:right="33"/>
              <w:spacing w:after="0"/>
              <w:rPr>
                <w:sz w:val="20"/>
                <w:szCs w:val="20"/>
                <w:color w:val="auto"/>
              </w:rPr>
            </w:pPr>
            <w:r>
              <w:rPr>
                <w:rFonts w:ascii="Times New Roman" w:cs="Times New Roman" w:eastAsia="Times New Roman" w:hAnsi="Times New Roman"/>
                <w:sz w:val="14"/>
                <w:szCs w:val="14"/>
                <w:color w:val="auto"/>
              </w:rPr>
              <w:t>6.0 years</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5.5 to 6.1 years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6.0 years</w:t>
            </w:r>
          </w:p>
        </w:tc>
      </w:tr>
      <w:tr>
        <w:trPr>
          <w:trHeight w:val="17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4"/>
                <w:szCs w:val="14"/>
                <w:color w:val="auto"/>
              </w:rPr>
              <w:t>0.0%</w:t>
            </w:r>
          </w:p>
        </w:tc>
        <w:tc>
          <w:tcPr>
            <w:tcW w:w="12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0.0%</w:t>
            </w:r>
          </w:p>
        </w:tc>
        <w:tc>
          <w:tcPr>
            <w:tcW w:w="1360" w:type="dxa"/>
            <w:vAlign w:val="bottom"/>
            <w:gridSpan w:val="3"/>
          </w:tcPr>
          <w:p>
            <w:pPr>
              <w:jc w:val="center"/>
              <w:ind w:left="111"/>
              <w:spacing w:after="0"/>
              <w:rPr>
                <w:sz w:val="20"/>
                <w:szCs w:val="20"/>
                <w:color w:val="auto"/>
              </w:rPr>
            </w:pPr>
            <w:r>
              <w:rPr>
                <w:rFonts w:ascii="Times New Roman" w:cs="Times New Roman" w:eastAsia="Times New Roman" w:hAnsi="Times New Roman"/>
                <w:sz w:val="14"/>
                <w:szCs w:val="14"/>
                <w:color w:val="auto"/>
              </w:rPr>
              <w:t>0.0%</w:t>
            </w:r>
          </w:p>
        </w:tc>
      </w:tr>
      <w:tr>
        <w:trPr>
          <w:trHeight w:val="172"/>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Grant date fair value</w:t>
            </w:r>
          </w:p>
        </w:tc>
        <w:tc>
          <w:tcPr>
            <w:tcW w:w="1380" w:type="dxa"/>
            <w:vAlign w:val="bottom"/>
            <w:gridSpan w:val="3"/>
            <w:shd w:val="clear" w:color="auto" w:fill="CFF0FC"/>
          </w:tcPr>
          <w:p>
            <w:pPr>
              <w:jc w:val="center"/>
              <w:ind w:right="200"/>
              <w:spacing w:after="0"/>
              <w:rPr>
                <w:sz w:val="20"/>
                <w:szCs w:val="20"/>
                <w:color w:val="auto"/>
              </w:rPr>
            </w:pPr>
            <w:r>
              <w:rPr>
                <w:rFonts w:ascii="Times New Roman" w:cs="Times New Roman" w:eastAsia="Times New Roman" w:hAnsi="Times New Roman"/>
                <w:sz w:val="14"/>
                <w:szCs w:val="14"/>
                <w:color w:val="auto"/>
              </w:rPr>
              <w:t>$6.44 to $10.09</w:t>
            </w:r>
          </w:p>
        </w:tc>
        <w:tc>
          <w:tcPr>
            <w:tcW w:w="1060" w:type="dxa"/>
            <w:vAlign w:val="bottom"/>
            <w:shd w:val="clear" w:color="auto" w:fill="CFF0FC"/>
          </w:tcPr>
          <w:p>
            <w:pPr>
              <w:jc w:val="center"/>
              <w:ind w:right="33"/>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$24.84 to $33.87</w:t>
            </w:r>
          </w:p>
        </w:tc>
        <w:tc>
          <w:tcPr>
            <w:tcW w:w="1360" w:type="dxa"/>
            <w:vAlign w:val="bottom"/>
            <w:gridSpan w:val="3"/>
            <w:shd w:val="clear" w:color="auto" w:fill="CFF0FC"/>
          </w:tcPr>
          <w:p>
            <w:pPr>
              <w:jc w:val="center"/>
              <w:ind w:left="131"/>
              <w:spacing w:after="0"/>
              <w:rPr>
                <w:sz w:val="20"/>
                <w:szCs w:val="20"/>
                <w:color w:val="auto"/>
              </w:rPr>
            </w:pPr>
            <w:r>
              <w:rPr>
                <w:rFonts w:ascii="Times New Roman" w:cs="Times New Roman" w:eastAsia="Times New Roman" w:hAnsi="Times New Roman"/>
                <w:sz w:val="14"/>
                <w:szCs w:val="14"/>
                <w:color w:val="auto"/>
              </w:rPr>
              <w:t>$28.18</w:t>
            </w:r>
          </w:p>
        </w:tc>
      </w:tr>
    </w:tbl>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33"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Each share of common stock is entitled to one vote. Common stock reserved for future issuance consisted of the following:</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56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 issued and outstanding under the Equity Plans</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6,700,057</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6,556,728</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the 2021 Plan</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559,369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613,210</w:t>
            </w:r>
          </w:p>
        </w:tc>
        <w:tc>
          <w:tcPr>
            <w:tcW w:w="0" w:type="dxa"/>
            <w:vAlign w:val="bottom"/>
          </w:tcPr>
          <w:p>
            <w:pPr>
              <w:spacing w:after="0"/>
              <w:rPr>
                <w:sz w:val="1"/>
                <w:szCs w:val="1"/>
                <w:color w:val="auto"/>
              </w:rPr>
            </w:pPr>
          </w:p>
        </w:tc>
      </w:tr>
      <w:tr>
        <w:trPr>
          <w:trHeight w:val="17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 issued under the 2021 Plan</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2,231,276</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813,199</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2021 ESPP</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394,868</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394,868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9,885,570</w:t>
            </w:r>
          </w:p>
        </w:tc>
        <w:tc>
          <w:tcPr>
            <w:tcW w:w="1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8,378,005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-19685</wp:posOffset>
            </wp:positionV>
            <wp:extent cx="4064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-6350</wp:posOffset>
            </wp:positionV>
            <wp:extent cx="406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7 – Leases</w:t>
      </w:r>
    </w:p>
    <w:p>
      <w:pPr>
        <w:spacing w:after="0" w:line="99"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spacing w:after="0" w:line="86" w:lineRule="exact"/>
        <w:rPr>
          <w:sz w:val="20"/>
          <w:szCs w:val="20"/>
          <w:color w:val="auto"/>
        </w:rPr>
      </w:pPr>
    </w:p>
    <w:p>
      <w:pPr>
        <w:jc w:val="both"/>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2026 the Company held five leases for office, manufacturing and warehouse facilities in Aliso Viejo, California. The five leases are for approximately 150,000 square feet in the aggregate and expire January 31, 2031. For one such operating lease, the lessor provided $1.1 million in tenant allowances.</w:t>
      </w:r>
    </w:p>
    <w:p>
      <w:pPr>
        <w:spacing w:after="0" w:line="3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2" w:name="page23"/>
    <w:bookmarkEnd w:id="22"/>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lease balances within the Condensed Consolidated Balance Sheets as of March 31, 2026 and December 31, 2025 (in thousands):</w:t>
      </w:r>
    </w:p>
    <w:p>
      <w:pPr>
        <w:spacing w:after="0" w:line="36"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9,760</w:t>
            </w:r>
          </w:p>
        </w:tc>
        <w:tc>
          <w:tcPr>
            <w:tcW w:w="2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9,959</w:t>
            </w:r>
          </w:p>
        </w:tc>
      </w:tr>
      <w:tr>
        <w:trPr>
          <w:trHeight w:val="17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assets</w:t>
            </w:r>
          </w:p>
        </w:tc>
        <w:tc>
          <w:tcPr>
            <w:tcW w:w="12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9,834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10,040</w:t>
            </w:r>
          </w:p>
        </w:tc>
      </w:tr>
      <w:tr>
        <w:trPr>
          <w:trHeight w:val="144"/>
        </w:trPr>
        <w:tc>
          <w:tcPr>
            <w:tcW w:w="196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2"/>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r>
      <w:tr>
        <w:trPr>
          <w:trHeight w:val="172"/>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r>
      <w:tr>
        <w:trPr>
          <w:trHeight w:val="172"/>
        </w:trPr>
        <w:tc>
          <w:tcPr>
            <w:tcW w:w="1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Noncurrent</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9,265</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9,813</w:t>
            </w:r>
          </w:p>
        </w:tc>
      </w:tr>
      <w:tr>
        <w:trPr>
          <w:trHeight w:val="172"/>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1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10,826</w:t>
            </w:r>
          </w:p>
        </w:tc>
        <w:tc>
          <w:tcPr>
            <w:tcW w:w="2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11,040</w:t>
            </w: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-920115</wp:posOffset>
            </wp:positionV>
            <wp:extent cx="406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-906145</wp:posOffset>
            </wp:positionV>
            <wp:extent cx="406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-920115</wp:posOffset>
            </wp:positionV>
            <wp:extent cx="4064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-906145</wp:posOffset>
            </wp:positionV>
            <wp:extent cx="406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-19685</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-6350</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45"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Maturities of the Company’s operating and finance lease liabilities as of March 31, 2026 were as follows (in thousands):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8"/>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63"/>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2026 (remainder)</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2027</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2028</w:t>
            </w: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2029</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2030</w:t>
            </w: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5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15,038</w:t>
            </w:r>
          </w:p>
        </w:tc>
        <w:tc>
          <w:tcPr>
            <w:tcW w:w="8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r>
      <w:tr>
        <w:trPr>
          <w:trHeight w:val="172"/>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8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4"/>
                <w:szCs w:val="14"/>
                <w:color w:val="auto"/>
              </w:rPr>
              <w:t>(4,299)</w:t>
            </w:r>
          </w:p>
        </w:tc>
        <w:tc>
          <w:tcPr>
            <w:tcW w:w="22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28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r>
      <w:tr>
        <w:trPr>
          <w:trHeight w:val="16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10,739</w:t>
            </w:r>
          </w:p>
        </w:tc>
        <w:tc>
          <w:tcPr>
            <w:tcW w:w="820" w:type="dxa"/>
            <w:vAlign w:val="bottom"/>
          </w:tcPr>
          <w:p>
            <w:pPr>
              <w:spacing w:after="0"/>
              <w:rPr>
                <w:sz w:val="14"/>
                <w:szCs w:val="1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-360680</wp:posOffset>
            </wp:positionV>
            <wp:extent cx="406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-360680</wp:posOffset>
            </wp:positionV>
            <wp:extent cx="4064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-135890</wp:posOffset>
            </wp:positionV>
            <wp:extent cx="406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23"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weighted average remaining lease term and weighted average discount rate used to determine lease liabilities related to the Company’s operating and finance leases as of March 31, 2026 and December 31, 2025 were:</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r>
      <w:tr>
        <w:trPr>
          <w:trHeight w:val="163"/>
        </w:trPr>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2"/>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2.60</w:t>
            </w:r>
          </w:p>
        </w:tc>
        <w:tc>
          <w:tcPr>
            <w:tcW w:w="15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5.08</w:t>
            </w:r>
          </w:p>
        </w:tc>
      </w:tr>
      <w:tr>
        <w:trPr>
          <w:trHeight w:val="172"/>
        </w:trPr>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4.84</w:t>
            </w:r>
          </w:p>
        </w:tc>
        <w:tc>
          <w:tcPr>
            <w:tcW w:w="154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rPr>
              <w:t>2.85</w:t>
            </w:r>
          </w:p>
        </w:tc>
      </w:tr>
      <w:tr>
        <w:trPr>
          <w:trHeight w:val="172"/>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14.4%</w:t>
            </w:r>
          </w:p>
        </w:tc>
        <w:tc>
          <w:tcPr>
            <w:tcW w:w="154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w w:val="99"/>
              </w:rPr>
              <w:t>14.4%</w:t>
            </w:r>
          </w:p>
        </w:tc>
      </w:tr>
      <w:tr>
        <w:trPr>
          <w:trHeight w:val="186"/>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14.4%</w:t>
            </w:r>
          </w:p>
        </w:tc>
        <w:tc>
          <w:tcPr>
            <w:tcW w:w="15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w w:val="99"/>
              </w:rPr>
              <w:t>14.4%</w:t>
            </w:r>
          </w:p>
        </w:tc>
      </w:tr>
    </w:tbl>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Legal Matters</w:t>
      </w:r>
    </w:p>
    <w:p>
      <w:pPr>
        <w:spacing w:after="0" w:line="99"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Company occasionally becomes involved in litigation arising in the normal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condensed consolidated financial statements if it is determined that it is probable that a loss has been</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3" w:name="page24"/>
    <w:bookmarkEnd w:id="23"/>
    <w:p>
      <w:pPr>
        <w:ind w:left="1160" w:right="1199"/>
        <w:spacing w:after="0" w:line="260" w:lineRule="auto"/>
        <w:rPr>
          <w:sz w:val="20"/>
          <w:szCs w:val="20"/>
          <w:color w:val="auto"/>
        </w:rPr>
      </w:pPr>
      <w:r>
        <w:rPr>
          <w:rFonts w:ascii="Times New Roman" w:cs="Times New Roman" w:eastAsia="Times New Roman" w:hAnsi="Times New Roman"/>
          <w:sz w:val="14"/>
          <w:szCs w:val="14"/>
          <w:color w:val="auto"/>
        </w:rPr>
        <w:t>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March 31, 2026 and December 31, 2025,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 See “Legal Proceedings” in Part II, Item I of this Quarterly Report.</w:t>
      </w:r>
    </w:p>
    <w:p>
      <w:pPr>
        <w:spacing w:after="0" w:line="200" w:lineRule="exact"/>
        <w:rPr>
          <w:sz w:val="20"/>
          <w:szCs w:val="20"/>
          <w:color w:val="auto"/>
        </w:rPr>
      </w:pPr>
    </w:p>
    <w:p>
      <w:pPr>
        <w:spacing w:after="0" w:line="3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4" w:name="page25"/>
    <w:bookmarkEnd w:id="24"/>
    <w:p>
      <w:pPr>
        <w:ind w:left="1160" w:right="1179"/>
        <w:spacing w:after="0" w:line="295"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34" w:lineRule="exact"/>
        <w:rPr>
          <w:sz w:val="20"/>
          <w:szCs w:val="20"/>
          <w:color w:val="auto"/>
        </w:rPr>
      </w:pPr>
    </w:p>
    <w:p>
      <w:pPr>
        <w:ind w:left="1160" w:right="131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2025, included in our Annual Report on Form 10-K filed with the U.S. Securities and Exchange Commission on February 25, 2026.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elsewhere in, this report. See “Special Note Regarding Forward-Looking Statements.”</w:t>
      </w:r>
    </w:p>
    <w:p>
      <w:pPr>
        <w:spacing w:after="0" w:line="59" w:lineRule="exact"/>
        <w:rPr>
          <w:sz w:val="20"/>
          <w:szCs w:val="20"/>
          <w:color w:val="auto"/>
        </w:rPr>
      </w:pPr>
    </w:p>
    <w:p>
      <w:pPr>
        <w:ind w:left="1160" w:right="1199" w:firstLine="258"/>
        <w:spacing w:after="0" w:line="231" w:lineRule="auto"/>
        <w:rPr>
          <w:sz w:val="20"/>
          <w:szCs w:val="20"/>
          <w:color w:val="auto"/>
        </w:rPr>
      </w:pPr>
      <w:r>
        <w:rPr>
          <w:rFonts w:ascii="Times New Roman" w:cs="Times New Roman" w:eastAsia="Times New Roman" w:hAnsi="Times New Roman"/>
          <w:sz w:val="14"/>
          <w:szCs w:val="14"/>
          <w:color w:val="auto"/>
        </w:rPr>
        <w:t>We are a commercial-stage medical technology company dedicated to providing high-quality customized vision to patients following cataract surgery. Our proprietary RxSight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(LAL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/LAL+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w:t>
      </w:r>
    </w:p>
    <w:p>
      <w:pPr>
        <w:spacing w:after="0" w:line="109"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designed our RxSight system to address limitations of conventional premium IOL technologies by providing doctors with a more precise and adaptable method for achieving desired visual outcomes for their patients. Conventional premium IOLs require patients to select their visual priorities before surgery and accept the optical trade-offs inherent in those choices. Surgeons must rely on a series of preoperative measurements and predictive formulae to determine the appropriate lens power. If the selected power is not optimal, the patient may experience less-than-ideal results that could require a subsequent corneal refractive procedure or other corrective measures to achieve intended vision targets.</w:t>
      </w:r>
    </w:p>
    <w:p>
      <w:pPr>
        <w:spacing w:after="0" w:line="80"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with increased confidence and peace of mind by eliminating the high-stakes preoperative guesswork common to conventional premium IOLs and allowing patients to iterate their final vision characteristics with customized post-surgical adjustments.</w:t>
      </w:r>
    </w:p>
    <w:p>
      <w:pPr>
        <w:spacing w:after="0" w:line="58"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Currently, we primarily compete in the IOL market in the U.S. The LAL is a premium IOL which is partially reimbursable under Medicare, and in some cases by private payors. Premium IOLs are sold at a higher price point than conventional IOLs as they provide refractive vision correction, whereas conventional IOLs simply replace the natural lens with a clear lens (which is the standard for Medicare reimbursement). Our RxSight system is approved in the U.S. and in several foreign countries for improving uncorrected visual acuity by adjusting the LAL power to correct residual postoperative refractive error. We intend to seek additional approvals in the future to broaden our international presence. While we are growing our presence outside the U.S., we do not anticipate meaningful near-term sales from these non-U.S. regions.</w:t>
      </w:r>
    </w:p>
    <w:p>
      <w:pPr>
        <w:spacing w:after="0" w:line="60"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We are a Delaware corporation headquartered in Aliso Viejo, California with two wholly owned subsidiaries located in Hong Kong (“RxSight, Hong Kong”) and in Amsterdam, Netherlands (“RxSight, Netherlands”). RxSight, Netherlands has a registered branch in the United Kingdom and a wholly owned subsidiary located in Germany (“RxSight Germany”).</w:t>
      </w:r>
    </w:p>
    <w:p>
      <w:pPr>
        <w:spacing w:after="0" w:line="5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Our commercial efforts began in 2019, and have been primarily focused in the U.S., where we are building a “razor and razor blade” business model to drive new customer adoption and ongoing LAL volume growth. Our sales efforts are concentrated on the approximately 4,000 U.S. cataract surgeons that perform approximately 60% of all premium IOL procedures. As of March 31, 2026, we have established an installed base of 1,154 LDDs in ophthalmology practices and, since our inception through March 31, 2026, surgeons have implanted approximately 332,000 LALs.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25" w:name="page26"/>
    <w:bookmarkEnd w:id="25"/>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strengthening our competitive position in the premium IOL market, our research and development activities are focused primarily on programs that improve clinical outcomes, improve customer experience, expand our indications for use, reduce manufacturing costs and support lifecycle management.</w:t>
      </w:r>
    </w:p>
    <w:p>
      <w:pPr>
        <w:spacing w:after="0" w:line="60"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Our near-term research and development activities are focused on enhancements to the RxSight system to improve clinical outcomes, enhance customer experience, expand our indications for use, reduce manufacturing costs and support lifecycle management. We believe our adjustable lens solution can be used to address a broad range of cataract surgery patients, including those that would otherwise elect for a conventional cataract procedure today. We will undertake additional clinical studies to expand the existing body of evidence related to the safety and effectiveness of our current and future generations of products. Finally, we may in the future seek to acquire or invest in additional businesses, products or technologies that we believe could complement or expand our portfolio, enhance our technical capabilities or otherwise offer growth opportunities.</w:t>
      </w:r>
    </w:p>
    <w:p>
      <w:pPr>
        <w:spacing w:after="0" w:line="60"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While we continue to make investments in our sales and marketing organization, including personnel in clinical applications, practice development, sales and technical service personnel, we also intend to expand our marketing efforts through additional print and digital, social media, education and other customer tools to drive further adoption of the RxSight system.</w:t>
      </w:r>
    </w:p>
    <w:p>
      <w:pPr>
        <w:spacing w:after="0" w:line="54"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Additionally, we have incurred and expect to continue to incur costs related to operating as a public company, such as director and officer insurance premiums, audit fees, costs for compliance with Section 404(b) of the Sarbanes-Oxley Act, legal fees, investor relations fees, fees to members of our Board of Directors, and expenses for compliance with public-company reporting requirements. Because of our ongoing investment in our business and products and these and other factors, we expect to continue to incur net losses and negative cash flows from operations for the near future.</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13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We regularly review several operating and financial metrics to evaluate our business, measure our performance, identify trends affecting our business, formulate our business plan and make strategic decisions.</w:t>
      </w:r>
    </w:p>
    <w:p>
      <w:pPr>
        <w:spacing w:after="0" w:line="59"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results are influenced by several key factors, including: (i) growth in our LDD installed base, which enables LALs to be implanted; (ii) the utilization of that installed base for LAL procedures, measured by the number of LALs implanted per installed LDD; (iii) product mix between LALs and LDDs, which affects our overall gross margins; (iv) manufacturing cost trends; and (v) seasonal and external factors that may affect cataract surgery volumes. We believe the number of LDDs installed and LALs implanted are the strongest indicators of the adoption of our technology and our ability to generate revenue. We monitor average monthly utilization, which we define as the number of LALs implanted during a quarter divided by the LDD installed base at the end of the prior quarter. This fluctuates due to seasonality, practice ramp, and external disruptions (including severe weather events).</w:t>
      </w:r>
    </w:p>
    <w:p>
      <w:pPr>
        <w:spacing w:after="0" w:line="259"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52"/>
        </w:trPr>
        <w:tc>
          <w:tcPr>
            <w:tcW w:w="2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Q1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Q4</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Q3</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Q2</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Q1</w:t>
            </w:r>
          </w:p>
        </w:tc>
        <w:tc>
          <w:tcPr>
            <w:tcW w:w="200" w:type="dxa"/>
            <w:vAlign w:val="bottom"/>
          </w:tcPr>
          <w:p>
            <w:pPr>
              <w:spacing w:after="0"/>
              <w:rPr>
                <w:sz w:val="13"/>
                <w:szCs w:val="13"/>
                <w:color w:val="auto"/>
              </w:rPr>
            </w:pPr>
          </w:p>
        </w:tc>
      </w:tr>
      <w:tr>
        <w:trPr>
          <w:trHeight w:val="163"/>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LDDs Sold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shd w:val="clear" w:color="auto" w:fill="CFF0FC"/>
          </w:tcPr>
          <w:p>
            <w:pPr>
              <w:spacing w:after="0"/>
              <w:rPr>
                <w:sz w:val="14"/>
                <w:szCs w:val="14"/>
                <w:color w:val="auto"/>
              </w:rPr>
            </w:pPr>
          </w:p>
        </w:tc>
      </w:tr>
      <w:tr>
        <w:trPr>
          <w:trHeight w:val="172"/>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Installed Base at End of Period</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200" w:type="dxa"/>
            <w:vAlign w:val="bottom"/>
          </w:tcPr>
          <w:p>
            <w:pPr>
              <w:spacing w:after="0"/>
              <w:rPr>
                <w:sz w:val="14"/>
                <w:szCs w:val="14"/>
                <w:color w:val="auto"/>
              </w:rPr>
            </w:pPr>
          </w:p>
        </w:tc>
      </w:tr>
      <w:tr>
        <w:trPr>
          <w:trHeight w:val="367"/>
        </w:trPr>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52"/>
        </w:trPr>
        <w:tc>
          <w:tcPr>
            <w:tcW w:w="2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Q1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Q4</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Q3</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Q2</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Q1</w:t>
            </w:r>
          </w:p>
        </w:tc>
        <w:tc>
          <w:tcPr>
            <w:tcW w:w="200" w:type="dxa"/>
            <w:vAlign w:val="bottom"/>
          </w:tcPr>
          <w:p>
            <w:pPr>
              <w:spacing w:after="0"/>
              <w:rPr>
                <w:sz w:val="13"/>
                <w:szCs w:val="13"/>
                <w:color w:val="auto"/>
              </w:rPr>
            </w:pPr>
          </w:p>
        </w:tc>
      </w:tr>
      <w:tr>
        <w:trPr>
          <w:trHeight w:val="163"/>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LALs Sold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27,472</w:t>
            </w: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28,611</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27,380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27,579</w:t>
            </w:r>
          </w:p>
        </w:tc>
        <w:tc>
          <w:tcPr>
            <w:tcW w:w="200" w:type="dxa"/>
            <w:vAlign w:val="bottom"/>
            <w:shd w:val="clear" w:color="auto" w:fill="CFF0FC"/>
          </w:tcPr>
          <w:p>
            <w:pPr>
              <w:spacing w:after="0"/>
              <w:rPr>
                <w:sz w:val="14"/>
                <w:szCs w:val="14"/>
                <w:color w:val="auto"/>
              </w:rPr>
            </w:pPr>
          </w:p>
        </w:tc>
      </w:tr>
      <w:tr>
        <w:trPr>
          <w:trHeight w:val="172"/>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bl>
    <w:p>
      <w:pPr>
        <w:spacing w:after="0" w:line="1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During the quarter ended March 31, 2026, we sold 20 LDD units and 27,472 LALs.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6" w:name="page27"/>
    <w:bookmarkEnd w:id="26"/>
    <w:p>
      <w:pPr>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Our quarterly and annual financial results may fluctuate as a result of a variety of factors, many of which are outside our control. Seasonality may cause fluctuations in our operating results and financial metrics and make forecasting our future operating results and financial metrics more difficult.</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33" w:lineRule="exact"/>
        <w:rPr>
          <w:sz w:val="20"/>
          <w:szCs w:val="20"/>
          <w:color w:val="auto"/>
        </w:rPr>
      </w:pPr>
    </w:p>
    <w:p>
      <w:pPr>
        <w:ind w:left="1160" w:right="1299" w:firstLine="258"/>
        <w:spacing w:after="0" w:line="259" w:lineRule="auto"/>
        <w:rPr>
          <w:sz w:val="20"/>
          <w:szCs w:val="20"/>
          <w:color w:val="auto"/>
        </w:rPr>
      </w:pPr>
      <w:r>
        <w:rPr>
          <w:rFonts w:ascii="Times New Roman" w:cs="Times New Roman" w:eastAsia="Times New Roman" w:hAnsi="Times New Roman"/>
          <w:sz w:val="14"/>
          <w:szCs w:val="14"/>
          <w:color w:val="auto"/>
        </w:rPr>
        <w:t>Our sales consist of LALs used in cataract surgeries, the LDDs for delivering light to the LALs to adjust the lens post-surgery, as needed, and service and accessories. Revenue is derived from sales of products mainly in the U.S. and select international markets. Customers are primarily comprised of ophthalmic practices (LDD sales) and ambulatory surgery centers (LAL sales). We recently completed a full realignment of our U.S. commercial organization by integrating our clinical and sales teams into a single unified Customer Success Organization. Each integrated team within the Customer Success Organization is responsible for a defined group of doctors and practices, managing customer experience from onboarding through long-term LAL utilization growth. Following several years of rapid growth, sales moderated in 2025 and the first quarter of 2026, however, we expect our commercial realignment initiatives to position the company for revenue growth. We plan to drive continued expansion by supporting existing practices and strategically expanding our LDD installed base and helping new adopters in achieving early success and sustained long-term growth.</w:t>
      </w:r>
    </w:p>
    <w:p>
      <w:pPr>
        <w:spacing w:after="0" w:line="86"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the U.S. LALs are held at customer sites on consignment. Revenue is recognized for LALs upon customer notification that the LALs have been implanted in a patient. Outside the U.S., generally, LALs are held at distributor sites and distributor customer locations, with revenue recognized for LALs upon the distributor notification that the LALs have been implanted in a patient or upon shipment to the distributor.</w:t>
      </w:r>
    </w:p>
    <w:p>
      <w:pPr>
        <w:spacing w:after="0" w:line="86"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Our LDD contracts contain multiple performance obligations bundled into one transaction price, with all obligations generally satisfied within one year. Revenue for the LDD capital asset is recognized at a point in time either at installation and acceptance or upon shipment to our international distributors. Revenue for training is also recorded at a point in time, generally 60 days after installation. Revenue for the device service is recognized ratably over time after installation, generally 12-24 months. After the first year, service contracts can be purchased separately on a standalone basis. Revenue for such service agreements will be recognized ratably over the term of each contract.</w:t>
      </w:r>
    </w:p>
    <w:p>
      <w:pPr>
        <w:spacing w:after="0" w:line="234"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2026 and 2025, revenue from contracts with customers consisted of the following (in thousands):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3"/>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LDD (including training)</w:t>
            </w:r>
          </w:p>
        </w:tc>
        <w:tc>
          <w:tcPr>
            <w:tcW w:w="11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60" w:type="dxa"/>
            <w:vAlign w:val="bottom"/>
            <w:shd w:val="clear" w:color="auto" w:fill="CFF0FC"/>
          </w:tcPr>
          <w:p>
            <w:pPr>
              <w:spacing w:after="0"/>
              <w:rPr>
                <w:sz w:val="14"/>
                <w:szCs w:val="14"/>
                <w:color w:val="auto"/>
              </w:rPr>
            </w:pPr>
          </w:p>
        </w:tc>
      </w:tr>
      <w:tr>
        <w:trPr>
          <w:trHeight w:val="17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LAL</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27,037</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27,186</w:t>
            </w:r>
          </w:p>
        </w:tc>
        <w:tc>
          <w:tcPr>
            <w:tcW w:w="60" w:type="dxa"/>
            <w:vAlign w:val="bottom"/>
          </w:tcPr>
          <w:p>
            <w:pPr>
              <w:spacing w:after="0"/>
              <w:rPr>
                <w:sz w:val="14"/>
                <w:szCs w:val="14"/>
                <w:color w:val="auto"/>
              </w:rPr>
            </w:pPr>
          </w:p>
        </w:tc>
      </w:tr>
      <w:tr>
        <w:trPr>
          <w:trHeight w:val="172"/>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warranty, service contracts, and accessories</w:t>
            </w:r>
          </w:p>
        </w:tc>
        <w:tc>
          <w:tcPr>
            <w:tcW w:w="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sales</w:t>
            </w:r>
          </w:p>
        </w:tc>
        <w:tc>
          <w:tcPr>
            <w:tcW w:w="1180" w:type="dxa"/>
            <w:vAlign w:val="bottom"/>
            <w:gridSpan w:val="2"/>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30,893</w:t>
            </w:r>
          </w:p>
        </w:tc>
        <w:tc>
          <w:tcPr>
            <w:tcW w:w="104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37,895</w:t>
            </w:r>
          </w:p>
        </w:tc>
        <w:tc>
          <w:tcPr>
            <w:tcW w:w="6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-135890</wp:posOffset>
            </wp:positionV>
            <wp:extent cx="406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2026 and 2025 we did not have any one customer who individually accounted for more than 10% of revenue.</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Cost of sales consist of materials, labor and manufacturing overhead internally to produce our products as well as the cost of shipping and handling. Overhead costs include the cost of quality assurance, material procurement, inventory control, facilities, equipment and operations management and stock-based compensation. Cost of sales also includes depreciation expense for production equipment and certain direct costs such as shipping costs. Shipping costs billed to customers are included in sales. As we grow our revenue, we expect cost of sales to increase in absolute dollars reflecting the higher volume of products sold.</w:t>
      </w:r>
    </w:p>
    <w:p>
      <w:pPr>
        <w:spacing w:after="0" w:line="58"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We calculate gross margin as gross profit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increase or decrease units of production for both the</w:t>
      </w: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7" w:name="page28"/>
    <w:bookmarkEnd w:id="27"/>
    <w:p>
      <w:pPr>
        <w:ind w:left="1160"/>
        <w:spacing w:after="0"/>
        <w:rPr>
          <w:sz w:val="20"/>
          <w:szCs w:val="20"/>
          <w:color w:val="auto"/>
        </w:rPr>
      </w:pPr>
      <w:r>
        <w:rPr>
          <w:rFonts w:ascii="Times New Roman" w:cs="Times New Roman" w:eastAsia="Times New Roman" w:hAnsi="Times New Roman"/>
          <w:sz w:val="14"/>
          <w:szCs w:val="14"/>
          <w:color w:val="auto"/>
        </w:rPr>
        <w:t>LDD and LAL and as we adopt new manufacturing processes and technologies.</w:t>
      </w:r>
    </w:p>
    <w:p>
      <w:pPr>
        <w:spacing w:after="0" w:line="97"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Our LDD, as is typical of many medical device capital equipment products, has a lower gross margin, as the material cost of the LDD is a significant portion of the total cost to manufacture. In addition, we do not mark up our LDD substantially because LDDs, once sold, can generate LAL procedures. Our LAL gross margin is higher, with low material cost but high fixed overhead costs.</w:t>
      </w:r>
    </w:p>
    <w:p>
      <w:pPr>
        <w:spacing w:after="0" w:line="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33"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We expect SG&amp;A expenses to continue to increase in absolute dollars as we expand our international sales and marketing organization and infrastructure.</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33"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spacing w:after="0" w:line="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expense consists primarily of interest incurred on leases.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101"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Interest and other income, net consists primarily of interest income earned on our short-term investments and cash equivalents.</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01" w:lineRule="exact"/>
        <w:rPr>
          <w:sz w:val="20"/>
          <w:szCs w:val="20"/>
          <w:color w:val="auto"/>
        </w:rPr>
      </w:pPr>
    </w:p>
    <w:p>
      <w:pPr>
        <w:jc w:val="both"/>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8" w:name="page29"/>
    <w:bookmarkEnd w:id="28"/>
    <w:p>
      <w:pPr>
        <w:ind w:left="11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p>
      <w:pPr>
        <w:spacing w:after="0" w:line="101"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March 31, 2026 and 2025 together with the dollar increase or decrease and percentage change in those items.</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30,893</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37,895</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(7,002)</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1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(2,171)</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23,498</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28,329</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(4,831)</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63"/>
        </w:trPr>
        <w:tc>
          <w:tcPr>
            <w:tcW w:w="2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31,855</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28,636</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(895)</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53"/>
        </w:trPr>
        <w:tc>
          <w:tcPr>
            <w:tcW w:w="276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41,327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39,003</w:t>
            </w:r>
          </w:p>
        </w:tc>
        <w:tc>
          <w:tcPr>
            <w:tcW w:w="16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2,324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6.0</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(17,829)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(10,674)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(7,155)</w:t>
            </w: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(554)</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80" w:type="dxa"/>
            <w:vAlign w:val="bottom"/>
            <w:tcBorders>
              <w:bottom w:val="single" w:sz="8" w:color="auto"/>
            </w:tcBorders>
            <w:shd w:val="clear" w:color="auto" w:fill="CFF0FC"/>
          </w:tcPr>
          <w:p>
            <w:pPr>
              <w:spacing w:after="0" w:line="20" w:lineRule="exact"/>
              <w:rPr>
                <w:sz w:val="1"/>
                <w:szCs w:val="1"/>
                <w:color w:val="auto"/>
              </w:rPr>
            </w:pPr>
          </w:p>
        </w:tc>
        <w:tc>
          <w:tcPr>
            <w:tcW w:w="660" w:type="dxa"/>
            <w:vAlign w:val="bottom"/>
            <w:tcBorders>
              <w:bottom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CFF0FC"/>
          </w:tcPr>
          <w:p>
            <w:pPr>
              <w:spacing w:after="0" w:line="20" w:lineRule="exact"/>
              <w:rPr>
                <w:sz w:val="1"/>
                <w:szCs w:val="1"/>
                <w:color w:val="auto"/>
              </w:rPr>
            </w:pPr>
          </w:p>
        </w:tc>
        <w:tc>
          <w:tcPr>
            <w:tcW w:w="660" w:type="dxa"/>
            <w:vAlign w:val="bottom"/>
            <w:tcBorders>
              <w:bottom w:val="single" w:sz="8" w:color="auto"/>
            </w:tcBorders>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CFF0FC"/>
          </w:tcPr>
          <w:p>
            <w:pPr>
              <w:spacing w:after="0" w:line="20" w:lineRule="exact"/>
              <w:rPr>
                <w:sz w:val="1"/>
                <w:szCs w:val="1"/>
                <w:color w:val="auto"/>
              </w:rPr>
            </w:pPr>
          </w:p>
        </w:tc>
        <w:tc>
          <w:tcPr>
            <w:tcW w:w="620" w:type="dxa"/>
            <w:vAlign w:val="bottom"/>
            <w:tcBorders>
              <w:bottom w:val="single" w:sz="8" w:color="auto"/>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6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Total other (expense) income, net:</w:t>
            </w:r>
          </w:p>
        </w:tc>
        <w:tc>
          <w:tcPr>
            <w:tcW w:w="18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1,951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2,502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(551)</w:t>
            </w:r>
          </w:p>
        </w:tc>
        <w:tc>
          <w:tcPr>
            <w:tcW w:w="220" w:type="dxa"/>
            <w:vAlign w:val="bottom"/>
          </w:tcPr>
          <w:p>
            <w:pPr>
              <w:spacing w:after="0"/>
              <w:rPr>
                <w:sz w:val="13"/>
                <w:szCs w:val="13"/>
                <w:color w:val="auto"/>
              </w:rPr>
            </w:pPr>
          </w:p>
        </w:tc>
        <w:tc>
          <w:tcPr>
            <w:tcW w:w="800" w:type="dxa"/>
            <w:vAlign w:val="bottom"/>
            <w:gridSpan w:val="2"/>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(15,878)</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(8,172)</w:t>
            </w: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(7,706)</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(15,884)</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(8,190)</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(7,694)</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63"/>
        </w:trPr>
        <w:tc>
          <w:tcPr>
            <w:tcW w:w="2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(157)</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72"/>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(16,004)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(8,341)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(7,664)</w:t>
            </w: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-1949450</wp:posOffset>
            </wp:positionV>
            <wp:extent cx="406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-1949450</wp:posOffset>
            </wp:positionV>
            <wp:extent cx="406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-1949450</wp:posOffset>
            </wp:positionV>
            <wp:extent cx="406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-1949450</wp:posOffset>
            </wp:positionV>
            <wp:extent cx="11620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-1492885</wp:posOffset>
            </wp:positionV>
            <wp:extent cx="4064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-1492885</wp:posOffset>
            </wp:positionV>
            <wp:extent cx="406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-1492885</wp:posOffset>
            </wp:positionV>
            <wp:extent cx="406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-1621155</wp:posOffset>
            </wp:positionV>
            <wp:extent cx="141605" cy="147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1605" cy="1479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-1049655</wp:posOffset>
            </wp:positionV>
            <wp:extent cx="4064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-1055370</wp:posOffset>
            </wp:positionV>
            <wp:extent cx="66040" cy="147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-1055370</wp:posOffset>
            </wp:positionV>
            <wp:extent cx="66040" cy="147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-810895</wp:posOffset>
            </wp:positionV>
            <wp:extent cx="4064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-810895</wp:posOffset>
            </wp:positionV>
            <wp:extent cx="4064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-810895</wp:posOffset>
            </wp:positionV>
            <wp:extent cx="4064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-810895</wp:posOffset>
            </wp:positionV>
            <wp:extent cx="11620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-586105</wp:posOffset>
            </wp:positionV>
            <wp:extent cx="406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-586105</wp:posOffset>
            </wp:positionV>
            <wp:extent cx="4064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-586105</wp:posOffset>
            </wp:positionV>
            <wp:extent cx="4064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-586105</wp:posOffset>
            </wp:positionV>
            <wp:extent cx="11620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-135890</wp:posOffset>
            </wp:positionV>
            <wp:extent cx="4064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-135890</wp:posOffset>
            </wp:positionV>
            <wp:extent cx="4064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-135890</wp:posOffset>
            </wp:positionV>
            <wp:extent cx="4064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-135890</wp:posOffset>
            </wp:positionV>
            <wp:extent cx="11620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Sales decreased by $7.0 million, or 18.5%, to $30.9 million for the three months ended March 31, 2026, from $37.9 million for the three months ended March 31, 2025. The decrease in total sales was primarily due to lower LDD unit volumes.</w:t>
      </w:r>
    </w:p>
    <w:p>
      <w:pPr>
        <w:spacing w:after="0" w:line="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Cost of sales decreased by $2.2 million, or 22.7%, to $7.4 million for the three months ended March 31, 2026, from $9.6 million for the three months ended March 31, 2025, primarily due to decreased LDDs sold during the period. Gross margin increased to 76.1% in the three months ended March 31, 2026, from 74.8% for the three months ended March 31, 2025, primarily due to a favorable product mix from a greater percentage of revenue from LAL sales.</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SG&amp;A expenses</w:t>
      </w:r>
    </w:p>
    <w:p>
      <w:pPr>
        <w:spacing w:after="0" w:line="101"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SG&amp;A expenses increased by $3.2 million, or 11.2%, to $31.9 million for the three months ended March 31, 2026, from $28.6 million for the three months ended March 31, 2025. This increase was driven in part by personnel-related expenses as we continue to prioritize investments in new hires and ongoing expansion of our global commercial and support teams.</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Research and development expenses decreased by $0.9 million, or 8.6%, to $9.5 million for the three months ended March 31, 2026, from $10.4 million for the three months ended March 31, 2025. This decrease was primarily</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83" w:right="1440" w:bottom="1440" w:gutter="0" w:footer="0" w:header="0"/>
        </w:sectPr>
      </w:pPr>
    </w:p>
    <w:bookmarkStart w:id="29" w:name="page30"/>
    <w:bookmarkEnd w:id="29"/>
    <w:p>
      <w:pPr>
        <w:ind w:left="1160" w:right="1459"/>
        <w:spacing w:after="0" w:line="292" w:lineRule="auto"/>
        <w:rPr>
          <w:sz w:val="20"/>
          <w:szCs w:val="20"/>
          <w:color w:val="auto"/>
        </w:rPr>
      </w:pPr>
      <w:r>
        <w:rPr>
          <w:rFonts w:ascii="Times New Roman" w:cs="Times New Roman" w:eastAsia="Times New Roman" w:hAnsi="Times New Roman"/>
          <w:sz w:val="14"/>
          <w:szCs w:val="14"/>
          <w:color w:val="auto"/>
        </w:rPr>
        <w:t>attributable to $0.6 million from reduced compensation and benefits and facility costs due to reduced headcount when compared to the three months ended March 31, 2025.</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Other income (expense), net, decreased $0.6 million to income of $2.0 million for the three months ended March 31, 2026, compared to income of $2.5 million for the three months ended March 31, 2025. The decrease was primarily due to decreased interest income from lower interest rates and lower cash and short-term investment balances.</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We have incurred significant operating losses and negative cash flows from operations since our inception, and we anticipate that we will incur significant losses in the future.</w:t>
      </w:r>
    </w:p>
    <w:p>
      <w:pPr>
        <w:spacing w:after="0" w:line="38"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2026, we had cash, cash equivalents and short-term investments of $217.9 million. Our losses from operations were $17.8 million and $10.7 million for the three months ended March 31, 2026, and March 31, 2025, respectively. We had an accumulated deficit of $676.9 million as of March 31, 2026.</w:t>
      </w:r>
    </w:p>
    <w:p>
      <w:pPr>
        <w:spacing w:after="0" w:line="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future liquidity and capital funding requirements will depend on numerous factors, including:</w:t>
      </w:r>
    </w:p>
    <w:p>
      <w:pPr>
        <w:spacing w:after="0" w:line="97" w:lineRule="exact"/>
        <w:rPr>
          <w:sz w:val="20"/>
          <w:szCs w:val="20"/>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international expansion;</w:t>
      </w:r>
    </w:p>
    <w:p>
      <w:pPr>
        <w:spacing w:after="0" w:line="96" w:lineRule="exact"/>
        <w:rPr>
          <w:rFonts w:ascii="Times New Roman" w:cs="Times New Roman" w:eastAsia="Times New Roman" w:hAnsi="Times New Roman"/>
          <w:sz w:val="14"/>
          <w:szCs w:val="14"/>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levels and our sales and marketing activities;</w:t>
      </w:r>
    </w:p>
    <w:p>
      <w:pPr>
        <w:spacing w:after="0" w:line="96" w:lineRule="exact"/>
        <w:rPr>
          <w:rFonts w:ascii="Times New Roman" w:cs="Times New Roman" w:eastAsia="Times New Roman" w:hAnsi="Times New Roman"/>
          <w:sz w:val="14"/>
          <w:szCs w:val="14"/>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6" w:lineRule="exact"/>
        <w:rPr>
          <w:rFonts w:ascii="Times New Roman" w:cs="Times New Roman" w:eastAsia="Times New Roman" w:hAnsi="Times New Roman"/>
          <w:sz w:val="14"/>
          <w:szCs w:val="14"/>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funds or borrow to finance our operations;</w:t>
      </w:r>
    </w:p>
    <w:p>
      <w:pPr>
        <w:spacing w:after="0" w:line="96" w:lineRule="exact"/>
        <w:rPr>
          <w:rFonts w:ascii="Times New Roman" w:cs="Times New Roman" w:eastAsia="Times New Roman" w:hAnsi="Times New Roman"/>
          <w:sz w:val="14"/>
          <w:szCs w:val="14"/>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6" w:lineRule="exact"/>
        <w:rPr>
          <w:rFonts w:ascii="Times New Roman" w:cs="Times New Roman" w:eastAsia="Times New Roman" w:hAnsi="Times New Roman"/>
          <w:sz w:val="14"/>
          <w:szCs w:val="14"/>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6" w:lineRule="exact"/>
        <w:rPr>
          <w:rFonts w:ascii="Times New Roman" w:cs="Times New Roman" w:eastAsia="Times New Roman" w:hAnsi="Times New Roman"/>
          <w:sz w:val="14"/>
          <w:szCs w:val="14"/>
          <w:color w:val="auto"/>
        </w:rPr>
      </w:pPr>
    </w:p>
    <w:p>
      <w:pPr>
        <w:ind w:left="2020" w:right="1299" w:hanging="351"/>
        <w:spacing w:after="0" w:line="268"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54" w:lineRule="exact"/>
        <w:rPr>
          <w:rFonts w:ascii="Times New Roman" w:cs="Times New Roman" w:eastAsia="Times New Roman" w:hAnsi="Times New Roman"/>
          <w:sz w:val="14"/>
          <w:szCs w:val="14"/>
          <w:color w:val="auto"/>
        </w:rPr>
      </w:pPr>
    </w:p>
    <w:p>
      <w:pPr>
        <w:ind w:left="2020" w:right="1359" w:hanging="351"/>
        <w:spacing w:after="0" w:line="292"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2020" w:right="1559" w:hanging="351"/>
        <w:spacing w:after="0" w:line="292"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6" w:lineRule="exact"/>
        <w:rPr>
          <w:rFonts w:ascii="Times New Roman" w:cs="Times New Roman" w:eastAsia="Times New Roman" w:hAnsi="Times New Roman"/>
          <w:sz w:val="14"/>
          <w:szCs w:val="14"/>
          <w:color w:val="auto"/>
        </w:rPr>
      </w:pPr>
    </w:p>
    <w:p>
      <w:pPr>
        <w:ind w:left="2020" w:hanging="351"/>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129"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we may be required to raise additional capital through public or private equity offerings or debt financings, credit or loan facilities or by entering into partnerships or a combination of one or more of these funding sources in order to meet our liquidity requirements. If we determine that we need to raise additional funds, such capital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w:t>
      </w: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0" w:name="page31"/>
    <w:bookmarkEnd w:id="30"/>
    <w:p>
      <w:pPr>
        <w:ind w:left="1160" w:right="1259"/>
        <w:spacing w:after="0" w:line="268" w:lineRule="auto"/>
        <w:rPr>
          <w:sz w:val="20"/>
          <w:szCs w:val="20"/>
          <w:color w:val="auto"/>
        </w:rPr>
      </w:pPr>
      <w:r>
        <w:rPr>
          <w:rFonts w:ascii="Times New Roman" w:cs="Times New Roman" w:eastAsia="Times New Roman" w:hAnsi="Times New Roman"/>
          <w:sz w:val="14"/>
          <w:szCs w:val="14"/>
          <w:color w:val="auto"/>
        </w:rPr>
        <w:t>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w:t>
      </w:r>
    </w:p>
    <w:p>
      <w:pPr>
        <w:spacing w:after="0" w:line="54"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See Part II, Item 1A (“Risk Factors”) of this report for additional risks associated with our substantial capital requirements.</w:t>
      </w:r>
    </w:p>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Summary statement of cash flows</w:t>
      </w:r>
    </w:p>
    <w:p>
      <w:pPr>
        <w:spacing w:after="0" w:line="101"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primary sources and uses of cash, cash equivalents, and restricted cash for each of the periods presented below (in thousands):</w:t>
      </w:r>
    </w:p>
    <w:p>
      <w:pPr>
        <w:spacing w:after="0" w:line="4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6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(10,891)</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(8,832)</w:t>
            </w:r>
          </w:p>
        </w:tc>
        <w:tc>
          <w:tcPr>
            <w:tcW w:w="0" w:type="dxa"/>
            <w:vAlign w:val="bottom"/>
          </w:tcPr>
          <w:p>
            <w:pPr>
              <w:spacing w:after="0"/>
              <w:rPr>
                <w:sz w:val="1"/>
                <w:szCs w:val="1"/>
                <w:color w:val="auto"/>
              </w:rPr>
            </w:pPr>
          </w:p>
        </w:tc>
      </w:tr>
      <w:tr>
        <w:trPr>
          <w:trHeight w:val="172"/>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1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8,848</w:t>
            </w:r>
          </w:p>
        </w:tc>
        <w:tc>
          <w:tcPr>
            <w:tcW w:w="3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20,855</w:t>
            </w:r>
          </w:p>
        </w:tc>
        <w:tc>
          <w:tcPr>
            <w:tcW w:w="0" w:type="dxa"/>
            <w:vAlign w:val="bottom"/>
          </w:tcPr>
          <w:p>
            <w:pPr>
              <w:spacing w:after="0"/>
              <w:rPr>
                <w:sz w:val="1"/>
                <w:szCs w:val="1"/>
                <w:color w:val="auto"/>
              </w:rPr>
            </w:pPr>
          </w:p>
        </w:tc>
      </w:tr>
      <w:tr>
        <w:trPr>
          <w:trHeight w:val="172"/>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(336)</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57"/>
        </w:trPr>
        <w:tc>
          <w:tcPr>
            <w:tcW w:w="458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Effect of foreign exchange rate on cash, cash equivalents</w:t>
            </w:r>
          </w:p>
        </w:tc>
        <w:tc>
          <w:tcPr>
            <w:tcW w:w="100" w:type="dxa"/>
            <w:vAlign w:val="bottom"/>
            <w:shd w:val="clear" w:color="auto" w:fill="CFF0FC"/>
          </w:tcPr>
          <w:p>
            <w:pPr>
              <w:spacing w:after="0"/>
              <w:rPr>
                <w:sz w:val="13"/>
                <w:szCs w:val="13"/>
                <w:color w:val="auto"/>
              </w:rPr>
            </w:pPr>
          </w:p>
        </w:tc>
        <w:tc>
          <w:tcPr>
            <w:tcW w:w="10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FF0FC"/>
          </w:tcPr>
          <w:p>
            <w:pPr>
              <w:spacing w:after="0"/>
              <w:rPr>
                <w:sz w:val="13"/>
                <w:szCs w:val="13"/>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and restricted cash</w:t>
            </w: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gridSpan w:val="2"/>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(2,376)</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-135890</wp:posOffset>
            </wp:positionV>
            <wp:extent cx="4064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used in operating activities</w:t>
      </w:r>
    </w:p>
    <w:p>
      <w:pPr>
        <w:spacing w:after="0" w:line="99"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2026, was $10.9 million, consisting primarily of a net loss of $15.9 million and a change in operating assets and liabilities of $2.0 million and amortization of discount on short-term investments of $1.9 million, partially offset by non-cash stock-based compensation of $7.9 million and depreciation and amortization of $0.8 million.</w:t>
      </w:r>
    </w:p>
    <w:p>
      <w:pPr>
        <w:spacing w:after="0" w:line="54"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2025, was $8.8 million, consisting primarily of a net loss of $8.2 million and a change in operating assets and liabilities of $6.2 million and amortization of discount on short-term investments of $2.4 million, partially offset by non-cash stock-based compensation of $7.1 million and depreciation and amortization of $0.8 million.</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provided by investing activities</w:t>
      </w:r>
    </w:p>
    <w:p>
      <w:pPr>
        <w:spacing w:after="0" w:line="99"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Net cash provided by investing activities for the three months ended March 31, 2026, was $8.8 million, consisting of net maturities of short-term investments of $9.6 million, partially offset by purchases of property and equipment of $0.8 million.</w:t>
      </w:r>
    </w:p>
    <w:p>
      <w:pPr>
        <w:spacing w:after="0" w:line="50"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Net cash provided by investing activities for the three months ended March 31, 2025, was $20.9 million, consisting of net maturities of short-term investments of $21.4 million, partially offset by purchases of property and equipment of $0.6 million.</w:t>
      </w:r>
    </w:p>
    <w:p>
      <w:pPr>
        <w:spacing w:after="0" w:line="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(used in) provided by financing activities</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for the three months ended March 31, 2026, was $0.3 million consisting primarily of payments for employee taxes related to stock compensation of $0.5 million, partially offset by proceeds from issuance of common stock of $0.1 million.</w:t>
      </w:r>
    </w:p>
    <w:p>
      <w:pPr>
        <w:spacing w:after="0" w:line="50"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for the three months ended March 31, 2025, was $0.7 million consisting primarily of payments for employee taxes related to stock compensation of $1.4 million, partially offset by proceeds from issuance of common stock of $0.7 million.</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Critical accounting policies, significant judgments and use of estimates</w:t>
      </w:r>
    </w:p>
    <w:p>
      <w:pPr>
        <w:spacing w:after="0" w:line="99"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31" w:name="page32"/>
    <w:bookmarkEnd w:id="31"/>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February 25, 2026. We believe that the accounting policies we use are critical to the process of making significant judgments and estimates in the preparation of our financial statements and understanding and evaluating our reported financial results.</w:t>
      </w:r>
    </w:p>
    <w:p>
      <w:pPr>
        <w:spacing w:after="0" w:line="232"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spacing w:after="0" w:line="50"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For a summary of our critical accounting policies and estimates, refer to “Management's Discussion and Analysis of Financial Condition and Results of Operations” included in our Annual Report on Form 10-K filed with the SEC on February 25, 2026. There have been no material changes to our critical accounting policies and estimates during the three months ended March 31, 2026.</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9"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our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See the section titled “Summary of Significant Accounting Policies—Recent Accounting Pronouncements” in Note 2 to our financial statements included elsewhere in this report for additional information.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Supply chain constraints and inflation</w:t>
      </w:r>
    </w:p>
    <w:p>
      <w:pPr>
        <w:spacing w:after="0" w:line="99"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w:t>
      </w:r>
    </w:p>
    <w:p>
      <w:pPr>
        <w:spacing w:after="0" w:line="2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2" w:name="page33"/>
    <w:bookmarkEnd w:id="32"/>
    <w:p>
      <w:pPr>
        <w:ind w:left="1160" w:right="1459"/>
        <w:spacing w:after="0" w:line="292" w:lineRule="auto"/>
        <w:rPr>
          <w:sz w:val="20"/>
          <w:szCs w:val="20"/>
          <w:color w:val="auto"/>
        </w:rPr>
      </w:pPr>
      <w:r>
        <w:rPr>
          <w:rFonts w:ascii="Times New Roman" w:cs="Times New Roman" w:eastAsia="Times New Roman" w:hAnsi="Times New Roman"/>
          <w:sz w:val="14"/>
          <w:szCs w:val="14"/>
          <w:color w:val="auto"/>
        </w:rPr>
        <w:t>products would limit our ability to manufacture our current and new products and could have a material adverse effect on our business, financial condition and results of operations.</w:t>
      </w:r>
    </w:p>
    <w:p>
      <w:pPr>
        <w:spacing w:after="0" w:line="38"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Uncertain macroeconomic conditions including recent inflationary pressures and the rise in interest rates have created significant uncertainty in the U.S. economy and capital markets, which is expected to continue through 2026 and beyond and could negatively impact our financial results and liquidity.</w:t>
      </w: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is the potential loss arising from the adverse changes in market rates and prices.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Interest Fluctuation Rate Risk</w:t>
      </w:r>
    </w:p>
    <w:p>
      <w:pPr>
        <w:spacing w:after="0" w:line="99" w:lineRule="exact"/>
        <w:rPr>
          <w:sz w:val="20"/>
          <w:szCs w:val="20"/>
          <w:color w:val="auto"/>
        </w:rPr>
      </w:pPr>
    </w:p>
    <w:p>
      <w:pPr>
        <w:ind w:left="1160" w:right="1259" w:firstLine="258"/>
        <w:spacing w:after="0" w:line="258" w:lineRule="auto"/>
        <w:rPr>
          <w:sz w:val="20"/>
          <w:szCs w:val="20"/>
          <w:color w:val="auto"/>
        </w:rPr>
      </w:pPr>
      <w:r>
        <w:rPr>
          <w:rFonts w:ascii="Times New Roman" w:cs="Times New Roman" w:eastAsia="Times New Roman" w:hAnsi="Times New Roman"/>
          <w:sz w:val="14"/>
          <w:szCs w:val="14"/>
          <w:color w:val="auto"/>
        </w:rPr>
        <w:t>We had cash and cash equivalents and short-term investments of $217.9 million as of March 31, 2026, which consisted of $200.3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have reduced investment income. We considered the historical volatility of short-term interest rates and determined that it was reasonably possible that an adverse change of 100 basis points could be experienced in the near term. A hypothetical 1.00% (100 basis points) change in interest rates would not have materially impacted the fair value of our marketable securities as of March 31, 2026 and December 31, 2025. If overall interest rates had increased or decreased by</w:t>
      </w:r>
    </w:p>
    <w:p>
      <w:pPr>
        <w:spacing w:after="0" w:line="1" w:lineRule="exact"/>
        <w:rPr>
          <w:sz w:val="20"/>
          <w:szCs w:val="20"/>
          <w:color w:val="auto"/>
        </w:rPr>
      </w:pPr>
    </w:p>
    <w:p>
      <w:pPr>
        <w:ind w:left="1160" w:right="1499"/>
        <w:spacing w:after="0" w:line="272" w:lineRule="auto"/>
        <w:rPr>
          <w:sz w:val="20"/>
          <w:szCs w:val="20"/>
          <w:color w:val="auto"/>
        </w:rPr>
      </w:pPr>
      <w:r>
        <w:rPr>
          <w:rFonts w:ascii="Times New Roman" w:cs="Times New Roman" w:eastAsia="Times New Roman" w:hAnsi="Times New Roman"/>
          <w:sz w:val="14"/>
          <w:szCs w:val="14"/>
          <w:color w:val="auto"/>
        </w:rPr>
        <w:t>1.00% (100 basis points), our interest income would not have been materially affected during the quarter ended March 31, 2026 or March 31, 2025.</w:t>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Foreign Currency Exchange Risk</w:t>
      </w:r>
    </w:p>
    <w:p>
      <w:pPr>
        <w:spacing w:after="0" w:line="99" w:lineRule="exact"/>
        <w:rPr>
          <w:sz w:val="20"/>
          <w:szCs w:val="20"/>
          <w:color w:val="auto"/>
        </w:rPr>
      </w:pPr>
    </w:p>
    <w:p>
      <w:pPr>
        <w:ind w:left="1160" w:right="1779" w:firstLine="258"/>
        <w:spacing w:after="0" w:line="292" w:lineRule="auto"/>
        <w:rPr>
          <w:sz w:val="20"/>
          <w:szCs w:val="20"/>
          <w:color w:val="auto"/>
        </w:rPr>
      </w:pPr>
      <w:r>
        <w:rPr>
          <w:rFonts w:ascii="Times New Roman" w:cs="Times New Roman" w:eastAsia="Times New Roman" w:hAnsi="Times New Roman"/>
          <w:sz w:val="14"/>
          <w:szCs w:val="14"/>
          <w:color w:val="auto"/>
        </w:rPr>
        <w:t>As of March 31, 2026, we have de minimis amounts of revenue and expenses that are denominated in currencies other than U.S. dollars.</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9"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As of March 31, 2026,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w:t>
      </w:r>
    </w:p>
    <w:p>
      <w:pPr>
        <w:spacing w:after="0" w:line="3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3" w:name="page34"/>
    <w:bookmarkEnd w:id="33"/>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jc w:val="both"/>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On July 22, 2025, a putative securities class action complaint was filed in the U.S. District Court for the Central District of California against the Company and certain of its officers, captioned Makaveev v. RxSight, Inc., et al., No. 8:25-cv-01596. The lawsuit asserts claims under Sections 10(b) and 20(a) of the Securities Exchange Act of 1934 and SEC Rule 10b-5, alleging that the defendants made materially false and misleading statements and omitted material adverse facts regarding demand for our products and financial guidance. On September 16, 2025, a related putative securities class action complaint was filed in the U.S. District Court for the Central District of California against us and certain of our officers, captioned Gémesi v. RxSight, Inc., et al., No. 25-cv-02093. On October 6, 2025, the court entered an order consolidating the Makaveev and Gémesi actions, appointing a lead plaintiff and approving selection of lead counsel, and re-captioning the case as In re RxSight Securities Litigation, No. 8:25-cv-01596-FWS-KES. A consolidated, amended complaint was filed on December 12, 2025. Defendants’ motion to dismiss was filed on February 13, 2026. A hearing on the motion is currently scheduled for May 28, 2026. The plaintiffs seek unspecified compensatory and punitive damages, and reasonable costs and expenses, including attorneys’ fees.</w:t>
      </w:r>
    </w:p>
    <w:p>
      <w:pPr>
        <w:spacing w:after="0" w:line="2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Shareholder Derivative Actions</w:t>
      </w:r>
    </w:p>
    <w:p>
      <w:pPr>
        <w:spacing w:after="0" w:line="99"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On August 18, 2025, a shareholder derivative action was filed in the U.S. District Court for the Central District of California against certain of our officers and directors, captioned Swift v. Kurtz, et al., Case No. 8:25-cv-01820-FWS-KES. The plaintiff purports to bring the action derivatively on behalf of us, and we are named as a nominal defendant. The complaint generally alleges that the defendants made false and misleading statements and omitted material adverse facts regarding declining sales, demand for our products, and financial guidance, and we lacked internal controls. The complaint asserts claims for alleged violations of Section 14(a) of the Exchange Act, as well as claims for alleged breaches of fiduciary duties, aiding and abetting, unjust enrichment, and waste of corporate assets. The complaint seeks unspecified damages on behalf of the Company, declaratory relief, a constructive trust, punitive damages, and an award of costs and expenses, including attorneys’ fees. On October 2, 2025, the court entered an order staying proceedings in the Swift action until a final resolution of the Securities Class Actions, including the exhaustion of any appeals.</w:t>
      </w:r>
    </w:p>
    <w:p>
      <w:pPr>
        <w:spacing w:after="0" w:line="65" w:lineRule="exact"/>
        <w:rPr>
          <w:sz w:val="20"/>
          <w:szCs w:val="20"/>
          <w:color w:val="auto"/>
        </w:rPr>
      </w:pPr>
    </w:p>
    <w:p>
      <w:pPr>
        <w:ind w:left="1160" w:right="1199" w:firstLine="293"/>
        <w:spacing w:after="0" w:line="263" w:lineRule="auto"/>
        <w:rPr>
          <w:sz w:val="20"/>
          <w:szCs w:val="20"/>
          <w:color w:val="auto"/>
        </w:rPr>
      </w:pPr>
      <w:r>
        <w:rPr>
          <w:rFonts w:ascii="Times New Roman" w:cs="Times New Roman" w:eastAsia="Times New Roman" w:hAnsi="Times New Roman"/>
          <w:sz w:val="14"/>
          <w:szCs w:val="14"/>
          <w:color w:val="auto"/>
        </w:rPr>
        <w:t>On October 10, 2025, a related shareholder derivative action was filed in the U.S. District Court for the Central District of California against certain of our officers and directors, captioned Yost v. Kurtz, et al., Case No. 8:25-cv-2295. The complaint asserts claims for alleged breaches of fiduciary duties, gross mismanagement, waste of corporate assets, unjust enrichment, aiding and abetting, insider trading, and alleged violations of Section 14(a) of the Exchange Act and seeks unspecified damages on behalf of us, declaratory relief, disgorgement, corporate governance reforms, and an award of costs and expenses, including attorneys’ fees.</w:t>
      </w:r>
    </w:p>
    <w:p>
      <w:pPr>
        <w:spacing w:after="0" w:line="58"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On November 13, 2025, the Court entered an order consolidating the Swift and Yost actions and staying the consolidated derivative action until the final resolution of the Securities Class Actions, including the exhaustion of any appeals.</w:t>
      </w:r>
    </w:p>
    <w:p>
      <w:pPr>
        <w:spacing w:after="0" w:line="50" w:lineRule="exact"/>
        <w:rPr>
          <w:sz w:val="20"/>
          <w:szCs w:val="20"/>
          <w:color w:val="auto"/>
        </w:rPr>
      </w:pPr>
    </w:p>
    <w:p>
      <w:pPr>
        <w:ind w:left="1160" w:right="1179" w:firstLine="293"/>
        <w:spacing w:after="0" w:line="268" w:lineRule="auto"/>
        <w:rPr>
          <w:sz w:val="20"/>
          <w:szCs w:val="20"/>
          <w:color w:val="auto"/>
        </w:rPr>
      </w:pPr>
      <w:r>
        <w:rPr>
          <w:rFonts w:ascii="Times New Roman" w:cs="Times New Roman" w:eastAsia="Times New Roman" w:hAnsi="Times New Roman"/>
          <w:sz w:val="14"/>
          <w:szCs w:val="14"/>
          <w:color w:val="auto"/>
        </w:rPr>
        <w:t>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our</w:t>
      </w: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4" w:name="page35"/>
    <w:bookmarkEnd w:id="34"/>
    <w:p>
      <w:pPr>
        <w:ind w:left="1160"/>
        <w:spacing w:after="0"/>
        <w:rPr>
          <w:sz w:val="20"/>
          <w:szCs w:val="20"/>
          <w:color w:val="auto"/>
        </w:rPr>
      </w:pPr>
      <w:r>
        <w:rPr>
          <w:rFonts w:ascii="Times New Roman" w:cs="Times New Roman" w:eastAsia="Times New Roman" w:hAnsi="Times New Roman"/>
          <w:sz w:val="14"/>
          <w:szCs w:val="14"/>
          <w:color w:val="auto"/>
        </w:rPr>
        <w:t>business, results of operations and financial condition.</w:t>
      </w:r>
    </w:p>
    <w:p>
      <w:pPr>
        <w:spacing w:after="0" w:line="3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9" w:lineRule="exact"/>
        <w:rPr>
          <w:sz w:val="20"/>
          <w:szCs w:val="20"/>
          <w:color w:val="auto"/>
        </w:rPr>
      </w:pPr>
    </w:p>
    <w:p>
      <w:pPr>
        <w:ind w:left="1160" w:right="1719" w:firstLine="258"/>
        <w:spacing w:after="0" w:line="274" w:lineRule="auto"/>
        <w:rPr>
          <w:sz w:val="20"/>
          <w:szCs w:val="20"/>
          <w:color w:val="auto"/>
        </w:rPr>
      </w:pPr>
      <w:r>
        <w:rPr>
          <w:rFonts w:ascii="Times New Roman" w:cs="Times New Roman" w:eastAsia="Times New Roman" w:hAnsi="Times New Roman"/>
          <w:sz w:val="14"/>
          <w:szCs w:val="14"/>
          <w:color w:val="auto"/>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99" w:lineRule="exact"/>
        <w:rPr>
          <w:sz w:val="20"/>
          <w:szCs w:val="20"/>
          <w:color w:val="auto"/>
        </w:rPr>
      </w:pPr>
    </w:p>
    <w:p>
      <w:pPr>
        <w:jc w:val="both"/>
        <w:ind w:left="1860" w:right="1379" w:hanging="357"/>
        <w:spacing w:after="0" w:line="274"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effectively train our sales force, increase our sales and marketing capabilities, or develop broad brand awareness in a cost-effective manner, our growth will be impeded, and our business will suffer.</w:t>
      </w:r>
    </w:p>
    <w:p>
      <w:pPr>
        <w:spacing w:after="0" w:line="50"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losses, and we expect to continue to incur losses in the future. If we ever achieve profitability, we may not be able to sustain it.</w:t>
      </w:r>
    </w:p>
    <w:p>
      <w:pPr>
        <w:spacing w:after="0" w:line="37" w:lineRule="exact"/>
        <w:rPr>
          <w:rFonts w:ascii="Times New Roman" w:cs="Times New Roman" w:eastAsia="Times New Roman" w:hAnsi="Times New Roman"/>
          <w:sz w:val="14"/>
          <w:szCs w:val="14"/>
          <w:color w:val="auto"/>
        </w:rPr>
      </w:pPr>
    </w:p>
    <w:p>
      <w:pPr>
        <w:ind w:left="1860" w:right="1419" w:hanging="357"/>
        <w:spacing w:after="0" w:line="292"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support our continued operations and the growth of our business, we may seek to raise additional capital, which may not be available to us on acceptable terms, or at all.</w:t>
      </w:r>
    </w:p>
    <w:p>
      <w:pPr>
        <w:spacing w:after="0" w:line="37" w:lineRule="exact"/>
        <w:rPr>
          <w:rFonts w:ascii="Times New Roman" w:cs="Times New Roman" w:eastAsia="Times New Roman" w:hAnsi="Times New Roman"/>
          <w:sz w:val="14"/>
          <w:szCs w:val="14"/>
          <w:color w:val="auto"/>
        </w:rPr>
      </w:pPr>
    </w:p>
    <w:p>
      <w:pPr>
        <w:jc w:val="both"/>
        <w:ind w:left="1860" w:right="1299" w:hanging="357"/>
        <w:spacing w:after="0" w:line="274"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50"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we are unable to compete effectively, we may not be able to achieve or maintain significant market penetration or improve our results of operations.</w:t>
      </w:r>
    </w:p>
    <w:p>
      <w:pPr>
        <w:spacing w:after="0" w:line="37" w:lineRule="exact"/>
        <w:rPr>
          <w:rFonts w:ascii="Times New Roman" w:cs="Times New Roman" w:eastAsia="Times New Roman" w:hAnsi="Times New Roman"/>
          <w:sz w:val="14"/>
          <w:szCs w:val="14"/>
          <w:color w:val="auto"/>
        </w:rPr>
      </w:pPr>
    </w:p>
    <w:p>
      <w:pPr>
        <w:jc w:val="both"/>
        <w:ind w:left="1860" w:right="1339" w:hanging="357"/>
        <w:spacing w:after="0" w:line="274"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commenced and intend to expand in the future, sales of our products internationally, but we may experience difficulties in obtaining regulatory clearance or approval or in successfully marketing our products internationally even if approved.</w:t>
      </w:r>
    </w:p>
    <w:p>
      <w:pPr>
        <w:spacing w:after="0" w:line="50"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variety of risks associated with marketing our products internationally could materially adversely affect our business.</w:t>
      </w:r>
    </w:p>
    <w:p>
      <w:pPr>
        <w:spacing w:after="0" w:line="37" w:lineRule="exact"/>
        <w:rPr>
          <w:rFonts w:ascii="Times New Roman" w:cs="Times New Roman" w:eastAsia="Times New Roman" w:hAnsi="Times New Roman"/>
          <w:sz w:val="14"/>
          <w:szCs w:val="14"/>
          <w:color w:val="auto"/>
        </w:rPr>
      </w:pPr>
    </w:p>
    <w:p>
      <w:pPr>
        <w:ind w:left="1860" w:right="1299" w:hanging="357"/>
        <w:spacing w:after="0" w:line="274"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9" w:lineRule="exact"/>
        <w:rPr>
          <w:sz w:val="20"/>
          <w:szCs w:val="20"/>
          <w:color w:val="auto"/>
        </w:rPr>
      </w:pPr>
    </w:p>
    <w:p>
      <w:pPr>
        <w:ind w:left="1860" w:right="1179" w:hanging="357"/>
        <w:spacing w:after="0" w:line="274"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50"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protect the confidentiality of our trade secrets and other proprietary information, our business and competitive position may be harmed.</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5" w:name="page36"/>
    <w:bookmarkEnd w:id="35"/>
    <w:p>
      <w:pPr>
        <w:ind w:left="1860" w:right="1239" w:hanging="357"/>
        <w:spacing w:after="0" w:line="292" w:lineRule="auto"/>
        <w:tabs>
          <w:tab w:leader="none" w:pos="1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rights throughout the world, which could impair our business.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9" w:lineRule="exact"/>
        <w:rPr>
          <w:sz w:val="20"/>
          <w:szCs w:val="20"/>
          <w:color w:val="auto"/>
        </w:rPr>
      </w:pPr>
    </w:p>
    <w:p>
      <w:pPr>
        <w:ind w:left="1860" w:right="1379" w:hanging="357"/>
        <w:spacing w:after="0" w:line="274" w:lineRule="auto"/>
        <w:tabs>
          <w:tab w:leader="none" w:pos="18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9" w:lineRule="exact"/>
        <w:rPr>
          <w:sz w:val="20"/>
          <w:szCs w:val="20"/>
          <w:color w:val="auto"/>
        </w:rPr>
      </w:pPr>
    </w:p>
    <w:p>
      <w:pPr>
        <w:ind w:left="1860" w:right="1219" w:hanging="357"/>
        <w:spacing w:after="0" w:line="274"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upon third parties, including single and sole source suppliers, to manufacture certain components and subcomponents of the RxSight system, making us vulnerable to supply disruptions and price fluctuations.</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9" w:lineRule="exact"/>
        <w:rPr>
          <w:sz w:val="20"/>
          <w:szCs w:val="20"/>
          <w:color w:val="auto"/>
        </w:rPr>
      </w:pPr>
    </w:p>
    <w:p>
      <w:pPr>
        <w:ind w:left="1860" w:hanging="357"/>
        <w:spacing w:after="0"/>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stock may be volatile, and you could lose all or part of your investment.</w:t>
      </w:r>
    </w:p>
    <w:p>
      <w:pPr>
        <w:spacing w:after="0" w:line="96" w:lineRule="exact"/>
        <w:rPr>
          <w:rFonts w:ascii="Times New Roman" w:cs="Times New Roman" w:eastAsia="Times New Roman" w:hAnsi="Times New Roman"/>
          <w:sz w:val="14"/>
          <w:szCs w:val="14"/>
          <w:color w:val="auto"/>
        </w:rPr>
      </w:pPr>
    </w:p>
    <w:p>
      <w:pPr>
        <w:jc w:val="both"/>
        <w:ind w:left="1860" w:right="1179" w:hanging="357"/>
        <w:spacing w:after="0" w:line="274"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9" w:lineRule="exact"/>
        <w:rPr>
          <w:sz w:val="20"/>
          <w:szCs w:val="20"/>
          <w:color w:val="auto"/>
        </w:rPr>
      </w:pPr>
    </w:p>
    <w:p>
      <w:pPr>
        <w:ind w:left="1860" w:right="1479" w:hanging="357"/>
        <w:spacing w:after="0" w:line="292"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recruit, retain, manage and motivate qualified executives as we build out the management team, and we are highly dependent on our management team.</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and future litigation proceedings could adversely affect our business, including the putative securities class action complaint filed in July 2025 in the U.S. District Court for the Central District of California which is pending.</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95"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effectively train our sales force, increase our sales and marketing capabilities or develop broad brand awareness in a cost-effective manner, our growth will be impeded, and our business will suffer.</w:t>
      </w:r>
    </w:p>
    <w:p>
      <w:pPr>
        <w:spacing w:after="0" w:line="34"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5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63"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6" w:name="page37"/>
    <w:bookmarkEnd w:id="36"/>
    <w:p>
      <w:pPr>
        <w:ind w:left="1160" w:right="1479"/>
        <w:spacing w:after="0" w:line="292" w:lineRule="auto"/>
        <w:rPr>
          <w:sz w:val="20"/>
          <w:szCs w:val="20"/>
          <w:color w:val="auto"/>
        </w:rPr>
      </w:pPr>
      <w:r>
        <w:rPr>
          <w:rFonts w:ascii="Times New Roman" w:cs="Times New Roman" w:eastAsia="Times New Roman" w:hAnsi="Times New Roman"/>
          <w:sz w:val="14"/>
          <w:szCs w:val="14"/>
          <w:color w:val="auto"/>
        </w:rPr>
        <w:t>brand, we may fail to attract or retain the doctor acceptance necessary to realize a sufficient return on our brand building efforts, or to achieve the level of brand awareness that is critical for broad adoption of our products.</w:t>
      </w:r>
    </w:p>
    <w:p>
      <w:pPr>
        <w:spacing w:after="0" w:line="38"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While sales declined in 2025 and in the first quarter of 2026 following several years of rapid growth, we have implemented changes in our sales organization in an effort to return to revenue growth in absolute dollars. In order to increase LAL use at our current customers, we recently realigned our commercial structure by unifying our LAL sales and clinical support personnel into a single Customer Success Organization. Each team within the Customer Success Organization is responsible for a defined group of doctors and practices, overseeing customer experience from initial onboarding through ongoing efforts to drive long-term utilization growth. Our LDD sales team remains focused on acquiring new high-potential accounts, which are subsequently transitioned to the Customer Success Organization for clinical support, education, and to maximize long-term utilization and growth and LAL use.</w:t>
      </w:r>
    </w:p>
    <w:p>
      <w:pPr>
        <w:spacing w:after="0" w:line="92"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(“PMA”), to successfully commercialize, market and sell, our planned or future products in the U.S.,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80" w:lineRule="exact"/>
        <w:rPr>
          <w:sz w:val="20"/>
          <w:szCs w:val="20"/>
          <w:color w:val="auto"/>
        </w:rPr>
      </w:pPr>
    </w:p>
    <w:p>
      <w:pPr>
        <w:ind w:left="1160" w:right="1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we expect to continue to incur losses in the future. If we ever achieve profitability, we may not be able to sustain it.</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have incurred losses from operations since our inception and expect to continue to incur losses from operations in the future. We reported losses from operations of $48.2 million and $36.9 million for the years ended December 31, 2025 and 2024, respectively, and $17.8 million and $10.7 million for the three months ended March 31, 2026 and 2025, respectively. As a result of these losses, as of March 31, 2026, we had an accumulated deficit of $676.9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w:t>
      </w:r>
    </w:p>
    <w:p>
      <w:pPr>
        <w:spacing w:after="0" w:line="63"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46"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3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59" w:lineRule="exact"/>
        <w:rPr>
          <w:sz w:val="20"/>
          <w:szCs w:val="20"/>
          <w:color w:val="auto"/>
        </w:rPr>
      </w:pPr>
    </w:p>
    <w:p>
      <w:pPr>
        <w:jc w:val="both"/>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Because of these and other factors, we expect to continue to incur net losses and negative cash flows from operations in the future. Our future liquidity and capital funding requirements will depend on numerous factors, including:</w:t>
      </w:r>
    </w:p>
    <w:p>
      <w:pPr>
        <w:spacing w:after="0" w:line="50" w:lineRule="exact"/>
        <w:rPr>
          <w:sz w:val="20"/>
          <w:szCs w:val="20"/>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growth;</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efforts;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activities;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leveraging future strategic partnerships;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7" w:name="page38"/>
    <w:bookmarkEnd w:id="37"/>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6"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or raise additional funds through future debt or equity offerings to finance our operations;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amount of reimbursement for procedures using our products;</w:t>
      </w:r>
    </w:p>
    <w:p>
      <w:pPr>
        <w:spacing w:after="0" w:line="96" w:lineRule="exact"/>
        <w:rPr>
          <w:rFonts w:ascii="Times New Roman" w:cs="Times New Roman" w:eastAsia="Times New Roman" w:hAnsi="Times New Roman"/>
          <w:sz w:val="14"/>
          <w:szCs w:val="14"/>
          <w:color w:val="auto"/>
        </w:rPr>
      </w:pPr>
    </w:p>
    <w:p>
      <w:pPr>
        <w:ind w:left="1860" w:right="1219" w:hanging="357"/>
        <w:spacing w:after="0" w:line="268"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54"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269"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60"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U.S. and worldwide resulting from the conflicts in Eastern Europe, the Middle East and otherwise.</w:t>
      </w:r>
    </w:p>
    <w:p>
      <w:pPr>
        <w:spacing w:after="0" w:line="6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As of March 31, 2026 we had $217.9 million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there is no assurance that we will be able to generate sufficient liquidity as and when needed. Further, although we do not anticipate the need to raise additional capital or incur additional debt in order to reach profit from operations,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There is no assurance that we will be able to generate sufficient liquidity as and when needed.</w:t>
      </w:r>
    </w:p>
    <w:p>
      <w:pPr>
        <w:spacing w:after="0" w:line="200" w:lineRule="exact"/>
        <w:rPr>
          <w:sz w:val="20"/>
          <w:szCs w:val="20"/>
          <w:color w:val="auto"/>
        </w:rPr>
      </w:pP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8" w:name="page39"/>
    <w:bookmarkEnd w:id="38"/>
    <w:p>
      <w:pPr>
        <w:jc w:val="both"/>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and market conditions, including downgrades of the U.S. credit rating, and inflation may adversely affect our business, results of operations and financial condition, including our revenue growth and profitability.</w:t>
      </w:r>
    </w:p>
    <w:p>
      <w:pPr>
        <w:spacing w:after="0" w:line="4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spacing w:after="0" w:line="56" w:lineRule="exact"/>
        <w:rPr>
          <w:sz w:val="20"/>
          <w:szCs w:val="20"/>
          <w:color w:val="auto"/>
        </w:rPr>
      </w:pPr>
    </w:p>
    <w:p>
      <w:pPr>
        <w:ind w:left="1160" w:right="17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Deterioration in the economic conditions globally has resulted in instability in global financial markets, including inflation and rising interest rates and instability in the capital markets.</w:t>
      </w:r>
    </w:p>
    <w:p>
      <w:pPr>
        <w:spacing w:after="0" w:line="34"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Various social and political circumstances in the U.S. and around the world (including wars and other forms of conflict, terrorist acts, security operations and catastrophic events such as fires, floods, earthquakes, tornadoes, hurricanes and global health pandemics) may also contribute to increased market volatility and economic uncertainties or deterioration in the U.S. and worldwide and have a material adverse effect on our business, financial conditions, results of operations and prospects.</w:t>
      </w:r>
    </w:p>
    <w:p>
      <w:pPr>
        <w:spacing w:after="0" w:line="56"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Additionally, the current inflationary environment may materially affect our business and operating results by increasing the costs of our supplies and may drive the U.S. Federal Reserve system to increase interest rates, which in turn may increase our overhead costs. Rising interest rates could make it more difficult to obtain traditional financing on acceptable terms, if at all. Furthermore, such economic conditions have produced downward pressure on share prices. Although we do not believe that inflation has had a material impact on our financial positions or results of operations to date, additional high inflation could increase our operating costs, including our labor costs and research and development costs. These costs may also be negatively impacted due to supply chain constraints, global geopolitical tensions, worsening macroeconomic conditions and employee availability and wage increases, which may result in additional stress on our working capital. We import from China certain materials and other components for use in our products, and such goods are subject to tariffs. Increases in tariffs could result in increased costs.</w:t>
      </w:r>
    </w:p>
    <w:p>
      <w:pPr>
        <w:spacing w:after="0" w:line="228"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U.S. trade policy, including tariffs, could have a material adverse impact on our business, financial condition, and results of operations.</w:t>
      </w:r>
    </w:p>
    <w:p>
      <w:pPr>
        <w:spacing w:after="0" w:line="34"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Changes in U.S. trade policy, including tariffs, could have a material adverse impact on our business, financial condition, and results of operations. The imposition of retaliatory or new tariffs or increases in existing tariffs on goods imported from countries where we source our products could result in increased material costs for our products. If we are unable to mitigate these risks through supply chain adjustments, such as changing vendors, pricing strategies, or other measures could adversely affect our gross margins, business, financial condition and results of operations.</w:t>
      </w:r>
    </w:p>
    <w:p>
      <w:pPr>
        <w:spacing w:after="0" w:line="54"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39" w:name="page40"/>
    <w:bookmarkEnd w:id="39"/>
    <w:p>
      <w:pPr>
        <w:jc w:val="both"/>
        <w:ind w:left="1160" w:right="1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48"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50" w:lineRule="exact"/>
        <w:rPr>
          <w:sz w:val="20"/>
          <w:szCs w:val="20"/>
          <w:color w:val="auto"/>
        </w:rPr>
      </w:pPr>
    </w:p>
    <w:p>
      <w:pPr>
        <w:ind w:left="1860" w:right="157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and perceived effectiveness and reliability of our RxSight system, especially relative to alternative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adverse patient events involving our RxSight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studies and trials relating to our RxSight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sustain meaningful clinical benefits for our patients;</w:t>
      </w:r>
    </w:p>
    <w:p>
      <w:pPr>
        <w:spacing w:after="0" w:line="96"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 to market our planned or future products for use in the U.S. or internationally;</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relative cost and perceived advantages and disadvantages of alternative technologies or treatment methods for conditions treated by our products;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patient willingness to pay for the additional costs associated with our premium intraocular lens out of pocket or return for an additional two to three clinic visits compared to traditional cataract surgery;</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doctors adopt our RxSight system;</w:t>
      </w:r>
    </w:p>
    <w:p>
      <w:pPr>
        <w:spacing w:after="0" w:line="96" w:lineRule="exact"/>
        <w:rPr>
          <w:rFonts w:ascii="Times New Roman" w:cs="Times New Roman" w:eastAsia="Times New Roman" w:hAnsi="Times New Roman"/>
          <w:sz w:val="14"/>
          <w:szCs w:val="14"/>
          <w:color w:val="auto"/>
        </w:rPr>
      </w:pPr>
    </w:p>
    <w:p>
      <w:pPr>
        <w:ind w:left="1860" w:right="1259" w:hanging="357"/>
        <w:spacing w:after="0" w:line="265"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5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in and to our RxSight system;</w:t>
      </w:r>
    </w:p>
    <w:p>
      <w:pPr>
        <w:spacing w:after="0" w:line="37"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patients value the customized vision delivered by the RxSight system and are satisfied with their results;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and maintaining compliance with regulatory requirements applicable to our products;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successful in educating doctors about IOLs in general, and the benefits of our RxSight system;</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among doctors, patients, and the market;</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marketing, clinical support, and commercial organization;</w:t>
      </w:r>
    </w:p>
    <w:p>
      <w:pPr>
        <w:spacing w:after="0" w:line="96" w:lineRule="exact"/>
        <w:rPr>
          <w:rFonts w:ascii="Times New Roman" w:cs="Times New Roman" w:eastAsia="Times New Roman" w:hAnsi="Times New Roman"/>
          <w:sz w:val="14"/>
          <w:szCs w:val="14"/>
          <w:color w:val="auto"/>
        </w:rPr>
      </w:pPr>
    </w:p>
    <w:p>
      <w:pPr>
        <w:ind w:left="1860" w:right="141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marketing and sales efforts in the U.S., including our efforts to build out our sales and clinical team;</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the commercialization of our products into international markets;</w:t>
      </w:r>
    </w:p>
    <w:p>
      <w:pPr>
        <w:spacing w:after="0" w:line="96" w:lineRule="exact"/>
        <w:rPr>
          <w:rFonts w:ascii="Times New Roman" w:cs="Times New Roman" w:eastAsia="Times New Roman" w:hAnsi="Times New Roman"/>
          <w:sz w:val="14"/>
          <w:szCs w:val="14"/>
          <w:color w:val="auto"/>
        </w:rPr>
      </w:pPr>
    </w:p>
    <w:p>
      <w:pPr>
        <w:ind w:left="1860" w:right="1179" w:hanging="357"/>
        <w:spacing w:after="0" w:line="274"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develop, validate and maintain a commercially viable manufacturing process that is compliant with the QMSR, which went into effect in February 2026, and other applicable foreign, federal and state regulatory requirements;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ongoing or future clinical trials; and</w:t>
      </w:r>
    </w:p>
    <w:p>
      <w:pPr>
        <w:spacing w:after="0" w:line="96" w:lineRule="exact"/>
        <w:rPr>
          <w:rFonts w:ascii="Times New Roman" w:cs="Times New Roman" w:eastAsia="Times New Roman" w:hAnsi="Times New Roman"/>
          <w:sz w:val="14"/>
          <w:szCs w:val="14"/>
          <w:color w:val="auto"/>
        </w:rPr>
      </w:pPr>
    </w:p>
    <w:p>
      <w:pPr>
        <w:ind w:left="1860" w:right="175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required by the FDA or comparable non-U.S. regulatory authorities to conduct additional clinical trials for current or future indications.</w:t>
      </w:r>
    </w:p>
    <w:p>
      <w:pPr>
        <w:spacing w:after="0" w:line="200" w:lineRule="exact"/>
        <w:rPr>
          <w:sz w:val="20"/>
          <w:szCs w:val="20"/>
          <w:color w:val="auto"/>
        </w:rPr>
      </w:pP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40" w:name="page41"/>
    <w:bookmarkEnd w:id="40"/>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59"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3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63"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The commercial success of our RxSight system will depend upon attaining significant market acceptance of these products among patients and doctors.</w:t>
      </w:r>
    </w:p>
    <w:p>
      <w:pPr>
        <w:spacing w:after="0" w:line="3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current customers that have adopted our RxSight system. Our future growth and profitability largely depend on our ability to increase other doctors’ awareness of our RxSight system and our products and on the willingness of doctors and patients to adopt them. These parties may not adopt our products like our current customers have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69" w:lineRule="exact"/>
        <w:rPr>
          <w:sz w:val="20"/>
          <w:szCs w:val="20"/>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long-standing relationships with competing companies and distributors that sell other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response and negative selling efforts from providers of alternative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with our products and concerns that we are relatively new to market;</w:t>
      </w:r>
    </w:p>
    <w:p>
      <w:pPr>
        <w:spacing w:after="0" w:line="96"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or perceived lack of sufficient clinical evidence, including long-term data, supporting safety or clinical benefits;</w:t>
      </w:r>
    </w:p>
    <w:p>
      <w:pPr>
        <w:spacing w:after="0" w:line="37" w:lineRule="exact"/>
        <w:rPr>
          <w:rFonts w:ascii="Times New Roman" w:cs="Times New Roman" w:eastAsia="Times New Roman" w:hAnsi="Times New Roman"/>
          <w:sz w:val="14"/>
          <w:szCs w:val="14"/>
          <w:color w:val="auto"/>
        </w:rPr>
      </w:pPr>
    </w:p>
    <w:p>
      <w:pPr>
        <w:ind w:left="1860" w:right="133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commitment and skill development that may be required to gain familiarity and proficiency with our products;</w:t>
      </w:r>
    </w:p>
    <w:p>
      <w:pPr>
        <w:spacing w:after="0" w:line="37"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confusion regarding the wide range of commercially available premium IOL offerings and their ability to deliver promised results at near, middle and far distances without reliance on glasses;</w:t>
      </w:r>
    </w:p>
    <w:p>
      <w:pPr>
        <w:spacing w:after="0" w:line="37" w:lineRule="exact"/>
        <w:rPr>
          <w:rFonts w:ascii="Times New Roman" w:cs="Times New Roman" w:eastAsia="Times New Roman" w:hAnsi="Times New Roman"/>
          <w:sz w:val="14"/>
          <w:szCs w:val="14"/>
          <w:color w:val="auto"/>
        </w:rPr>
      </w:pPr>
    </w:p>
    <w:p>
      <w:pPr>
        <w:ind w:left="1860" w:right="139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reticence to select a premium IOL due to nonperformance and adverse side effects associated with competing products in the market;</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1" w:name="page42"/>
    <w:bookmarkEnd w:id="41"/>
    <w:p>
      <w:pPr>
        <w:ind w:left="1860" w:right="1299" w:hanging="357"/>
        <w:spacing w:after="0" w:line="274"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50" w:lineRule="exact"/>
        <w:rPr>
          <w:rFonts w:ascii="Times New Roman" w:cs="Times New Roman" w:eastAsia="Times New Roman" w:hAnsi="Times New Roman"/>
          <w:sz w:val="14"/>
          <w:szCs w:val="14"/>
          <w:color w:val="auto"/>
        </w:rPr>
      </w:pPr>
    </w:p>
    <w:p>
      <w:pPr>
        <w:ind w:left="1860" w:right="1439" w:hanging="357"/>
        <w:spacing w:after="0" w:line="292"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generate patient referral due to dissatisfaction with results obtained through treatment with our products, the out-of-pocket cost of treatments using our products or otherwise.</w:t>
      </w:r>
    </w:p>
    <w:p>
      <w:pPr>
        <w:spacing w:after="0" w:line="12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order for doctors to use our RxSight system, they often must make a significant up-front investment to purchase the LDD. This can result in a lengthy sales cycle and require extensive negotiations and management time. If we are unsuccessful in placing LDDs with providers, our sales growth may stall and our sales may decrease, and our operating results may be harmed.</w:t>
      </w:r>
    </w:p>
    <w:p>
      <w:pPr>
        <w:spacing w:after="0" w:line="86" w:lineRule="exact"/>
        <w:rPr>
          <w:sz w:val="20"/>
          <w:szCs w:val="20"/>
          <w:color w:val="auto"/>
        </w:rPr>
      </w:pPr>
    </w:p>
    <w:p>
      <w:pPr>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There is no assurance that we will achieve broad market acceptance among doctors.</w:t>
      </w:r>
    </w:p>
    <w:p>
      <w:pPr>
        <w:spacing w:after="0" w:line="76" w:lineRule="exact"/>
        <w:rPr>
          <w:sz w:val="20"/>
          <w:szCs w:val="20"/>
          <w:color w:val="auto"/>
        </w:rPr>
      </w:pPr>
    </w:p>
    <w:p>
      <w:pPr>
        <w:ind w:left="1160" w:right="1279" w:firstLine="258"/>
        <w:spacing w:after="0" w:line="260" w:lineRule="auto"/>
        <w:rPr>
          <w:sz w:val="20"/>
          <w:szCs w:val="20"/>
          <w:color w:val="auto"/>
        </w:rPr>
      </w:pPr>
      <w:r>
        <w:rPr>
          <w:rFonts w:ascii="Times New Roman" w:cs="Times New Roman" w:eastAsia="Times New Roman" w:hAnsi="Times New Roman"/>
          <w:sz w:val="14"/>
          <w:szCs w:val="14"/>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92"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RxSight system involves surgical risks and is contraindicated in certain patients, which may limit adoption.</w:t>
      </w:r>
    </w:p>
    <w:p>
      <w:pPr>
        <w:spacing w:after="0" w:line="9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52" w:lineRule="exact"/>
        <w:rPr>
          <w:sz w:val="20"/>
          <w:szCs w:val="20"/>
          <w:color w:val="auto"/>
        </w:rPr>
      </w:pPr>
    </w:p>
    <w:p>
      <w:pPr>
        <w:ind w:left="1160" w:right="14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34"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IOL market is intensely competitive, subject to rapid change and is constantly impacted by new product introductions and other market activities of industry participants. We compete with manufacturers and distributors of premium and conventional IOLs. Our most significant competitors in the IOL field include Alcon, Johnson &amp; Johnson and Bausch + Lomb, which all continue to develop and release new IOL products and technologies. Most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95" w:lineRule="exact"/>
        <w:rPr>
          <w:sz w:val="20"/>
          <w:szCs w:val="20"/>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patient outcomes, oftentimes measured by visual acuity, and adverse event rates;</w:t>
      </w:r>
    </w:p>
    <w:p>
      <w:pPr>
        <w:spacing w:after="0" w:line="200" w:lineRule="exact"/>
        <w:rPr>
          <w:sz w:val="20"/>
          <w:szCs w:val="20"/>
          <w:color w:val="auto"/>
        </w:rPr>
      </w:pPr>
    </w:p>
    <w:p>
      <w:pPr>
        <w:spacing w:after="0" w:line="2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2" w:name="page43"/>
    <w:bookmarkEnd w:id="42"/>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experience, including patient recovery time and level of discomfort;</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by treating doctors and referral sources;</w:t>
      </w:r>
    </w:p>
    <w:p>
      <w:pPr>
        <w:spacing w:after="0" w:line="118" w:lineRule="exact"/>
        <w:rPr>
          <w:rFonts w:ascii="Times New Roman" w:cs="Times New Roman" w:eastAsia="Times New Roman" w:hAnsi="Times New Roman"/>
          <w:sz w:val="14"/>
          <w:szCs w:val="14"/>
          <w:color w:val="auto"/>
        </w:rPr>
      </w:pPr>
    </w:p>
    <w:p>
      <w:pPr>
        <w:ind w:left="1860" w:right="1539" w:hanging="357"/>
        <w:spacing w:after="0" w:line="292" w:lineRule="auto"/>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Doctor learning curves and willingness to adopt new technologies, particularly during competitive launch periods;</w:t>
      </w:r>
    </w:p>
    <w:p>
      <w:pPr>
        <w:spacing w:after="0" w:line="7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Ease-of-use and reliability;</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benefits and cost savings;</w:t>
      </w:r>
    </w:p>
    <w:p>
      <w:pPr>
        <w:spacing w:after="0" w:line="11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 of clinical evidence;</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distribution and marketing to surgeons and potential patients; and</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price and qualification for coverage and reimbursement.</w:t>
      </w:r>
    </w:p>
    <w:p>
      <w:pPr>
        <w:spacing w:after="0" w:line="118"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We compete primarily on the basis that our products are designed to enable more doctors to treat more patients more efficiently and effectively. Our continued success depends on our ability to:</w:t>
      </w:r>
    </w:p>
    <w:p>
      <w:pPr>
        <w:spacing w:after="0" w:line="38" w:lineRule="exact"/>
        <w:rPr>
          <w:sz w:val="20"/>
          <w:szCs w:val="20"/>
          <w:color w:val="auto"/>
        </w:rPr>
      </w:pPr>
    </w:p>
    <w:p>
      <w:pPr>
        <w:ind w:left="1860" w:right="127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innovative, proprietary products that address significant clinical needs in a manner that is safe and effective for patients and easy-to-use for doctors;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regulatory clearances or approvals;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safety and effectiveness in our sponsored and third-party clinical trials;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sales and clinical teams across key markets to increase doctors’ awareness;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coverage and adequate reimbursement for procedures using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research, development, sales and clinical personnel;</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cost-effectively manufacture, market and sell our products;</w:t>
      </w:r>
    </w:p>
    <w:p>
      <w:pPr>
        <w:spacing w:after="0" w:line="96"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doctors with a sufficient return on investment as compared to alternative premium IOL procedures that justifies the upfront cost of our LDD; and</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maintain, enforce and defend our intellectual property rights and operate our business without infringing, misappropriating or otherwise violating the intellectual property rights of others.</w:t>
      </w:r>
    </w:p>
    <w:p>
      <w:pPr>
        <w:spacing w:after="0" w:line="124"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There is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9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3" w:name="page44"/>
    <w:bookmarkEnd w:id="43"/>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34"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50" w:lineRule="exact"/>
        <w:rPr>
          <w:sz w:val="20"/>
          <w:szCs w:val="20"/>
          <w:color w:val="auto"/>
        </w:rPr>
      </w:pPr>
    </w:p>
    <w:p>
      <w:pPr>
        <w:ind w:left="1860" w:right="125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collaborations;</w:t>
      </w:r>
    </w:p>
    <w:p>
      <w:pPr>
        <w:spacing w:after="0" w:line="70" w:lineRule="exact"/>
        <w:rPr>
          <w:rFonts w:ascii="Times New Roman" w:cs="Times New Roman" w:eastAsia="Times New Roman" w:hAnsi="Times New Roman"/>
          <w:sz w:val="14"/>
          <w:szCs w:val="14"/>
          <w:color w:val="auto"/>
        </w:rPr>
      </w:pPr>
    </w:p>
    <w:p>
      <w:pPr>
        <w:ind w:left="1860" w:right="1219" w:hanging="357"/>
        <w:spacing w:after="0" w:line="265"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products or may elect not to continue or renew development or commercialization programs based on clinical trial or test results, changes in their strategic focus due to the acquisition of competitive products, availability of funding or other external factors, such as a business combination that diverts resources or creates competing priorities;</w:t>
      </w:r>
    </w:p>
    <w:p>
      <w:pPr>
        <w:spacing w:after="0" w:line="7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current and future products;</w:t>
      </w:r>
    </w:p>
    <w:p>
      <w:pPr>
        <w:spacing w:after="0" w:line="70" w:lineRule="exact"/>
        <w:rPr>
          <w:rFonts w:ascii="Times New Roman" w:cs="Times New Roman" w:eastAsia="Times New Roman" w:hAnsi="Times New Roman"/>
          <w:sz w:val="14"/>
          <w:szCs w:val="14"/>
          <w:color w:val="auto"/>
        </w:rPr>
      </w:pPr>
    </w:p>
    <w:p>
      <w:pPr>
        <w:jc w:val="both"/>
        <w:ind w:left="1860" w:right="135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manufacturing and distribution rights to one or more products may not commit sufficient resources to or otherwise not perform satisfactorily in carrying out these activities;</w:t>
      </w:r>
    </w:p>
    <w:p>
      <w:pPr>
        <w:spacing w:after="0" w:line="70"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59" w:lineRule="exact"/>
        <w:rPr>
          <w:rFonts w:ascii="Times New Roman" w:cs="Times New Roman" w:eastAsia="Times New Roman" w:hAnsi="Times New Roman"/>
          <w:sz w:val="14"/>
          <w:szCs w:val="14"/>
          <w:color w:val="auto"/>
        </w:rPr>
      </w:pPr>
    </w:p>
    <w:p>
      <w:pPr>
        <w:ind w:left="1860" w:right="1259" w:hanging="357"/>
        <w:spacing w:after="0" w:line="268"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6" w:lineRule="exact"/>
        <w:rPr>
          <w:rFonts w:ascii="Times New Roman" w:cs="Times New Roman" w:eastAsia="Times New Roman" w:hAnsi="Times New Roman"/>
          <w:sz w:val="14"/>
          <w:szCs w:val="14"/>
          <w:color w:val="auto"/>
        </w:rPr>
      </w:pPr>
    </w:p>
    <w:p>
      <w:pPr>
        <w:ind w:left="1860" w:right="1239" w:hanging="357"/>
        <w:spacing w:after="0" w:line="274"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2"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current or future products;</w:t>
      </w:r>
    </w:p>
    <w:p>
      <w:pPr>
        <w:spacing w:after="0" w:line="59" w:lineRule="exact"/>
        <w:rPr>
          <w:rFonts w:ascii="Times New Roman" w:cs="Times New Roman" w:eastAsia="Times New Roman" w:hAnsi="Times New Roman"/>
          <w:sz w:val="14"/>
          <w:szCs w:val="14"/>
          <w:color w:val="auto"/>
        </w:rPr>
      </w:pPr>
    </w:p>
    <w:p>
      <w:pPr>
        <w:ind w:left="1860" w:right="1539" w:hanging="357"/>
        <w:spacing w:after="0" w:line="274"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2" w:lineRule="exact"/>
        <w:rPr>
          <w:rFonts w:ascii="Times New Roman" w:cs="Times New Roman" w:eastAsia="Times New Roman" w:hAnsi="Times New Roman"/>
          <w:sz w:val="14"/>
          <w:szCs w:val="14"/>
          <w:color w:val="auto"/>
        </w:rPr>
      </w:pPr>
    </w:p>
    <w:p>
      <w:pPr>
        <w:ind w:left="1860" w:right="1619" w:hanging="357"/>
        <w:spacing w:after="0" w:line="292"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collaborator’s sales and marketing activities or other operations may not be in compliance with applicable laws resulting in civil or criminal proceedings.</w:t>
      </w:r>
    </w:p>
    <w:p>
      <w:pPr>
        <w:spacing w:after="0" w:line="66" w:lineRule="exact"/>
        <w:rPr>
          <w:sz w:val="20"/>
          <w:szCs w:val="20"/>
          <w:color w:val="auto"/>
        </w:rPr>
      </w:pPr>
    </w:p>
    <w:p>
      <w:pPr>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4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currently maintain our research and development, manufacturing and administrative operations in Aliso Viejo, California, and we do not have redundant facilities. We operate in five separate facilities, designated as a single manufacturing facility, and should any one of these facilities be significantly damaged or destroyed by natural or man-made disasters, such as earthquakes, and/or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44" w:name="page45"/>
    <w:bookmarkEnd w:id="44"/>
    <w:p>
      <w:pPr>
        <w:ind w:left="1160" w:right="1179"/>
        <w:spacing w:after="0" w:line="265" w:lineRule="auto"/>
        <w:rPr>
          <w:sz w:val="20"/>
          <w:szCs w:val="20"/>
          <w:color w:val="auto"/>
        </w:rPr>
      </w:pPr>
      <w:r>
        <w:rPr>
          <w:rFonts w:ascii="Times New Roman" w:cs="Times New Roman" w:eastAsia="Times New Roman" w:hAnsi="Times New Roman"/>
          <w:sz w:val="14"/>
          <w:szCs w:val="14"/>
          <w:color w:val="auto"/>
        </w:rPr>
        <w:t>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56"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Furthermore, the current leases on our facilities expire on January 31, 2031, with two options to extend for five years each. We may be unable to renew our leases or find a new facility on commercially reasonable terms, or at all. If we are unable or unwilling to renew at the proposed rates, relocating our manufacturing facility would involve significant expense in connection with the movement and installation of key manufacturing equipment and any necessary recertification with regulatory bodies, and such a move could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Technological change may adversely affect sales of our products and may cause our products to become obsolete.</w:t>
      </w:r>
    </w:p>
    <w:p>
      <w:pPr>
        <w:spacing w:after="0" w:line="101"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IOL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employee turnover, inability to hire personnel with sufficient technical skills or replace key personnel,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82"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Uncertainties with respect to the development, deployment, and use of artificial intelligence in our business and products may result in harm to our business and reputation.</w:t>
      </w:r>
    </w:p>
    <w:p>
      <w:pPr>
        <w:spacing w:after="0" w:line="3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We are in the early stages of incorporating artificial intelligence (“AI”) into our business activities and our product and service offerings. As with many innovations, AI presents risks and challenges that could adversely impact our business. The development, adoption, and use of AI technologies are still in their early stages and ineffective or inadequate AI development or deployment practices could result in unintended consequences. For example, AI algorithms may be flawed or may be based on datasets that are biased or insufficient. In addition, any disruption or failure in the AI functionality we incorporate into our business activities, products or services could adversely impact our business or result in delays or errors in our offerings. Conversely, a failure to timely and effectively use or deploy AI and integrate it into new product offerings and services could negatively impact our competitiveness, particularly ahead of evolving industry trends and evolving consumer demands. We may be unable to devote adequate financial resources to develop or acquire new AI technologies and systems in the future. Use of AI to improve internal business operations, or in the development or provision of products or services, poses risks and challenges. There also may be real or perceived social harm, unfairness, or other outcomes that undermine public confidence in the use and deployment of AI. Any of the foregoing may result in decreased demand for our products or harm to our business, financial statements or reputation.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costs and may limit our ability to develop, deploy or use AI technologies. Failure to appropriately respond to this evolving landscape may result in legal liability, regulatory action, or brand and reputational harm.</w:t>
      </w:r>
    </w:p>
    <w:p>
      <w:pPr>
        <w:spacing w:after="0" w:line="200" w:lineRule="exact"/>
        <w:rPr>
          <w:sz w:val="20"/>
          <w:szCs w:val="20"/>
          <w:color w:val="auto"/>
        </w:rPr>
      </w:pPr>
    </w:p>
    <w:p>
      <w:pPr>
        <w:spacing w:after="0" w:line="3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5" w:name="page46"/>
    <w:bookmarkEnd w:id="45"/>
    <w:p>
      <w:pPr>
        <w:ind w:left="1160" w:right="14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48"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57"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are unsuccessful or significantly delayed, or if we do not complete our clinical trials, our business may be harmed.</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63"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50" w:lineRule="exact"/>
        <w:rPr>
          <w:sz w:val="20"/>
          <w:szCs w:val="20"/>
          <w:color w:val="auto"/>
        </w:rPr>
      </w:pPr>
    </w:p>
    <w:p>
      <w:pPr>
        <w:ind w:left="1860" w:right="121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and timely completion of nonclinical studies or clinical development of our products, as well as the associated costs, including any unforeseen costs we may incur as a result of clinical trial delays;</w:t>
      </w:r>
    </w:p>
    <w:p>
      <w:pPr>
        <w:spacing w:after="0" w:line="37" w:lineRule="exact"/>
        <w:rPr>
          <w:rFonts w:ascii="Times New Roman" w:cs="Times New Roman" w:eastAsia="Times New Roman" w:hAnsi="Times New Roman"/>
          <w:sz w:val="14"/>
          <w:szCs w:val="14"/>
          <w:color w:val="auto"/>
        </w:rPr>
      </w:pPr>
    </w:p>
    <w:p>
      <w:pPr>
        <w:ind w:left="1860" w:right="141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in our clinical trials may be slower than we anticipate, or we may experience high screen failure rates in our clinical trials, resulting in significant delays;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may produce negative or inconclusive results, and we may decide, or regulators may require us, to conduct additional clinical and/or preclinical testing which may be expensive and time-consuming;</w:t>
      </w:r>
    </w:p>
    <w:p>
      <w:pPr>
        <w:spacing w:after="0" w:line="50"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results may not meet the level of statistical significance required by the FDA or other regulatory authorities;</w:t>
      </w:r>
    </w:p>
    <w:p>
      <w:pPr>
        <w:spacing w:after="0" w:line="37" w:lineRule="exact"/>
        <w:rPr>
          <w:rFonts w:ascii="Times New Roman" w:cs="Times New Roman" w:eastAsia="Times New Roman" w:hAnsi="Times New Roman"/>
          <w:sz w:val="14"/>
          <w:szCs w:val="14"/>
          <w:color w:val="auto"/>
        </w:rPr>
      </w:pPr>
    </w:p>
    <w:p>
      <w:pPr>
        <w:ind w:left="1860" w:right="1459" w:hanging="357"/>
        <w:spacing w:after="0" w:line="274"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that one or more of our products is not sufficiently safe for investigational use in humans or may interpret data from preclinical testing and clinical trials in different ways than we do;</w:t>
      </w:r>
    </w:p>
    <w:p>
      <w:pPr>
        <w:spacing w:after="0" w:line="50"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or failure in obtaining approval of our clinical trial protocols from the FDA or other regulatory authorities;</w:t>
      </w:r>
    </w:p>
    <w:p>
      <w:pPr>
        <w:spacing w:after="0" w:line="37"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in obtaining institutional review board approvals or governmental approvals to conduct clinical trials at prospective sites;</w:t>
      </w:r>
    </w:p>
    <w:p>
      <w:pPr>
        <w:spacing w:after="0" w:line="37" w:lineRule="exact"/>
        <w:rPr>
          <w:rFonts w:ascii="Times New Roman" w:cs="Times New Roman" w:eastAsia="Times New Roman" w:hAnsi="Times New Roman"/>
          <w:sz w:val="14"/>
          <w:szCs w:val="14"/>
          <w:color w:val="auto"/>
        </w:rPr>
      </w:pPr>
    </w:p>
    <w:p>
      <w:pPr>
        <w:ind w:left="1860" w:right="1459" w:hanging="357"/>
        <w:spacing w:after="0" w:line="274"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that one or more of our products is not sufficiently safe for investigational use in humans or may interpret data from preclinical testing and clinical trials in different ways than we do;</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46" w:name="page47"/>
    <w:bookmarkEnd w:id="46"/>
    <w:p>
      <w:pPr>
        <w:jc w:val="both"/>
        <w:ind w:left="1860" w:right="1639" w:hanging="357"/>
        <w:spacing w:after="0" w:line="274"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in managing multiple clinical trial sites; or</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finding patients to enroll in our clinical trials;</w:t>
      </w:r>
    </w:p>
    <w:p>
      <w:pPr>
        <w:spacing w:after="0" w:line="96"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agreeing on acceptable terms with third-party research organizations and clinical trial sites that may help us conduct the clinical trials; and</w:t>
      </w:r>
    </w:p>
    <w:p>
      <w:pPr>
        <w:spacing w:after="0" w:line="37" w:lineRule="exact"/>
        <w:rPr>
          <w:rFonts w:ascii="Times New Roman" w:cs="Times New Roman" w:eastAsia="Times New Roman" w:hAnsi="Times New Roman"/>
          <w:sz w:val="14"/>
          <w:szCs w:val="14"/>
          <w:color w:val="auto"/>
        </w:rPr>
      </w:pPr>
    </w:p>
    <w:p>
      <w:pPr>
        <w:ind w:left="1860" w:right="1499" w:hanging="357"/>
        <w:spacing w:after="0" w:line="292"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regulators, may suspend or terminate our clinical trials because the participating patients are being exposed to unacceptable health risks.</w:t>
      </w:r>
    </w:p>
    <w:p>
      <w:pPr>
        <w:spacing w:after="0" w:line="38" w:lineRule="exact"/>
        <w:rPr>
          <w:sz w:val="20"/>
          <w:szCs w:val="20"/>
          <w:color w:val="auto"/>
        </w:rPr>
      </w:pPr>
    </w:p>
    <w:p>
      <w:pPr>
        <w:jc w:val="both"/>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46" w:lineRule="exact"/>
        <w:rPr>
          <w:sz w:val="20"/>
          <w:szCs w:val="20"/>
          <w:color w:val="auto"/>
        </w:rPr>
      </w:pPr>
    </w:p>
    <w:p>
      <w:pPr>
        <w:ind w:left="11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48"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Medical devices are increasingly connected to the internet, hospital networks, and other medical devices to provide features that improve healthcare and increase the ability of healthcare providers to treat patients and patients to manage their conditions. Although disabled, our RxSight system is capable of bidirectional connectivity and interoperability with other devices, local networks and the internet, which if enabled,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346" w:lineRule="exact"/>
        <w:rPr>
          <w:sz w:val="20"/>
          <w:szCs w:val="20"/>
          <w:color w:val="auto"/>
        </w:rPr>
      </w:pPr>
    </w:p>
    <w:p>
      <w:pPr>
        <w:ind w:left="1160" w:right="151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Our IT systems,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our brand and cause material disruption to our operations.</w:t>
      </w:r>
    </w:p>
    <w:p>
      <w:pPr>
        <w:spacing w:after="0" w:line="57"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w:t>
      </w:r>
    </w:p>
    <w:p>
      <w:pPr>
        <w:spacing w:after="0" w:line="63"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For example, as previously disclosed in May 2024, an unauthorized actor targeted the personal cell phone number of an RxSight employee. The unauthorized actor obtained unauthorized access to the employee’s cloud-based work account, and to e-mails and files that were accessible from that account. We discovered the incident on the same day and were able to prevent interruption of our information systems, and they remained operational during this unauthorized access. This incident did not have a material impact on our operations, financial systems, or financial condition. However, there can be no assurance that a similar incident would not have a future material impact on our operations, financial systems, or financial condition and we remain subject to various risks due to the incident.</w:t>
      </w:r>
    </w:p>
    <w:p>
      <w:pPr>
        <w:spacing w:after="0" w:line="200" w:lineRule="exact"/>
        <w:rPr>
          <w:sz w:val="20"/>
          <w:szCs w:val="20"/>
          <w:color w:val="auto"/>
        </w:rPr>
      </w:pPr>
    </w:p>
    <w:p>
      <w:pPr>
        <w:spacing w:after="0" w:line="3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7" w:name="page48"/>
    <w:bookmarkEnd w:id="47"/>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or incident could result in disruptions to our business processes, network degradation, and system down time, along with the potential that a third-party will gain unauthorized access to, acquire, or otherwise use, modify, or process intellectual property, proprietary business information, and data related to our employees, customers, suppliers, and business partners, including personal data, in an unauthorized manner. Any disruption, degradation, or other security breach, incident, or other event that results in loss or unavailability of or damage to our data or systems, system downtime or other disruptions, or in inappropriate disclosure or other processing of confidential or personal data, could adversely impact us and our customers, potentially resulting in, among other things, financial losses, loss of customers or business, our inability to transact business, adverse impact on our reputation, actual or alleged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w:t>
      </w:r>
    </w:p>
    <w:p>
      <w:pPr>
        <w:spacing w:after="0" w:line="23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Despite the implementation of security measures in our efforts to protect systems that store our information, given their size and complexity and the increasing amounts of information maintained on our internal information technology systems and external processing and storage systems (e.g., hosting), contractors and consultants and other third-party service providers, these systems are potentially vulnerable to breakdown or other damage or interruption. Our systems and the systems of third parties who support our operations are vulnerable to service interruptions, system malfunction, natural disasters, terrorism,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the unauthorized access to, misuse, disclosure, loss, destruction, alteration or dissemination of, or damage to, our data, including trade secrets or other confidential information, intellectual property, proprietary business information, and personal information. For example, companies have experienced an increase in phishing and social engineering attacks from third parties in recent years. Our employees generally work in a hybrid model in our offices and from home, and we may need to adjust our working model from time to time. As a result, we have increased cyber-security and data security risks, due to increased use of home wi-fi networks and virtual private networks, as well as increased disbursement of physical machines.</w:t>
      </w:r>
    </w:p>
    <w:p>
      <w:pPr>
        <w:spacing w:after="0" w:line="63" w:lineRule="exact"/>
        <w:rPr>
          <w:sz w:val="20"/>
          <w:szCs w:val="20"/>
          <w:color w:val="auto"/>
        </w:rPr>
      </w:pPr>
    </w:p>
    <w:p>
      <w:pPr>
        <w:jc w:val="both"/>
        <w:ind w:left="1160" w:right="1199" w:firstLine="322"/>
        <w:spacing w:after="0" w:line="262" w:lineRule="auto"/>
        <w:rPr>
          <w:sz w:val="20"/>
          <w:szCs w:val="20"/>
          <w:color w:val="auto"/>
        </w:rPr>
      </w:pPr>
      <w:r>
        <w:rPr>
          <w:rFonts w:ascii="Times New Roman" w:cs="Times New Roman" w:eastAsia="Times New Roman" w:hAnsi="Times New Roman"/>
          <w:sz w:val="14"/>
          <w:szCs w:val="14"/>
          <w:color w:val="auto"/>
        </w:rPr>
        <w:t>Any disruption, security incident, or security breach resulting in any loss, destruction, unavailability, alteration or dissemination of, or damage to, our data, could subject us to significant fines or penalties for any noncompliance with certain state, federal and/or international laws relating to privacy, data protection, and information security.</w:t>
      </w:r>
    </w:p>
    <w:p>
      <w:pPr>
        <w:spacing w:after="0" w:line="2" w:lineRule="exact"/>
        <w:rPr>
          <w:sz w:val="20"/>
          <w:szCs w:val="20"/>
          <w:color w:val="auto"/>
        </w:rPr>
      </w:pPr>
    </w:p>
    <w:p>
      <w:pPr>
        <w:ind w:left="1160" w:right="1199"/>
        <w:spacing w:after="0" w:line="258" w:lineRule="auto"/>
        <w:rPr>
          <w:sz w:val="20"/>
          <w:szCs w:val="20"/>
          <w:color w:val="auto"/>
        </w:rPr>
      </w:pPr>
      <w:r>
        <w:rPr>
          <w:rFonts w:ascii="Times New Roman" w:cs="Times New Roman" w:eastAsia="Times New Roman" w:hAnsi="Times New Roman"/>
          <w:sz w:val="14"/>
          <w:szCs w:val="14"/>
          <w:color w:val="auto"/>
        </w:rPr>
        <w:t>Litigation and governmental investigations could force us to spend money in defense or settlement, divert management’s time and attention, increase our costs of doing business, and/or adversely affect our reputation.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risks of, or to detect, such attacks, breaches or incidents that occur will be successful and our failure to do so could have a material adverse effect on our business, financial condition and results of operations.</w:t>
      </w:r>
    </w:p>
    <w:p>
      <w:pPr>
        <w:spacing w:after="0" w:line="60" w:lineRule="exact"/>
        <w:rPr>
          <w:sz w:val="20"/>
          <w:szCs w:val="20"/>
          <w:color w:val="auto"/>
        </w:rPr>
      </w:pPr>
    </w:p>
    <w:p>
      <w:pPr>
        <w:ind w:left="1160" w:right="16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34"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specific products and indications. As a result, we may forgo or delay pursuit of other opportunities with others that could have had greater commercial</w:t>
      </w: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8" w:name="page49"/>
    <w:bookmarkEnd w:id="48"/>
    <w:p>
      <w:pPr>
        <w:ind w:left="1160" w:right="1199"/>
        <w:spacing w:after="0" w:line="262" w:lineRule="auto"/>
        <w:rPr>
          <w:sz w:val="20"/>
          <w:szCs w:val="20"/>
          <w:color w:val="auto"/>
        </w:rPr>
      </w:pPr>
      <w:r>
        <w:rPr>
          <w:rFonts w:ascii="Times New Roman" w:cs="Times New Roman" w:eastAsia="Times New Roman" w:hAnsi="Times New Roman"/>
          <w:sz w:val="14"/>
          <w:szCs w:val="14"/>
          <w:color w:val="auto"/>
        </w:rPr>
        <w:t>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55" w:lineRule="exact"/>
        <w:rPr>
          <w:sz w:val="20"/>
          <w:szCs w:val="20"/>
          <w:color w:val="auto"/>
        </w:rPr>
      </w:pPr>
    </w:p>
    <w:p>
      <w:pPr>
        <w:jc w:val="both"/>
        <w:ind w:left="11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53"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60"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there is no assurance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93"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235"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w:t>
      </w: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9" w:name="page50"/>
    <w:bookmarkEnd w:id="49"/>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development processes, or if development work is not performed according to schedule, then such new technologies or products may be adversely impacted, and our business and operating results may be harmed.</w:t>
      </w:r>
    </w:p>
    <w:p>
      <w:pPr>
        <w:spacing w:after="0" w:line="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If we fail to identify, acquire and develop other products, we may be unable to grow our business.</w:t>
      </w:r>
    </w:p>
    <w:p>
      <w:pPr>
        <w:spacing w:after="0" w:line="97"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54"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there is no assurance that any such products that are approved or cleared will be manufactured or produced economically, successfully commercialized or widely accepted in the marketplace.</w:t>
      </w:r>
    </w:p>
    <w:p>
      <w:pPr>
        <w:spacing w:after="0" w:line="91" w:lineRule="exact"/>
        <w:rPr>
          <w:sz w:val="20"/>
          <w:szCs w:val="20"/>
          <w:color w:val="auto"/>
        </w:rPr>
      </w:pPr>
    </w:p>
    <w:p>
      <w:pPr>
        <w:jc w:val="both"/>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56" w:lineRule="exact"/>
        <w:rPr>
          <w:sz w:val="20"/>
          <w:szCs w:val="20"/>
          <w:color w:val="auto"/>
        </w:rPr>
      </w:pPr>
    </w:p>
    <w:p>
      <w:pPr>
        <w:ind w:left="1160" w:right="1179" w:firstLine="258"/>
        <w:spacing w:after="0" w:line="285" w:lineRule="auto"/>
        <w:rPr>
          <w:sz w:val="20"/>
          <w:szCs w:val="20"/>
          <w:color w:val="auto"/>
        </w:rPr>
      </w:pPr>
      <w:r>
        <w:rPr>
          <w:rFonts w:ascii="Times New Roman" w:cs="Times New Roman" w:eastAsia="Times New Roman" w:hAnsi="Times New Roman"/>
          <w:sz w:val="14"/>
          <w:szCs w:val="14"/>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215" w:lineRule="exact"/>
        <w:rPr>
          <w:sz w:val="20"/>
          <w:szCs w:val="20"/>
          <w:color w:val="auto"/>
        </w:rPr>
      </w:pPr>
    </w:p>
    <w:p>
      <w:pPr>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48"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We may seek to acquire or invest in businesses, applications or technologies that we believe could complement or expand our portfolio, enhance our technical capabilities or otherwise offer growth opportunities. However, there is no assurance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81"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54"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48"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Depending on the country or region, our products are purchased by doctors who will then seek reimbursement from third-party payors and patients for the procedures performed using our products. Reimbursement systems and patient billing rules in international markets vary significantly by country and by region</w:t>
      </w:r>
    </w:p>
    <w:p>
      <w:pPr>
        <w:spacing w:after="0" w:line="3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0" w:name="page51"/>
    <w:bookmarkEnd w:id="50"/>
    <w:p>
      <w:pPr>
        <w:ind w:left="1160" w:right="1219"/>
        <w:spacing w:after="0" w:line="263" w:lineRule="auto"/>
        <w:rPr>
          <w:sz w:val="20"/>
          <w:szCs w:val="20"/>
          <w:color w:val="auto"/>
        </w:rPr>
      </w:pPr>
      <w:r>
        <w:rPr>
          <w:rFonts w:ascii="Times New Roman" w:cs="Times New Roman" w:eastAsia="Times New Roman" w:hAnsi="Times New Roman"/>
          <w:sz w:val="14"/>
          <w:szCs w:val="14"/>
          <w:color w:val="auto"/>
        </w:rPr>
        <w:t>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9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While third-party payors in certain countries and regions currently cover and provide reimbursement for a portion of the cost of the procedures performed using our currently cleared or approved products, there is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U.S. or any international markets we enter, the demand for our products and our revenue will be adversely affected.</w:t>
      </w:r>
    </w:p>
    <w:p>
      <w:pPr>
        <w:spacing w:after="0" w:line="80"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56"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265" w:lineRule="exact"/>
        <w:rPr>
          <w:sz w:val="20"/>
          <w:szCs w:val="20"/>
          <w:color w:val="auto"/>
        </w:rPr>
      </w:pPr>
    </w:p>
    <w:p>
      <w:pPr>
        <w:ind w:left="11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63" w:lineRule="exact"/>
        <w:rPr>
          <w:sz w:val="20"/>
          <w:szCs w:val="20"/>
          <w:color w:val="auto"/>
        </w:rPr>
      </w:pPr>
    </w:p>
    <w:p>
      <w:pPr>
        <w:jc w:val="both"/>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50" w:lineRule="exact"/>
        <w:rPr>
          <w:sz w:val="20"/>
          <w:szCs w:val="20"/>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the related litigation;</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51" w:name="page52"/>
    <w:bookmarkEnd w:id="51"/>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time and our resources;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clinical trial participants or patients;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market and sell our products.</w:t>
      </w:r>
    </w:p>
    <w:p>
      <w:pPr>
        <w:spacing w:after="0" w:line="9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23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52" w:lineRule="exact"/>
        <w:rPr>
          <w:sz w:val="20"/>
          <w:szCs w:val="20"/>
          <w:color w:val="auto"/>
        </w:rPr>
      </w:pPr>
    </w:p>
    <w:p>
      <w:pPr>
        <w:ind w:left="116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5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Sales of our products outside of the U.S.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50" w:lineRule="exact"/>
        <w:rPr>
          <w:sz w:val="20"/>
          <w:szCs w:val="20"/>
          <w:color w:val="auto"/>
        </w:rPr>
      </w:pPr>
    </w:p>
    <w:p>
      <w:pPr>
        <w:ind w:left="1860" w:right="121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and reimbursement regimes in foreign countries, including changes to regulatory requirements and implementation of new regulations in foreign countries;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compliance with non-U.S. laws and regulations;</w:t>
      </w:r>
    </w:p>
    <w:p>
      <w:pPr>
        <w:spacing w:after="0" w:line="96" w:lineRule="exact"/>
        <w:rPr>
          <w:rFonts w:ascii="Times New Roman" w:cs="Times New Roman" w:eastAsia="Times New Roman" w:hAnsi="Times New Roman"/>
          <w:sz w:val="14"/>
          <w:szCs w:val="14"/>
          <w:color w:val="auto"/>
        </w:rPr>
      </w:pPr>
    </w:p>
    <w:p>
      <w:pPr>
        <w:ind w:left="1860" w:right="179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price and exchange controls and other regulatory requirements;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protection measures, import or export licensing requirements, or other restrictive actions by U.S. or non-U.S. governments;</w:t>
      </w:r>
    </w:p>
    <w:p>
      <w:pPr>
        <w:spacing w:after="0" w:line="37" w:lineRule="exact"/>
        <w:rPr>
          <w:rFonts w:ascii="Times New Roman" w:cs="Times New Roman" w:eastAsia="Times New Roman" w:hAnsi="Times New Roman"/>
          <w:sz w:val="14"/>
          <w:szCs w:val="14"/>
          <w:color w:val="auto"/>
        </w:rPr>
      </w:pPr>
    </w:p>
    <w:p>
      <w:pPr>
        <w:ind w:left="1860" w:right="151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taxes, including withholding of payroll taxes;</w:t>
      </w:r>
    </w:p>
    <w:p>
      <w:pPr>
        <w:spacing w:after="0" w:line="96"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staffing and managing foreign operations;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2" w:name="page53"/>
    <w:bookmarkEnd w:id="52"/>
    <w:p>
      <w:pPr>
        <w:ind w:left="1860" w:hanging="357"/>
        <w:spacing w:after="0"/>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under the FCPA or comparable foreign regulations;</w:t>
      </w:r>
    </w:p>
    <w:p>
      <w:pPr>
        <w:spacing w:after="0" w:line="96"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enforcing our contractual and intellectual property rights, especially in those foreign countries that do not respect and protect intellectual property rights to the same extent as the U.S.;</w:t>
      </w:r>
    </w:p>
    <w:p>
      <w:pPr>
        <w:spacing w:after="0" w:line="37"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w:t>
      </w:r>
    </w:p>
    <w:p>
      <w:pPr>
        <w:spacing w:after="0" w:line="97"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5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6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particular, there is currently significant uncertainty about the future relationship between the U.S.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6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U.S.,U.S., or in any other jurisdiction, does not ensure approval in other jurisdictions. Obtaining foreign approvals could result in significant delays, difficulties and costs for us and require additional clinical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2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achieve or maintain satisfactory pricing and margins for our products.</w:t>
      </w:r>
    </w:p>
    <w:p>
      <w:pPr>
        <w:spacing w:after="0" w:line="101"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3" w:name="page54"/>
    <w:bookmarkEnd w:id="53"/>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59"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sizes of the markets for our current and future products have not been established with precision and may be smaller than we estimate.</w:t>
      </w:r>
    </w:p>
    <w:p>
      <w:pPr>
        <w:spacing w:after="0" w:line="34"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61" w:lineRule="exact"/>
        <w:rPr>
          <w:sz w:val="20"/>
          <w:szCs w:val="20"/>
          <w:color w:val="auto"/>
        </w:rPr>
      </w:pPr>
    </w:p>
    <w:p>
      <w:pPr>
        <w:ind w:left="1160" w:right="12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p>
    <w:p>
      <w:pPr>
        <w:spacing w:after="0" w:line="5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believe that optometrists are qualified to perform LDD procedures involving our RxSight system, but 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There is no assurance about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spacing w:after="0" w:line="63"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federal government is considering ways to change, and has changed, the manner in which healthcare services are paid for in the U.S.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200" w:lineRule="exact"/>
        <w:rPr>
          <w:sz w:val="20"/>
          <w:szCs w:val="20"/>
          <w:color w:val="auto"/>
        </w:rPr>
      </w:pPr>
    </w:p>
    <w:p>
      <w:pPr>
        <w:spacing w:after="0" w:line="3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4" w:name="page55"/>
    <w:bookmarkEnd w:id="54"/>
    <w:p>
      <w:pPr>
        <w:ind w:left="1160" w:right="1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quarterly and annual results may fluctuate significantly and may not fully reflect the underlying performance of our business.</w:t>
      </w:r>
    </w:p>
    <w:p>
      <w:pPr>
        <w:spacing w:after="0" w:line="34"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56"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expanded, and may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48"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color w:val="auto"/>
        </w:rPr>
        <w:t>We have experienced growth in the number of our employees and the scope of our operations, particularly in the areas of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Certain of our operating results and financial metrics may be difficult to predict as a result of seasonality.</w:t>
      </w:r>
    </w:p>
    <w:p>
      <w:pPr>
        <w:spacing w:after="0" w:line="101"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To the extent we experience this seasonality, it may cause fluctuations in our operating results and financial metrics and make forecasting our future operating results and financial metrics more difficult. See further discussion in “Management’s Discussion and Analysis of Financial Condition and Results of Operations” in Part I, Item 2 of this report.</w:t>
      </w:r>
    </w:p>
    <w:p>
      <w:pPr>
        <w:spacing w:after="0" w:line="262"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to offset future taxable income may be subject to certain limitations.</w:t>
      </w:r>
    </w:p>
    <w:p>
      <w:pPr>
        <w:spacing w:after="0" w:line="3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As of December 31, 2025, we had federal net operating loss carryforwards (“NOLs”) of approximately $376.7 million, some of which will begin to expire in various years ranging from 2026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beginning after December 31, 2020, the deductibility of such federal NOLs, is generally limited to 80% of the current year taxable income. Various states may conform to the Tax Act, as modified by the CARES Act, to different extents.</w:t>
      </w:r>
    </w:p>
    <w:p>
      <w:pPr>
        <w:spacing w:after="0" w:line="6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In addition, California has enacted a temporary suspension on the use of state net operating loss carryforwards for certain businesses, which may adversely affect our company if it earns taxable income in the impacted tax years. Other state tax limitations may apply.</w:t>
      </w:r>
    </w:p>
    <w:p>
      <w:pPr>
        <w:spacing w:after="0" w:line="3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55" w:name="page56"/>
    <w:bookmarkEnd w:id="55"/>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5"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48" w:lineRule="exact"/>
        <w:rPr>
          <w:sz w:val="20"/>
          <w:szCs w:val="20"/>
          <w:color w:val="auto"/>
        </w:rPr>
      </w:pPr>
    </w:p>
    <w:p>
      <w:pPr>
        <w:ind w:left="1160" w:right="1479" w:firstLine="258"/>
        <w:spacing w:after="0" w:line="265"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maintain, protect and enforce patent and other intellectual property protection in the U.S.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56"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seek to protect our position by in-licensing intellectual property relating to our products and filing patent applications in the U.S.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59"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patents and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60"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owned and in-licensed issued patents may be challenged in courts or patent offices in the U.S. and abroad. For example, we may be subject to a third-party submission of prior art to the U.S. Patent and Trademark Office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9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6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Often the relative patent positions of companies is highly uncertain, involves complex legal and factual questions, and has been the subject of much litigation in recent years. 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w:t>
      </w:r>
    </w:p>
    <w:p>
      <w:pPr>
        <w:spacing w:after="0" w:line="3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6" w:name="page57"/>
    <w:bookmarkEnd w:id="56"/>
    <w:p>
      <w:pPr>
        <w:ind w:left="1160" w:right="1219"/>
        <w:spacing w:after="0" w:line="268" w:lineRule="auto"/>
        <w:rPr>
          <w:sz w:val="20"/>
          <w:szCs w:val="20"/>
          <w:color w:val="auto"/>
        </w:rPr>
      </w:pPr>
      <w:r>
        <w:rPr>
          <w:rFonts w:ascii="Times New Roman" w:cs="Times New Roman" w:eastAsia="Times New Roman" w:hAnsi="Times New Roman"/>
          <w:sz w:val="14"/>
          <w:szCs w:val="14"/>
          <w:color w:val="auto"/>
        </w:rPr>
        <w:t>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86"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240"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56"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63"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23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59"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57" w:name="page58"/>
    <w:bookmarkEnd w:id="57"/>
    <w:p>
      <w:pPr>
        <w:ind w:left="1160" w:right="1719"/>
        <w:spacing w:after="0" w:line="292" w:lineRule="auto"/>
        <w:rPr>
          <w:sz w:val="20"/>
          <w:szCs w:val="20"/>
          <w:color w:val="auto"/>
        </w:rPr>
      </w:pPr>
      <w:r>
        <w:rPr>
          <w:rFonts w:ascii="Times New Roman" w:cs="Times New Roman" w:eastAsia="Times New Roman" w:hAnsi="Times New Roman"/>
          <w:sz w:val="14"/>
          <w:szCs w:val="14"/>
          <w:color w:val="auto"/>
        </w:rPr>
        <w:t>material adverse effect on our competitive position, business, financial conditions, results of operations and prospects.</w:t>
      </w:r>
    </w:p>
    <w:p>
      <w:pPr>
        <w:spacing w:after="0" w:line="38"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The U.S. government has released a draft framework and recently taken actions to indicate closer review of patents resulting from government funding for compliance with the Bayh-Dole Act, which if found noncompliant, may be used by an agency to authorize the government to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spacing w:after="0" w:line="9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54"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technology for an adequate amount of time.</w:t>
      </w:r>
    </w:p>
    <w:p>
      <w:pPr>
        <w:spacing w:after="0" w:line="3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Patents have a limited lifespan. In the U.S.,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56" w:lineRule="exact"/>
        <w:rPr>
          <w:sz w:val="20"/>
          <w:szCs w:val="20"/>
          <w:color w:val="auto"/>
        </w:rPr>
      </w:pPr>
    </w:p>
    <w:p>
      <w:pPr>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3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8" w:name="page59"/>
    <w:bookmarkEnd w:id="58"/>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3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current and future products in any jurisdiction.</w:t>
      </w:r>
    </w:p>
    <w:p>
      <w:pPr>
        <w:spacing w:after="0" w:line="54"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and our failure to identify and correctly interpret relevant patents may negatively impact our ability to develop and market our products.</w:t>
      </w:r>
    </w:p>
    <w:p>
      <w:pPr>
        <w:spacing w:after="0" w:line="55"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34" w:lineRule="exact"/>
        <w:rPr>
          <w:sz w:val="20"/>
          <w:szCs w:val="20"/>
          <w:color w:val="auto"/>
        </w:rPr>
      </w:pPr>
    </w:p>
    <w:p>
      <w:pPr>
        <w:ind w:left="1160" w:right="1239" w:firstLine="258"/>
        <w:spacing w:after="0" w:line="258" w:lineRule="auto"/>
        <w:rPr>
          <w:sz w:val="20"/>
          <w:szCs w:val="20"/>
          <w:color w:val="auto"/>
        </w:rPr>
      </w:pPr>
      <w:r>
        <w:rPr>
          <w:rFonts w:ascii="Times New Roman" w:cs="Times New Roman" w:eastAsia="Times New Roman" w:hAnsi="Times New Roman"/>
          <w:sz w:val="14"/>
          <w:szCs w:val="14"/>
          <w:color w:val="auto"/>
        </w:rPr>
        <w:t>Because we rely on third parties to supply components, raw materials, chemicals and other supplies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contract research organizations (“CRO”)s. We seek to protect our proprietary technology in part by entering into agreements containing confidentiality and use restrictions and obligations with our advisors, employees, contractors, contract manufacturing organizations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00"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54" w:lineRule="exact"/>
        <w:rPr>
          <w:sz w:val="20"/>
          <w:szCs w:val="20"/>
          <w:color w:val="auto"/>
        </w:rPr>
      </w:pPr>
    </w:p>
    <w:p>
      <w:pPr>
        <w:jc w:val="both"/>
        <w:ind w:left="1160" w:right="12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53"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w:t>
      </w:r>
    </w:p>
    <w:p>
      <w:pPr>
        <w:spacing w:after="0" w:line="3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59" w:name="page60"/>
    <w:bookmarkEnd w:id="59"/>
    <w:p>
      <w:pPr>
        <w:ind w:left="1160" w:right="1219"/>
        <w:spacing w:after="0" w:line="292" w:lineRule="auto"/>
        <w:rPr>
          <w:sz w:val="20"/>
          <w:szCs w:val="20"/>
          <w:color w:val="auto"/>
        </w:rPr>
      </w:pPr>
      <w:r>
        <w:rPr>
          <w:rFonts w:ascii="Times New Roman" w:cs="Times New Roman" w:eastAsia="Times New Roman" w:hAnsi="Times New Roman"/>
          <w:sz w:val="14"/>
          <w:szCs w:val="14"/>
          <w:color w:val="auto"/>
        </w:rPr>
        <w:t>their work product could hamper or prevent our ability to commercialize our products, which would have a material adverse effect on our business, results of operations, financial condition and prospects.</w:t>
      </w:r>
    </w:p>
    <w:p>
      <w:pPr>
        <w:spacing w:after="0" w:line="38"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60"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232"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56"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34" w:lineRule="exact"/>
        <w:rPr>
          <w:sz w:val="20"/>
          <w:szCs w:val="20"/>
          <w:color w:val="auto"/>
        </w:rPr>
      </w:pPr>
    </w:p>
    <w:p>
      <w:pPr>
        <w:ind w:left="1160" w:right="1179" w:firstLine="258"/>
        <w:spacing w:after="0" w:line="257" w:lineRule="auto"/>
        <w:rPr>
          <w:sz w:val="20"/>
          <w:szCs w:val="20"/>
          <w:color w:val="auto"/>
        </w:rPr>
      </w:pPr>
      <w:r>
        <w:rPr>
          <w:rFonts w:ascii="Times New Roman" w:cs="Times New Roman" w:eastAsia="Times New Roman" w:hAnsi="Times New Roman"/>
          <w:sz w:val="14"/>
          <w:szCs w:val="14"/>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divert management’s attention and resources, damage our reputation and brand and cause us to incur</w:t>
      </w:r>
    </w:p>
    <w:p>
      <w:pPr>
        <w:spacing w:after="0" w:line="3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0" w:name="page61"/>
    <w:bookmarkEnd w:id="60"/>
    <w:p>
      <w:pPr>
        <w:ind w:left="1160" w:right="1219"/>
        <w:spacing w:after="0" w:line="263" w:lineRule="auto"/>
        <w:rPr>
          <w:sz w:val="20"/>
          <w:szCs w:val="20"/>
          <w:color w:val="auto"/>
        </w:rPr>
      </w:pPr>
      <w:r>
        <w:rPr>
          <w:rFonts w:ascii="Times New Roman" w:cs="Times New Roman" w:eastAsia="Times New Roman" w:hAnsi="Times New Roman"/>
          <w:sz w:val="14"/>
          <w:szCs w:val="14"/>
          <w:color w:val="auto"/>
        </w:rPr>
        <w:t>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58"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would invalidate the claims of any such U.S. patent. Conversely, the patent owner need only prove infringement by a preponderance of the evidence, which is a lower burden of proof.</w:t>
      </w:r>
    </w:p>
    <w:p>
      <w:pPr>
        <w:spacing w:after="0" w:line="264"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56"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235"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60"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w:t>
      </w:r>
    </w:p>
    <w:p>
      <w:pPr>
        <w:spacing w:after="0" w:line="3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1" w:name="page62"/>
    <w:bookmarkEnd w:id="61"/>
    <w:p>
      <w:pPr>
        <w:ind w:left="1160" w:right="1659"/>
        <w:spacing w:after="0" w:line="292" w:lineRule="auto"/>
        <w:rPr>
          <w:sz w:val="20"/>
          <w:szCs w:val="20"/>
          <w:color w:val="auto"/>
        </w:rPr>
      </w:pPr>
      <w:r>
        <w:rPr>
          <w:rFonts w:ascii="Times New Roman" w:cs="Times New Roman" w:eastAsia="Times New Roman" w:hAnsi="Times New Roman"/>
          <w:sz w:val="14"/>
          <w:szCs w:val="14"/>
          <w:color w:val="auto"/>
        </w:rPr>
        <w:t>other party from using the technology at issue on the grounds that our patents do not cover the technology in question.</w:t>
      </w:r>
    </w:p>
    <w:p>
      <w:pPr>
        <w:spacing w:after="0" w:line="38"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6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29" w:lineRule="exact"/>
        <w:rPr>
          <w:sz w:val="20"/>
          <w:szCs w:val="20"/>
          <w:color w:val="auto"/>
        </w:rPr>
      </w:pPr>
    </w:p>
    <w:p>
      <w:pPr>
        <w:ind w:left="1160" w:right="15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Because of the expense and uncertainty of litigation, we may not be in a position to enforce our intellectual property rights against third parties.</w:t>
      </w:r>
    </w:p>
    <w:p>
      <w:pPr>
        <w:spacing w:after="0" w:line="3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54"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rights to develop and commercialize our products are subject, in part, to the terms and conditions of licenses granted to us by others.</w:t>
      </w:r>
    </w:p>
    <w:p>
      <w:pPr>
        <w:spacing w:after="0" w:line="3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We may obtain licenses to patent rights, proprietary technology, or other intellectual property from third parties that are important or necessary for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9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3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2" w:name="page63"/>
    <w:bookmarkEnd w:id="62"/>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82"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Despite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84" w:lineRule="exact"/>
        <w:rPr>
          <w:sz w:val="20"/>
          <w:szCs w:val="20"/>
          <w:color w:val="auto"/>
        </w:rPr>
      </w:pPr>
    </w:p>
    <w:p>
      <w:pPr>
        <w:ind w:left="11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5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58" w:lineRule="exact"/>
        <w:rPr>
          <w:sz w:val="20"/>
          <w:szCs w:val="20"/>
          <w:color w:val="auto"/>
        </w:rPr>
      </w:pPr>
    </w:p>
    <w:p>
      <w:pPr>
        <w:ind w:left="1160" w:right="1559" w:firstLine="258"/>
        <w:spacing w:after="0" w:line="292" w:lineRule="auto"/>
        <w:rPr>
          <w:sz w:val="20"/>
          <w:szCs w:val="20"/>
          <w:color w:val="auto"/>
        </w:rPr>
      </w:pPr>
      <w:r>
        <w:rPr>
          <w:rFonts w:ascii="Times New Roman" w:cs="Times New Roman" w:eastAsia="Times New Roman" w:hAnsi="Times New Roman"/>
          <w:sz w:val="14"/>
          <w:szCs w:val="14"/>
          <w:color w:val="auto"/>
        </w:rPr>
        <w:t>Disputes may arise between us and our future licensors regarding intellectual property subject to a license agreement, including:</w:t>
      </w:r>
    </w:p>
    <w:p>
      <w:pPr>
        <w:spacing w:after="0" w:line="38" w:lineRule="exact"/>
        <w:rPr>
          <w:sz w:val="20"/>
          <w:szCs w:val="20"/>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6" w:lineRule="exact"/>
        <w:rPr>
          <w:rFonts w:ascii="Times New Roman" w:cs="Times New Roman" w:eastAsia="Times New Roman" w:hAnsi="Times New Roman"/>
          <w:sz w:val="14"/>
          <w:szCs w:val="14"/>
          <w:color w:val="auto"/>
        </w:rPr>
      </w:pPr>
    </w:p>
    <w:p>
      <w:pPr>
        <w:ind w:left="1860" w:right="137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patents and other rights to third parties;</w:t>
      </w:r>
    </w:p>
    <w:p>
      <w:pPr>
        <w:spacing w:after="0" w:line="96" w:lineRule="exact"/>
        <w:rPr>
          <w:rFonts w:ascii="Times New Roman" w:cs="Times New Roman" w:eastAsia="Times New Roman" w:hAnsi="Times New Roman"/>
          <w:sz w:val="14"/>
          <w:szCs w:val="14"/>
          <w:color w:val="auto"/>
        </w:rPr>
      </w:pPr>
    </w:p>
    <w:p>
      <w:pPr>
        <w:ind w:left="1860" w:right="1719" w:hanging="357"/>
        <w:spacing w:after="0" w:line="274"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products, and what activities satisfy those diligence obligations;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transfer or assign the license; and</w:t>
      </w:r>
    </w:p>
    <w:p>
      <w:pPr>
        <w:spacing w:after="0" w:line="96" w:lineRule="exact"/>
        <w:rPr>
          <w:rFonts w:ascii="Times New Roman" w:cs="Times New Roman" w:eastAsia="Times New Roman" w:hAnsi="Times New Roman"/>
          <w:sz w:val="14"/>
          <w:szCs w:val="14"/>
          <w:color w:val="auto"/>
        </w:rPr>
      </w:pPr>
    </w:p>
    <w:p>
      <w:pPr>
        <w:ind w:left="1860" w:right="1619" w:hanging="357"/>
        <w:spacing w:after="0" w:line="292" w:lineRule="auto"/>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any of our future licensors and us and our partners.</w:t>
      </w:r>
    </w:p>
    <w:p>
      <w:pPr>
        <w:spacing w:after="0" w:line="38"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0"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63" w:name="page64"/>
    <w:bookmarkEnd w:id="63"/>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63"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50"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59"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54"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necessary rights to any products we may develop through acquisitions and in-licenses.</w:t>
      </w:r>
    </w:p>
    <w:p>
      <w:pPr>
        <w:spacing w:after="0" w:line="3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101"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4" w:name="page65"/>
    <w:bookmarkEnd w:id="64"/>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55"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and other proprietary information, our business and competitive position may be harmed.</w:t>
      </w:r>
    </w:p>
    <w:p>
      <w:pPr>
        <w:spacing w:after="0" w:line="34"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U.S. Consequently, we may be unable to prevent our proprietary technology from being exploited abroad, which could affect our ability to expand to international markets or require costly efforts to protect our technology.</w:t>
      </w:r>
    </w:p>
    <w:p>
      <w:pPr>
        <w:spacing w:after="0" w:line="234"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6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These agreements are often difficult to enforce in many jurisdictions and might not be enforceable in certain cases.</w:t>
      </w:r>
    </w:p>
    <w:p>
      <w:pPr>
        <w:spacing w:after="0" w:line="63"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w:t>
      </w: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5" w:name="page66"/>
    <w:bookmarkEnd w:id="65"/>
    <w:p>
      <w:pPr>
        <w:ind w:left="1160" w:right="1219"/>
        <w:spacing w:after="0" w:line="292" w:lineRule="auto"/>
        <w:rPr>
          <w:sz w:val="20"/>
          <w:szCs w:val="20"/>
          <w:color w:val="auto"/>
        </w:rPr>
      </w:pPr>
      <w:r>
        <w:rPr>
          <w:rFonts w:ascii="Times New Roman" w:cs="Times New Roman" w:eastAsia="Times New Roman" w:hAnsi="Times New Roman"/>
          <w:sz w:val="14"/>
          <w:szCs w:val="14"/>
          <w:color w:val="auto"/>
        </w:rPr>
        <w:t>and time-consuming, and the outcome is unpredictable. Further, we may not be able to obtain adequate remedies for any breach.</w:t>
      </w:r>
    </w:p>
    <w:p>
      <w:pPr>
        <w:spacing w:after="0" w:line="34" w:lineRule="exact"/>
        <w:rPr>
          <w:sz w:val="20"/>
          <w:szCs w:val="20"/>
          <w:color w:val="auto"/>
        </w:rPr>
      </w:pPr>
    </w:p>
    <w:p>
      <w:pPr>
        <w:ind w:left="1160" w:right="15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3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Changes in either the patent laws or interpretation of the patent laws in the U.S. could increase the uncertainties and costs surrounding the prosecution of patent applications and the enforcement or defense of issued patents. The U.S. has enacted and implemented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or the America Invents Act, enacted in September 2011,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3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59" w:lineRule="exact"/>
        <w:rPr>
          <w:sz w:val="20"/>
          <w:szCs w:val="20"/>
          <w:color w:val="auto"/>
        </w:rPr>
      </w:pPr>
    </w:p>
    <w:p>
      <w:pPr>
        <w:ind w:left="1160" w:right="15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which could impair our business.</w:t>
      </w:r>
    </w:p>
    <w:p>
      <w:pPr>
        <w:spacing w:after="0" w:line="3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Filing, prosecuting, and defending patents covering our RxSight system, and any of our future products throughout the world would be prohibitively expensive, and our intellectual property rights in some countries outside the U.S. are less extensive than those in the U.S. In some cases, we or our licensors may not be able to obtain patent protection for certain technology outside the U.S. In addition, the laws of some foreign countries do not protect intellectual property rights to the same extent as federal and state laws in the U.S. Consequently, we may not be able to prevent third parties from practicing our or our licensors’ inventions in all countries outside the U.S., even in jurisdictions where we or our licensors do pursue patent protection, or from selling or importing products made using our or our licensors’ inventions in and into the U.S.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69"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w:t>
      </w: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6" w:name="page67"/>
    <w:bookmarkEnd w:id="66"/>
    <w:p>
      <w:pPr>
        <w:ind w:left="1160" w:right="1179"/>
        <w:spacing w:after="0" w:line="263" w:lineRule="auto"/>
        <w:rPr>
          <w:sz w:val="20"/>
          <w:szCs w:val="20"/>
          <w:color w:val="auto"/>
        </w:rPr>
      </w:pPr>
      <w:r>
        <w:rPr>
          <w:rFonts w:ascii="Times New Roman" w:cs="Times New Roman" w:eastAsia="Times New Roman" w:hAnsi="Times New Roman"/>
          <w:sz w:val="14"/>
          <w:szCs w:val="14"/>
          <w:color w:val="auto"/>
        </w:rPr>
        <w:t>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8"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58"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precedent is developing for the court, increasing the uncertainty of any litigation.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101" w:lineRule="exact"/>
        <w:rPr>
          <w:sz w:val="20"/>
          <w:szCs w:val="20"/>
          <w:color w:val="auto"/>
        </w:rPr>
      </w:pPr>
    </w:p>
    <w:p>
      <w:pPr>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0" w:lineRule="exact"/>
        <w:rPr>
          <w:sz w:val="20"/>
          <w:szCs w:val="20"/>
          <w:color w:val="auto"/>
        </w:rPr>
      </w:pPr>
    </w:p>
    <w:p>
      <w:pPr>
        <w:ind w:left="1860" w:right="1199" w:hanging="357"/>
        <w:spacing w:after="0" w:line="274"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50" w:lineRule="exact"/>
        <w:rPr>
          <w:rFonts w:ascii="Times New Roman" w:cs="Times New Roman" w:eastAsia="Times New Roman" w:hAnsi="Times New Roman"/>
          <w:sz w:val="14"/>
          <w:szCs w:val="14"/>
          <w:color w:val="auto"/>
        </w:rPr>
      </w:pPr>
    </w:p>
    <w:p>
      <w:pPr>
        <w:ind w:left="1860" w:right="1159" w:hanging="357"/>
        <w:spacing w:after="0" w:line="274"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50"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of our current or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current or future owned or in-licensed patent applications will not lead to issued patents;</w:t>
      </w:r>
    </w:p>
    <w:p>
      <w:pPr>
        <w:spacing w:after="0" w:line="37" w:lineRule="exact"/>
        <w:rPr>
          <w:rFonts w:ascii="Times New Roman" w:cs="Times New Roman" w:eastAsia="Times New Roman" w:hAnsi="Times New Roman"/>
          <w:sz w:val="14"/>
          <w:szCs w:val="14"/>
          <w:color w:val="auto"/>
        </w:rPr>
      </w:pPr>
    </w:p>
    <w:p>
      <w:pPr>
        <w:ind w:left="1860" w:right="1179" w:hanging="357"/>
        <w:spacing w:after="0" w:line="274"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50" w:lineRule="exact"/>
        <w:rPr>
          <w:rFonts w:ascii="Times New Roman" w:cs="Times New Roman" w:eastAsia="Times New Roman" w:hAnsi="Times New Roman"/>
          <w:sz w:val="14"/>
          <w:szCs w:val="14"/>
          <w:color w:val="auto"/>
        </w:rPr>
      </w:pPr>
    </w:p>
    <w:p>
      <w:pPr>
        <w:ind w:left="1860" w:right="1159" w:hanging="357"/>
        <w:spacing w:after="0" w:line="268"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 and</w:t>
      </w:r>
    </w:p>
    <w:p>
      <w:pPr>
        <w:spacing w:after="0" w:line="96"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a patent for certain trade secrets or know-how, and a third party may subsequently file a patent covering such intellectual property.</w:t>
      </w:r>
    </w:p>
    <w:p>
      <w:pPr>
        <w:spacing w:after="0" w:line="34" w:lineRule="exact"/>
        <w:rPr>
          <w:sz w:val="20"/>
          <w:szCs w:val="20"/>
          <w:color w:val="auto"/>
        </w:rPr>
      </w:pPr>
    </w:p>
    <w:p>
      <w:pPr>
        <w:jc w:val="both"/>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use of “open source” software could subject our proprietary software to general release, adversely affect our ability to sell our products and subject us to possible litigation.</w:t>
      </w:r>
    </w:p>
    <w:p>
      <w:pPr>
        <w:spacing w:after="0" w:line="34" w:lineRule="exact"/>
        <w:rPr>
          <w:sz w:val="20"/>
          <w:szCs w:val="20"/>
          <w:color w:val="auto"/>
        </w:rPr>
      </w:pPr>
    </w:p>
    <w:p>
      <w:pPr>
        <w:jc w:val="both"/>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may incorporate open source software in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7" w:name="page68"/>
    <w:bookmarkEnd w:id="67"/>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232"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34" w:lineRule="exact"/>
        <w:rPr>
          <w:sz w:val="20"/>
          <w:szCs w:val="20"/>
          <w:color w:val="auto"/>
        </w:rPr>
      </w:pPr>
    </w:p>
    <w:p>
      <w:pPr>
        <w:ind w:left="1160" w:right="1199" w:firstLine="258"/>
        <w:spacing w:after="0" w:line="257" w:lineRule="auto"/>
        <w:rPr>
          <w:sz w:val="20"/>
          <w:szCs w:val="20"/>
          <w:color w:val="auto"/>
        </w:rPr>
      </w:pPr>
      <w:r>
        <w:rPr>
          <w:rFonts w:ascii="Times New Roman" w:cs="Times New Roman" w:eastAsia="Times New Roman" w:hAnsi="Times New Roman"/>
          <w:sz w:val="14"/>
          <w:szCs w:val="14"/>
          <w:color w:val="auto"/>
        </w:rPr>
        <w:t>We rely on trademarks, service marks, tradenames and brand names to distinguish our products from the products of our competitors and have registered or applied to register these trademarks. There is no assurance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5"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48"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Our products are subject to extensive regulation by the FDA in the U.S. and by regulatory agencies in other countries where we may choose to do business. Government regulations specific to medical devices are wide ranging and govern, among other things:</w:t>
      </w:r>
    </w:p>
    <w:p>
      <w:pPr>
        <w:spacing w:after="0" w:line="50" w:lineRule="exact"/>
        <w:rPr>
          <w:sz w:val="20"/>
          <w:szCs w:val="20"/>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design, development and manufacture;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laboratory, preclinical and clinical testing, labeling, packaging, storage and distribution;</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8" w:name="page69"/>
    <w:bookmarkEnd w:id="68"/>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premarketing clearance or approval;</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keeping;</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 and effectiveness;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changes;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marketing, promotion and advertising, sales and distribution; and</w:t>
      </w:r>
    </w:p>
    <w:p>
      <w:pPr>
        <w:spacing w:after="0" w:line="96"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 marketing surveillance, including reporting of deaths or serious injuries and recalls and correction and removals.</w:t>
      </w:r>
    </w:p>
    <w:p>
      <w:pPr>
        <w:spacing w:after="0" w:line="38"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Before a new medical device, or a new intended use for an existing product, can be marketed in the U.S., a company must first submit and receive either 510(k) clearance pursuant to Section 510(k) of the FDCA, or approval of a premarket approval, or PMA, application from the FDA, unless an exemption applies.</w:t>
      </w:r>
    </w:p>
    <w:p>
      <w:pPr>
        <w:spacing w:after="0" w:line="50" w:lineRule="exact"/>
        <w:rPr>
          <w:sz w:val="20"/>
          <w:szCs w:val="20"/>
          <w:color w:val="auto"/>
        </w:rPr>
      </w:pPr>
    </w:p>
    <w:p>
      <w:pPr>
        <w:ind w:left="1160" w:right="1279" w:firstLine="258"/>
        <w:spacing w:after="0" w:line="258" w:lineRule="auto"/>
        <w:rPr>
          <w:sz w:val="20"/>
          <w:szCs w:val="20"/>
          <w:color w:val="auto"/>
        </w:rPr>
      </w:pPr>
      <w:r>
        <w:rPr>
          <w:rFonts w:ascii="Times New Roman" w:cs="Times New Roman" w:eastAsia="Times New Roman" w:hAnsi="Times New Roman"/>
          <w:sz w:val="14"/>
          <w:szCs w:val="14"/>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FDA can delay, limit or deny clearance or approval of a device for many reasons, including:</w:t>
      </w:r>
    </w:p>
    <w:p>
      <w:pPr>
        <w:spacing w:after="0" w:line="97" w:lineRule="exact"/>
        <w:rPr>
          <w:sz w:val="20"/>
          <w:szCs w:val="20"/>
          <w:color w:val="auto"/>
        </w:rPr>
      </w:pPr>
    </w:p>
    <w:p>
      <w:pPr>
        <w:ind w:left="1860" w:right="123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the applicable regulatory entity or notified body that our products are safe or effective for their intended uses;</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74"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adverse device effects experienced by participants in our clinical trials;</w:t>
      </w:r>
    </w:p>
    <w:p>
      <w:pPr>
        <w:spacing w:after="0" w:line="96" w:lineRule="exact"/>
        <w:rPr>
          <w:rFonts w:ascii="Times New Roman" w:cs="Times New Roman" w:eastAsia="Times New Roman" w:hAnsi="Times New Roman"/>
          <w:sz w:val="14"/>
          <w:szCs w:val="14"/>
          <w:color w:val="auto"/>
        </w:rPr>
      </w:pPr>
    </w:p>
    <w:p>
      <w:pPr>
        <w:ind w:left="1860" w:right="153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from our pre-clinical studies and clinical trials may be insufficient to support clearance or approval, where required;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that the clinical and other benefits of the device outweigh the risks;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65"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5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authority may identify significant deficiencies in our manufacturing processes, facilities or analytical methods or those of our third-party contract manufacturers;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9" w:name="page70"/>
    <w:bookmarkEnd w:id="69"/>
    <w:p>
      <w:pPr>
        <w:ind w:left="1860" w:right="1319" w:hanging="357"/>
        <w:spacing w:after="0" w:line="292" w:lineRule="auto"/>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foreign regulatory authorities may audit our clinical trial data and conclude that the data is not sufficiently reliable to support approval or clearance.</w:t>
      </w:r>
    </w:p>
    <w:p>
      <w:pPr>
        <w:spacing w:after="0" w:line="38"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59"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59"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56"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58"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59"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50" w:lineRule="exact"/>
        <w:rPr>
          <w:sz w:val="20"/>
          <w:szCs w:val="20"/>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warning letters, fines, injunctions, consent decrees and civil penalties;</w:t>
      </w:r>
    </w:p>
    <w:p>
      <w:pPr>
        <w:spacing w:after="0" w:line="96"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 replacement, refunds, recalls, termination of distribution, administrative detention or seizure of our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partial suspension or total shutdown of production;</w:t>
      </w:r>
    </w:p>
    <w:p>
      <w:pPr>
        <w:spacing w:after="0" w:line="96"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denial of our requests for 510(k) clearance or PMA of new products, new intended uses or modifications to existing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510(k) clearance or PMAs that have already been granted;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9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0" w:name="page71"/>
    <w:bookmarkEnd w:id="70"/>
    <w:p>
      <w:pPr>
        <w:ind w:left="1160" w:right="1439"/>
        <w:spacing w:after="0" w:line="292" w:lineRule="auto"/>
        <w:rPr>
          <w:sz w:val="20"/>
          <w:szCs w:val="20"/>
          <w:color w:val="auto"/>
        </w:rPr>
      </w:pPr>
      <w:r>
        <w:rPr>
          <w:rFonts w:ascii="Times New Roman" w:cs="Times New Roman" w:eastAsia="Times New Roman" w:hAnsi="Times New Roman"/>
          <w:sz w:val="14"/>
          <w:szCs w:val="14"/>
          <w:color w:val="auto"/>
        </w:rPr>
        <w:t>compliance, we may lose any marketing approval that we may have obtained and we may not achieve or sustain profitability, which would adversely affect our business, financial condition and results of operations.</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products and operations are subject to extensive government regulation and oversight in the U.S.</w:t>
      </w:r>
    </w:p>
    <w:p>
      <w:pPr>
        <w:spacing w:after="0" w:line="10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Medical devices regulated by the FDA are subject to “general controls” which include: registration with the FDA; listing commercially distributed products with the FDA; complying with all applicable requirements under the QMSR;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92"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Although our products have received regulatory approval or clearance from FDA in the U.S.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U.S. and requirements of comparable non-U.S. regulatory authorities in any international markets we choose to enter.</w:t>
      </w:r>
    </w:p>
    <w:p>
      <w:pPr>
        <w:spacing w:after="0" w:line="7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95"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also received a 510(k) clearance for our contact lens, which is indicated for visualization and treatment in the anterior segment of the eye, and our reusable and single-use insertion devices.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26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w:t>
      </w:r>
    </w:p>
    <w:p>
      <w:pPr>
        <w:spacing w:after="0" w:line="3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1" w:name="page72"/>
    <w:bookmarkEnd w:id="71"/>
    <w:p>
      <w:pPr>
        <w:ind w:left="1160" w:right="1359"/>
        <w:spacing w:after="0" w:line="292" w:lineRule="auto"/>
        <w:rPr>
          <w:sz w:val="20"/>
          <w:szCs w:val="20"/>
          <w:color w:val="auto"/>
        </w:rPr>
      </w:pPr>
      <w:r>
        <w:rPr>
          <w:rFonts w:ascii="Times New Roman" w:cs="Times New Roman" w:eastAsia="Times New Roman" w:hAnsi="Times New Roman"/>
          <w:sz w:val="14"/>
          <w:szCs w:val="14"/>
          <w:color w:val="auto"/>
        </w:rPr>
        <w:t>significant civil fines and even pursue criminal action. In those possible events, our reputation could be damaged, and adoption of the products would be impaired.</w:t>
      </w:r>
    </w:p>
    <w:p>
      <w:pPr>
        <w:spacing w:after="0" w:line="70"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76"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If we fail to comply with applicable regulatory requirements, a regulatory agency or enforcement authority may, among other things:</w:t>
      </w:r>
    </w:p>
    <w:p>
      <w:pPr>
        <w:spacing w:after="0" w:line="70" w:lineRule="exact"/>
        <w:rPr>
          <w:sz w:val="20"/>
          <w:szCs w:val="20"/>
          <w:color w:val="auto"/>
        </w:rPr>
      </w:pPr>
    </w:p>
    <w:p>
      <w:pPr>
        <w:ind w:left="1860" w:right="1259" w:hanging="357"/>
        <w:spacing w:after="0" w:line="292"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our facility to an adverse inspectional finding or Form 483, or other compliance or enforcement notice, communication or correspondence;</w:t>
      </w:r>
    </w:p>
    <w:p>
      <w:pPr>
        <w:spacing w:after="0" w:line="70"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warning or untitled letters that would result in adverse publicity or may require corrective advertising;</w:t>
      </w:r>
    </w:p>
    <w:p>
      <w:pPr>
        <w:spacing w:after="0" w:line="59"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civil or criminal penalties;</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clearances or approvals;</w:t>
      </w:r>
    </w:p>
    <w:p>
      <w:pPr>
        <w:spacing w:after="0" w:line="128"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clear or approve pending applications or supplements to approved applications submitted by us;</w:t>
      </w:r>
    </w:p>
    <w:p>
      <w:pPr>
        <w:spacing w:after="0" w:line="59"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restrictions on our operations, including closing our sub-assembly suppliers’ facilities;</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or detain products; or</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product recall.</w:t>
      </w:r>
    </w:p>
    <w:p>
      <w:pPr>
        <w:spacing w:after="0" w:line="118"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82" w:lineRule="exact"/>
        <w:rPr>
          <w:sz w:val="20"/>
          <w:szCs w:val="20"/>
          <w:color w:val="auto"/>
        </w:rPr>
      </w:pPr>
    </w:p>
    <w:p>
      <w:pPr>
        <w:ind w:left="1160" w:right="1439" w:firstLine="258"/>
        <w:spacing w:after="0" w:line="265"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8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Recently,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258"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Further, under the current leadership at the HHS, agency reorganization, departure of high-profile regulators at the FDA, and reduction in force (RIF) initiative, or layoffs,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72" w:name="page73"/>
    <w:bookmarkEnd w:id="72"/>
    <w:p>
      <w:pPr>
        <w:ind w:left="1160" w:right="1199"/>
        <w:spacing w:after="0" w:line="262" w:lineRule="auto"/>
        <w:rPr>
          <w:sz w:val="20"/>
          <w:szCs w:val="20"/>
          <w:color w:val="auto"/>
        </w:rPr>
      </w:pPr>
      <w:r>
        <w:rPr>
          <w:rFonts w:ascii="Times New Roman" w:cs="Times New Roman" w:eastAsia="Times New Roman" w:hAnsi="Times New Roman"/>
          <w:sz w:val="14"/>
          <w:szCs w:val="14"/>
          <w:color w:val="auto"/>
        </w:rPr>
        <w:t>promulgates a new regulation. It is unclear how our industry and our clinical programs will be impacted by policies and regulations implemented under the current administration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including changes resulting from executive orders; freeze on hiring, federal funding for research, and external communications; layoffs; return-to-office policies, and changes in funding for certain programs at the FDA, correspondence and regulatory review processes with the FDA may be materially delayed.</w:t>
      </w:r>
    </w:p>
    <w:p>
      <w:pPr>
        <w:spacing w:after="0" w:line="55" w:lineRule="exact"/>
        <w:rPr>
          <w:sz w:val="20"/>
          <w:szCs w:val="20"/>
          <w:color w:val="auto"/>
        </w:rPr>
      </w:pPr>
    </w:p>
    <w:p>
      <w:pPr>
        <w:ind w:left="1160" w:right="15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3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Modifications that could significantly affect the safety and effectiveness of our approved or cleared products, such as changes to the intended use or technological characteristics of our products, will require new PMA, PMA Supplements or 510(k) clearances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61" w:lineRule="exact"/>
        <w:rPr>
          <w:sz w:val="20"/>
          <w:szCs w:val="20"/>
          <w:color w:val="auto"/>
        </w:rPr>
      </w:pPr>
    </w:p>
    <w:p>
      <w:pPr>
        <w:ind w:left="1160" w:right="1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clinical trials conducted in locations outside of their jurisdiction.</w:t>
      </w:r>
    </w:p>
    <w:p>
      <w:pPr>
        <w:spacing w:after="0" w:line="53" w:lineRule="exact"/>
        <w:rPr>
          <w:sz w:val="20"/>
          <w:szCs w:val="20"/>
          <w:color w:val="auto"/>
        </w:rPr>
      </w:pPr>
    </w:p>
    <w:p>
      <w:pPr>
        <w:ind w:left="1160" w:right="1319" w:firstLine="258"/>
        <w:spacing w:after="0" w:line="259" w:lineRule="auto"/>
        <w:rPr>
          <w:sz w:val="20"/>
          <w:szCs w:val="20"/>
          <w:color w:val="auto"/>
        </w:rPr>
      </w:pPr>
      <w:r>
        <w:rPr>
          <w:rFonts w:ascii="Times New Roman" w:cs="Times New Roman" w:eastAsia="Times New Roman" w:hAnsi="Times New Roman"/>
          <w:sz w:val="14"/>
          <w:szCs w:val="14"/>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must be approved for reimbursement before it can be approved for sale in that jurisdiction. In some cases, the price that we intend to charge for our products is also subject to approval.</w:t>
      </w:r>
    </w:p>
    <w:p>
      <w:pPr>
        <w:spacing w:after="0" w:line="65"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RxSight system is approved for certain uses, including improving uncorrected visual acuity by adjusting the LAL power to correct residual postoperative refractive error.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59"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U.S., the FDA will generally not approve the application on the basis of foreign data alone unless (1) the data are applicable to the U.S.</w:t>
      </w: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3" w:name="page74"/>
    <w:bookmarkEnd w:id="73"/>
    <w:p>
      <w:pPr>
        <w:ind w:left="1160" w:right="1259"/>
        <w:spacing w:after="0" w:line="260" w:lineRule="auto"/>
        <w:rPr>
          <w:sz w:val="20"/>
          <w:szCs w:val="20"/>
          <w:color w:val="auto"/>
        </w:rPr>
      </w:pPr>
      <w:r>
        <w:rPr>
          <w:rFonts w:ascii="Times New Roman" w:cs="Times New Roman" w:eastAsia="Times New Roman" w:hAnsi="Times New Roman"/>
          <w:sz w:val="14"/>
          <w:szCs w:val="14"/>
          <w:color w:val="auto"/>
        </w:rPr>
        <w:t>population and U.S. medical practice; (2) the clinical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clinical trials are subject to the applicable local laws of the foreign jurisdictions where the clinical trials are conducted. There can be no assurance that the FDA or any applicable foreign regulatory authority will accept data from clinical trials conducted outside of its applicable jurisdiction. If the FDA or any applicable foreign regulatory authority does not accept such data, it would result in the need for additional clinical trials, which would be costly and time-consuming and delay aspects of our business plan, and which may result in our products not receiving approval or clearance for commercialization in the applicable jurisdiction.</w:t>
      </w:r>
    </w:p>
    <w:p>
      <w:pPr>
        <w:spacing w:after="0" w:line="56"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34"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5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59"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58"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46" w:lineRule="exact"/>
        <w:rPr>
          <w:sz w:val="20"/>
          <w:szCs w:val="20"/>
          <w:color w:val="auto"/>
        </w:rPr>
      </w:pPr>
    </w:p>
    <w:p>
      <w:pPr>
        <w:ind w:left="1160" w:right="1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or our suppliers, fail to comply with the FDA’s QMSR or other applicable foreign regulations, our manufacturing or distribution operations could be delayed or shut down and our revenue could suffer.</w:t>
      </w:r>
    </w:p>
    <w:p>
      <w:pPr>
        <w:spacing w:after="0" w:line="34" w:lineRule="exact"/>
        <w:rPr>
          <w:sz w:val="20"/>
          <w:szCs w:val="20"/>
          <w:color w:val="auto"/>
        </w:rPr>
      </w:pPr>
    </w:p>
    <w:p>
      <w:pPr>
        <w:ind w:left="1160" w:right="1239" w:firstLine="258"/>
        <w:spacing w:after="0" w:line="258" w:lineRule="auto"/>
        <w:rPr>
          <w:sz w:val="20"/>
          <w:szCs w:val="20"/>
          <w:color w:val="auto"/>
        </w:rPr>
      </w:pPr>
      <w:r>
        <w:rPr>
          <w:rFonts w:ascii="Times New Roman" w:cs="Times New Roman" w:eastAsia="Times New Roman" w:hAnsi="Times New Roman"/>
          <w:sz w:val="14"/>
          <w:szCs w:val="14"/>
          <w:color w:val="auto"/>
        </w:rPr>
        <w:t>Our manufacturing and design processes and those of our third-party component suppliers are required to comply with the FDA’s QMSR, which covers procedures and documentation of the design, testing, production, control, quality assurance, labeling, packaging, storage and shipping of our products in the U.S.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under the FDA final rule, issued in February 2024, the QMSR went into effect on February 2, 2026, replacing the former Quality System Regulation, and incorporates by reference the quality management system requirements of ISO 13485:2016.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w:t>
      </w:r>
    </w:p>
    <w:p>
      <w:pPr>
        <w:spacing w:after="0" w:line="3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4" w:name="page75"/>
    <w:bookmarkEnd w:id="74"/>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t>may not currently be or may not continue to be in compliance with applicable regulatory requirements, which may result in manufacturing delays for our products and cause our revenue to decline.</w:t>
      </w:r>
    </w:p>
    <w:p>
      <w:pPr>
        <w:spacing w:after="0" w:line="38"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5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If we do not remain in material compliance with the QMSR or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54" w:lineRule="exact"/>
        <w:rPr>
          <w:sz w:val="20"/>
          <w:szCs w:val="20"/>
          <w:color w:val="auto"/>
        </w:rPr>
      </w:pPr>
    </w:p>
    <w:p>
      <w:pPr>
        <w:ind w:left="1160" w:right="1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34"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91"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For example, in the U.S., in March 2010, the Patient Protection and Affordable Care Act, as amended by the Health Care and Education Reconciliation Act of 2010, together, the Affordable Care Act (“ACA”), was enacted. 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80"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new Trump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95"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There is no assurance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95"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There likely will continue to be legislative and regulatory proposals at the federal and state levels directed at containing or lowering the cost of healthcare. We cannot predict the initiatives that may be adopted in the future or</w:t>
      </w: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5" w:name="page76"/>
    <w:bookmarkEnd w:id="75"/>
    <w:p>
      <w:pPr>
        <w:ind w:left="1160" w:right="1319"/>
        <w:spacing w:after="0" w:line="292" w:lineRule="auto"/>
        <w:rPr>
          <w:sz w:val="20"/>
          <w:szCs w:val="20"/>
          <w:color w:val="auto"/>
        </w:rPr>
      </w:pPr>
      <w:r>
        <w:rPr>
          <w:rFonts w:ascii="Times New Roman" w:cs="Times New Roman" w:eastAsia="Times New Roman" w:hAnsi="Times New Roman"/>
          <w:sz w:val="14"/>
          <w:szCs w:val="14"/>
          <w:color w:val="auto"/>
        </w:rPr>
        <w:t>their full impact. The continuing efforts of the government, insurance companies, managed care organizations and other payors of healthcare services to contain or reduce costs of healthcare may harm:</w:t>
      </w:r>
    </w:p>
    <w:p>
      <w:pPr>
        <w:spacing w:after="0" w:line="38" w:lineRule="exact"/>
        <w:rPr>
          <w:sz w:val="20"/>
          <w:szCs w:val="20"/>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set a price that we believe is fair for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and achieve or maintain profitability;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9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2"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U.S. federal and state fraud and abuse and other healthcare laws and regulations, we could face substantial penalties and our business operations and financial condition could be adversely affected.</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235"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In the U.S.,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60" w:lineRule="exact"/>
        <w:rPr>
          <w:sz w:val="20"/>
          <w:szCs w:val="20"/>
          <w:color w:val="auto"/>
        </w:rPr>
      </w:pPr>
    </w:p>
    <w:p>
      <w:pPr>
        <w:ind w:left="1860" w:right="1179" w:hanging="357"/>
        <w:spacing w:after="0" w:line="261"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235" w:lineRule="exact"/>
        <w:rPr>
          <w:rFonts w:ascii="Times New Roman" w:cs="Times New Roman" w:eastAsia="Times New Roman" w:hAnsi="Times New Roman"/>
          <w:sz w:val="14"/>
          <w:szCs w:val="14"/>
          <w:color w:val="auto"/>
        </w:rPr>
      </w:pPr>
    </w:p>
    <w:p>
      <w:pPr>
        <w:ind w:left="1860" w:right="133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including its civil provisions that can be enforced by private citizens through civil whistleblower or qui tam actions, and civil monetary penalties prohibiting individuals or</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6" w:name="page77"/>
    <w:bookmarkEnd w:id="76"/>
    <w:p>
      <w:pPr>
        <w:ind w:left="1860" w:right="1339"/>
        <w:spacing w:after="0" w:line="268" w:lineRule="auto"/>
        <w:rPr>
          <w:sz w:val="20"/>
          <w:szCs w:val="20"/>
          <w:color w:val="auto"/>
        </w:rPr>
      </w:pPr>
      <w:r>
        <w:rPr>
          <w:rFonts w:ascii="Times New Roman" w:cs="Times New Roman" w:eastAsia="Times New Roman" w:hAnsi="Times New Roman"/>
          <w:sz w:val="14"/>
          <w:szCs w:val="14"/>
          <w:color w:val="auto"/>
        </w:rPr>
        <w:t>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54" w:lineRule="exact"/>
        <w:rPr>
          <w:sz w:val="20"/>
          <w:szCs w:val="20"/>
          <w:color w:val="auto"/>
        </w:rPr>
      </w:pPr>
    </w:p>
    <w:p>
      <w:pPr>
        <w:ind w:left="1860" w:right="1339" w:hanging="357"/>
        <w:spacing w:after="0" w:line="274" w:lineRule="auto"/>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0" w:lineRule="exact"/>
        <w:rPr>
          <w:rFonts w:ascii="Times New Roman" w:cs="Times New Roman" w:eastAsia="Times New Roman" w:hAnsi="Times New Roman"/>
          <w:sz w:val="14"/>
          <w:szCs w:val="14"/>
          <w:color w:val="auto"/>
        </w:rPr>
      </w:pPr>
    </w:p>
    <w:p>
      <w:pPr>
        <w:ind w:left="1860" w:right="1259" w:hanging="357"/>
        <w:spacing w:after="0" w:line="265" w:lineRule="auto"/>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56" w:lineRule="exact"/>
        <w:rPr>
          <w:rFonts w:ascii="Times New Roman" w:cs="Times New Roman" w:eastAsia="Times New Roman" w:hAnsi="Times New Roman"/>
          <w:sz w:val="14"/>
          <w:szCs w:val="14"/>
          <w:color w:val="auto"/>
        </w:rPr>
      </w:pPr>
    </w:p>
    <w:p>
      <w:pPr>
        <w:ind w:left="1860" w:right="1299" w:hanging="357"/>
        <w:spacing w:after="0" w:line="260" w:lineRule="auto"/>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62" w:lineRule="exact"/>
        <w:rPr>
          <w:rFonts w:ascii="Times New Roman" w:cs="Times New Roman" w:eastAsia="Times New Roman" w:hAnsi="Times New Roman"/>
          <w:sz w:val="14"/>
          <w:szCs w:val="14"/>
          <w:color w:val="auto"/>
        </w:rPr>
      </w:pPr>
    </w:p>
    <w:p>
      <w:pPr>
        <w:ind w:left="1860" w:right="1199" w:hanging="357"/>
        <w:spacing w:after="0" w:line="259" w:lineRule="auto"/>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65"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60"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59"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The growth of our business and sales organization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w:t>
      </w: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7" w:name="page78"/>
    <w:bookmarkEnd w:id="77"/>
    <w:p>
      <w:pPr>
        <w:ind w:left="1160" w:right="1199"/>
        <w:spacing w:after="0" w:line="262" w:lineRule="auto"/>
        <w:rPr>
          <w:sz w:val="20"/>
          <w:szCs w:val="20"/>
          <w:color w:val="auto"/>
        </w:rPr>
      </w:pPr>
      <w:r>
        <w:rPr>
          <w:rFonts w:ascii="Times New Roman" w:cs="Times New Roman" w:eastAsia="Times New Roman" w:hAnsi="Times New Roman"/>
          <w:sz w:val="14"/>
          <w:szCs w:val="14"/>
          <w:color w:val="auto"/>
        </w:rPr>
        <w:t>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59"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CMS fee schedules may harm our revenue and operating results.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Government payers, such as CMS as well as insurers, have increased their efforts to control the cost, utilization and delivery of healthcare services. From time to time, the U.S.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61" w:lineRule="exact"/>
        <w:rPr>
          <w:sz w:val="20"/>
          <w:szCs w:val="20"/>
          <w:color w:val="auto"/>
        </w:rPr>
      </w:pPr>
    </w:p>
    <w:p>
      <w:pPr>
        <w:ind w:left="1160" w:right="1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4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59"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In June 2024, the U.S. Supreme Court overruled the Chevron doctrine, which gave deference to regulatory agencies’ statutory interpretations in litigation against federal government agencies where the law is ambiguous. This landmark Supreme Court decision may invite more stakeholders to bring lawsuits against the FDA and other federal agencies to challenge longstanding decisions and policies, which could lead to uncertainties in the industry. Further, changes in the leadership of the FDA and other federal agencies under the new Trump administration may lead to new policies and changes in the regulations that can increase our compliance costs. Any change in the laws or regulations that govern the clearance and approval processes relating to our current, planned and future products could make it more difficult and costly to obtain clearance or approval for new products or to produce, market and</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8" w:name="page79"/>
    <w:bookmarkEnd w:id="78"/>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distribute existing products. Significant delays in receiving clearance or approval or the failure to receive clearance or approval for our new products would have an adverse effect on our ability to expand our business.</w:t>
      </w:r>
    </w:p>
    <w:p>
      <w:pPr>
        <w:spacing w:after="0" w:line="34"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4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63" w:lineRule="exact"/>
        <w:rPr>
          <w:sz w:val="20"/>
          <w:szCs w:val="20"/>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some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emphasis on clinical data;</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transparency, including publication of clinical trial data and safety summaries;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content and structure for technical files to support registration;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unique device identification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burden on post-market surveillance and clinical follow-up;</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of adverse event reporting time from 30 to 15 days after the event;</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review times;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power to notified bodies.</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54"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clinical trials could be required before we submit our products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products. Even if regulatory approval is secured for</w:t>
      </w:r>
    </w:p>
    <w:p>
      <w:pPr>
        <w:spacing w:after="0" w:line="3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9" w:name="page80"/>
    <w:bookmarkEnd w:id="79"/>
    <w:p>
      <w:pPr>
        <w:ind w:left="1160" w:right="1339"/>
        <w:spacing w:after="0" w:line="292" w:lineRule="auto"/>
        <w:rPr>
          <w:sz w:val="20"/>
          <w:szCs w:val="20"/>
          <w:color w:val="auto"/>
        </w:rPr>
      </w:pPr>
      <w:r>
        <w:rPr>
          <w:rFonts w:ascii="Times New Roman" w:cs="Times New Roman" w:eastAsia="Times New Roman" w:hAnsi="Times New Roman"/>
          <w:sz w:val="14"/>
          <w:szCs w:val="14"/>
          <w:color w:val="auto"/>
        </w:rPr>
        <w:t>any of our products, the terms of such approval may limit the scope and use of our products, which may also limit their commercial potential.</w:t>
      </w:r>
    </w:p>
    <w:p>
      <w:pPr>
        <w:spacing w:after="0" w:line="66" w:lineRule="exact"/>
        <w:rPr>
          <w:sz w:val="20"/>
          <w:szCs w:val="20"/>
          <w:color w:val="auto"/>
        </w:rPr>
      </w:pPr>
    </w:p>
    <w:p>
      <w:pPr>
        <w:ind w:left="1160" w:right="1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Defects or failures associated with our products could lead to recalls, safety alerts or litigation, as well as significant costs and negative publicity.</w:t>
      </w:r>
    </w:p>
    <w:p>
      <w:pPr>
        <w:spacing w:after="0" w:line="34"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60"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We provide warranties on our products.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76"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233"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Although we carry product liability insurance in the U.S.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65"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3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0" w:name="page81"/>
    <w:bookmarkEnd w:id="80"/>
    <w:p>
      <w:pPr>
        <w:ind w:left="1160" w:right="11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218"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6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health and safety laws may result in liabilities, expenses and restrictions on our operations.</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environmental laws and regulations could subject us to significant liability.</w:t>
      </w:r>
    </w:p>
    <w:p>
      <w:pPr>
        <w:spacing w:after="0" w:line="8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There is no assurance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95"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w:t>
      </w:r>
    </w:p>
    <w:p>
      <w:pPr>
        <w:spacing w:after="0" w:line="3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81" w:name="page82"/>
    <w:bookmarkEnd w:id="81"/>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There is no assurance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93" w:lineRule="exact"/>
        <w:rPr>
          <w:sz w:val="20"/>
          <w:szCs w:val="20"/>
          <w:color w:val="auto"/>
        </w:rPr>
      </w:pPr>
    </w:p>
    <w:p>
      <w:pPr>
        <w:ind w:left="1160" w:right="12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our collection and use of data, which could result in investigations, inquiries, litigation, fines, legislative and regulatory action and negative press about our privacy and data and security protection practices.</w:t>
      </w:r>
    </w:p>
    <w:p>
      <w:pPr>
        <w:spacing w:after="0" w:line="4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business processes personal data, including some data related to health. When conducting clinical trials, we face risks associated with collecting clinical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 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U.S. and international privacy, data protection, security and other laws, and subject us to individual or consumer class action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90" w:lineRule="exact"/>
        <w:rPr>
          <w:sz w:val="20"/>
          <w:szCs w:val="20"/>
          <w:color w:val="auto"/>
        </w:rPr>
      </w:pPr>
    </w:p>
    <w:p>
      <w:pPr>
        <w:ind w:left="1160" w:right="1159" w:firstLine="258"/>
        <w:spacing w:after="0" w:line="257" w:lineRule="auto"/>
        <w:rPr>
          <w:sz w:val="20"/>
          <w:szCs w:val="20"/>
          <w:color w:val="auto"/>
        </w:rPr>
      </w:pPr>
      <w:r>
        <w:rPr>
          <w:rFonts w:ascii="Times New Roman" w:cs="Times New Roman" w:eastAsia="Times New Roman" w:hAnsi="Times New Roman"/>
          <w:sz w:val="14"/>
          <w:szCs w:val="14"/>
          <w:color w:val="auto"/>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U.S., California adopted the CCPA in January 2020, which requires certain companies that process information of California residents to, among other things, provide certain disclosures to California residents and afford them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Similar legislation has been proposed, and in certain cases enacted, in other states.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laws relating to privacy, data protection and cybersecurity are potentially significant,</w:t>
      </w:r>
    </w:p>
    <w:p>
      <w:pPr>
        <w:spacing w:after="0" w:line="200" w:lineRule="exact"/>
        <w:rPr>
          <w:sz w:val="20"/>
          <w:szCs w:val="20"/>
          <w:color w:val="auto"/>
        </w:rPr>
      </w:pP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2" w:name="page83"/>
    <w:bookmarkEnd w:id="82"/>
    <w:p>
      <w:pPr>
        <w:ind w:left="1160" w:right="1379"/>
        <w:spacing w:after="0" w:line="292" w:lineRule="auto"/>
        <w:rPr>
          <w:sz w:val="20"/>
          <w:szCs w:val="20"/>
          <w:color w:val="auto"/>
        </w:rPr>
      </w:pPr>
      <w:r>
        <w:rPr>
          <w:rFonts w:ascii="Times New Roman" w:cs="Times New Roman" w:eastAsia="Times New Roman" w:hAnsi="Times New Roman"/>
          <w:sz w:val="14"/>
          <w:szCs w:val="14"/>
          <w:color w:val="auto"/>
        </w:rPr>
        <w:t>and may require us to modify our practices and policies and to incur substantial costs and expenses in an effort to comply.</w:t>
      </w:r>
    </w:p>
    <w:p>
      <w:pPr>
        <w:spacing w:after="0" w:line="7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8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can be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that of the GDPR. The UK enacted the UK Data (Use and Access) Act 2025 on June 19, 2025, which made targeted amendments to the UK GDPR and the UK Data Protection Act. These developments have required us to review and modify the means by which we process personal data and may require us to make other modifications. The implementation and enforcement of the GDPR and other evolving legislation may subject us to enforcement risk and requirements to change certain of our data collection, data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spacing w:after="0" w:line="95"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such as the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and the United Kingdom has adopted its own new standard contractual clauses. In June 2021, the European Commission issued an adequacy decision in respect of the United Kingdom’s data protection framework, enabling data transfers from EU member states to the United Kingdom to continue without requiring contractual or other additional measures. This adequacy decision was renewed in 2025 to extend until December 2031, but remains subject to revocation at any point. Any nonrenewal or revocation of, or modifications to, this adequacy decision could lead to additional costs and increase our overall risk exposure. The U.S. Department of Justice also has issued rules regarding certain bulk sensitive personal data transfers. These developments and other regulatory guidance or developments may impose additional obligations with respect to cross-border data transfers, all of which could restrict our activities in certain jurisdictions, limit our ability to provide our products and services in certain jurisdictions, require us to modify our policies and practices, and to engage in additional contractual negotiations, or increase our costs and obligations and impose limitations upon our ability to efficiently transfer personal data across borders. Any of these events, if occurring, could adversely affect the manner in which we provide our services and thus materially affect our operations and financial results.</w:t>
      </w:r>
    </w:p>
    <w:p>
      <w:pPr>
        <w:spacing w:after="0" w:line="95"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or is alleged to be, inconsistent with our practices and policies. Any noncompliance, or perceived noncompliance, with laws, regulations, standards and other obligations</w:t>
      </w:r>
    </w:p>
    <w:p>
      <w:pPr>
        <w:spacing w:after="0" w:line="3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3" w:name="page84"/>
    <w:bookmarkEnd w:id="83"/>
    <w:p>
      <w:pPr>
        <w:ind w:left="1160" w:right="1279"/>
        <w:spacing w:after="0" w:line="260" w:lineRule="auto"/>
        <w:rPr>
          <w:sz w:val="20"/>
          <w:szCs w:val="20"/>
          <w:color w:val="auto"/>
        </w:rPr>
      </w:pPr>
      <w:r>
        <w:rPr>
          <w:rFonts w:ascii="Times New Roman" w:cs="Times New Roman" w:eastAsia="Times New Roman" w:hAnsi="Times New Roman"/>
          <w:sz w:val="14"/>
          <w:szCs w:val="14"/>
          <w:color w:val="auto"/>
        </w:rPr>
        <w:t>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88" w:lineRule="exact"/>
        <w:rPr>
          <w:sz w:val="20"/>
          <w:szCs w:val="20"/>
          <w:color w:val="auto"/>
        </w:rPr>
      </w:pPr>
    </w:p>
    <w:p>
      <w:pPr>
        <w:ind w:left="116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3"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5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Disruptions at the FDA and other agencies, including delays, travel restrictions, and staffing shortages, may also slow the time necessary for new medical devices to be reviewed and/or approved by necessary government agencies, which would adversely affect our business. The FDA may not be able to continue its current inspection pace or may be unable to complete required inspections during the review period, which can delay clinical development and result in a complete response letter. Disruptions at the FDA could significantly impact the ability of the FDA to timely review and process our regulatory submissions, which could have a material adverse effect on our business.</w:t>
      </w:r>
    </w:p>
    <w:p>
      <w:pPr>
        <w:spacing w:after="0" w:line="76"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4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have commercialized the RxSight system outside of the U.S.,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67"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operations outside of the U.S.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4" w:name="page85"/>
    <w:bookmarkEnd w:id="84"/>
    <w:p>
      <w:pPr>
        <w:ind w:left="1160" w:right="1499"/>
        <w:spacing w:after="0" w:line="292" w:lineRule="auto"/>
        <w:rPr>
          <w:sz w:val="20"/>
          <w:szCs w:val="20"/>
          <w:color w:val="auto"/>
        </w:rPr>
      </w:pPr>
      <w:r>
        <w:rPr>
          <w:rFonts w:ascii="Times New Roman" w:cs="Times New Roman" w:eastAsia="Times New Roman" w:hAnsi="Times New Roman"/>
          <w:sz w:val="14"/>
          <w:szCs w:val="14"/>
          <w:color w:val="auto"/>
        </w:rPr>
        <w:t>or debarment from U.S. government contracts, which could have a material and adverse effect on our business, financial condition and results of operations.</w:t>
      </w:r>
    </w:p>
    <w:p>
      <w:pPr>
        <w:spacing w:after="0" w:line="38" w:lineRule="exact"/>
        <w:rPr>
          <w:sz w:val="20"/>
          <w:szCs w:val="20"/>
          <w:color w:val="auto"/>
        </w:rPr>
      </w:pPr>
    </w:p>
    <w:p>
      <w:pPr>
        <w:ind w:left="1160" w:right="1419" w:firstLine="258"/>
        <w:spacing w:after="0" w:line="262" w:lineRule="auto"/>
        <w:rPr>
          <w:sz w:val="20"/>
          <w:szCs w:val="20"/>
          <w:color w:val="auto"/>
        </w:rPr>
      </w:pPr>
      <w:r>
        <w:rPr>
          <w:rFonts w:ascii="Times New Roman" w:cs="Times New Roman" w:eastAsia="Times New Roman" w:hAnsi="Times New Roman"/>
          <w:sz w:val="14"/>
          <w:szCs w:val="14"/>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5" w:lineRule="exact"/>
        <w:rPr>
          <w:sz w:val="20"/>
          <w:szCs w:val="20"/>
          <w:color w:val="auto"/>
        </w:rPr>
      </w:pPr>
    </w:p>
    <w:p>
      <w:pPr>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engage outside parties to perform services related to certain of our clinical studies and clinical trials. If these third parties do not successfully carry out their contractual duties or meet expected deadlines, we may not be able to obtain regulatory approval for or commercialize our products.</w:t>
      </w:r>
    </w:p>
    <w:p>
      <w:pPr>
        <w:spacing w:after="0" w:line="48"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59" w:lineRule="exact"/>
        <w:rPr>
          <w:sz w:val="20"/>
          <w:szCs w:val="20"/>
          <w:color w:val="auto"/>
        </w:rPr>
      </w:pPr>
    </w:p>
    <w:p>
      <w:pPr>
        <w:jc w:val="both"/>
        <w:ind w:left="1160" w:right="14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34"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9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There is no assurance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There is no assurance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86"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British Standards Institution (“BSI”), to obtain and maintain these certifications. If we fail these inspections or fail to meet these regulatory standards, it could have a material adverse effect on our business, financial condition and results of operations.</w:t>
      </w:r>
    </w:p>
    <w:p>
      <w:pPr>
        <w:spacing w:after="0" w:line="3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5" w:name="page86"/>
    <w:bookmarkEnd w:id="85"/>
    <w:p>
      <w:pPr>
        <w:jc w:val="both"/>
        <w:ind w:left="116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34" w:lineRule="exact"/>
        <w:rPr>
          <w:sz w:val="20"/>
          <w:szCs w:val="20"/>
          <w:color w:val="auto"/>
        </w:rPr>
      </w:pPr>
    </w:p>
    <w:p>
      <w:pPr>
        <w:ind w:left="1160" w:right="1159" w:firstLine="258"/>
        <w:spacing w:after="0" w:line="257"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and could in the future result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tariffs and other causes.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02"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failure of third parties to meet their contractual, regulatory, and other obligations could adversely affect our business.</w:t>
      </w:r>
    </w:p>
    <w:p>
      <w:pPr>
        <w:spacing w:after="0" w:line="34"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rely on a small number of suppliers, vendors, outsourcing partners, consultants, and other third parties to research, develop, manufacture and commercialize our products. Using third parties poses a number of risks, such as: (i) they may not perform to our standards or legal requirements; (ii) they may decide to suddenly raise prices or cease working with us; (iii) they may not produce reliable results; (iv) they may not perform in a timely manner; (v) they may not maintain confidentiality of our proprietary information; (vi) disputes may arise with respect to ownership of rights to technology developed with our partners; and (vii)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stock has been and may continue to be volatile, and you could lose all or part of your investment.</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trading price of our common stock has been and may continue to be highly volatile and could be subject to wide fluctuations in response to various factors, some of which we cannot control. From the date of our initial public offering through May 1, 2026, our common stock has traded at a low of $5.90 and a high of $66.54 on the Nasdaq Global Market. The stock market in general can experience extreme price and volume fluctuations that have often been unrelated or disproportionate to the operating performance of these certain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spacing w:after="0" w:line="92" w:lineRule="exact"/>
        <w:rPr>
          <w:sz w:val="20"/>
          <w:szCs w:val="20"/>
          <w:color w:val="auto"/>
        </w:rPr>
      </w:pPr>
    </w:p>
    <w:p>
      <w:pPr>
        <w:ind w:left="1860" w:right="1319" w:hanging="357"/>
        <w:spacing w:after="0" w:line="292" w:lineRule="auto"/>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of our results of operations and updates regarding our business, including financial and operational guidance;</w:t>
      </w:r>
    </w:p>
    <w:p>
      <w:pPr>
        <w:spacing w:after="0" w:line="7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published by securities or industry analysts about our business and prospects;</w:t>
      </w:r>
    </w:p>
    <w:p>
      <w:pPr>
        <w:spacing w:after="0" w:line="200" w:lineRule="exact"/>
        <w:rPr>
          <w:sz w:val="20"/>
          <w:szCs w:val="20"/>
          <w:color w:val="auto"/>
        </w:rPr>
      </w:pPr>
    </w:p>
    <w:p>
      <w:pPr>
        <w:spacing w:after="0" w:line="2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86" w:name="page87"/>
    <w:bookmarkEnd w:id="86"/>
    <w:p>
      <w:pPr>
        <w:ind w:left="1860" w:right="1699" w:hanging="357"/>
        <w:spacing w:after="0" w:line="292" w:lineRule="auto"/>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announcements by potential competitors of their product development efforts;</w:t>
      </w:r>
    </w:p>
    <w:p>
      <w:pPr>
        <w:spacing w:after="0" w:line="7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products or our competitors’ products;</w:t>
      </w:r>
    </w:p>
    <w:p>
      <w:pPr>
        <w:spacing w:after="0" w:line="11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growth rate, including relative to our competitors;</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and other countries;</w:t>
      </w:r>
    </w:p>
    <w:p>
      <w:pPr>
        <w:spacing w:after="0" w:line="128"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intellectual property or proprietary rights;</w:t>
      </w:r>
    </w:p>
    <w:p>
      <w:pPr>
        <w:spacing w:after="0" w:line="59"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128"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collaborations, joint ventures, collaborations or capital commitments;</w:t>
      </w:r>
    </w:p>
    <w:p>
      <w:pPr>
        <w:spacing w:after="0" w:line="70"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results of preclinical studies and clinical trials of our current and future products or those of our competitors;</w:t>
      </w:r>
    </w:p>
    <w:p>
      <w:pPr>
        <w:spacing w:after="0" w:line="37" w:lineRule="exact"/>
        <w:rPr>
          <w:rFonts w:ascii="Times New Roman" w:cs="Times New Roman" w:eastAsia="Times New Roman" w:hAnsi="Times New Roman"/>
          <w:sz w:val="14"/>
          <w:szCs w:val="14"/>
          <w:color w:val="auto"/>
        </w:rPr>
      </w:pPr>
    </w:p>
    <w:p>
      <w:pPr>
        <w:ind w:left="1860" w:right="2019" w:hanging="357"/>
        <w:spacing w:after="0" w:line="292" w:lineRule="auto"/>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59"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valuation of companies perceived by investors to be comparable to us;</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medical device sector;</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11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 and volume fluctuations attributable to inconsistent trading volume levels of our shares;</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128"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our other stockholders; and</w:t>
      </w:r>
    </w:p>
    <w:p>
      <w:pPr>
        <w:spacing w:after="0" w:line="118"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including global and national events, such as the conflicts in Eastern Europe and the Middle East, and general economic downturns.</w:t>
      </w:r>
    </w:p>
    <w:p>
      <w:pPr>
        <w:spacing w:after="0" w:line="70" w:lineRule="exact"/>
        <w:rPr>
          <w:sz w:val="20"/>
          <w:szCs w:val="20"/>
          <w:color w:val="auto"/>
        </w:rPr>
      </w:pPr>
    </w:p>
    <w:p>
      <w:pPr>
        <w:jc w:val="both"/>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The realization of any of the above risks or any of a broad range of other risks, including those described in this Part II, Item1A, “Risk Factors,” could have a dramatic and adverse impact on the market price of our common stock.</w:t>
      </w:r>
    </w:p>
    <w:p>
      <w:pPr>
        <w:spacing w:after="0" w:line="70"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In addition, companies that have experienced volatility in the market price of their stock have been subject to securities class action litigation. We are the target of this type of litigation. For more information regarding such litigation, please see “Legal Proceedings” in Part II, Item 1 of this Quarterly Report.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research about our business, our stock price and trading volume could decline.</w:t>
      </w:r>
    </w:p>
    <w:p>
      <w:pPr>
        <w:spacing w:after="0" w:line="34" w:lineRule="exact"/>
        <w:rPr>
          <w:sz w:val="20"/>
          <w:szCs w:val="20"/>
          <w:color w:val="auto"/>
        </w:rPr>
      </w:pPr>
    </w:p>
    <w:p>
      <w:pPr>
        <w:ind w:left="1160" w:right="1419" w:firstLine="258"/>
        <w:spacing w:after="0" w:line="263" w:lineRule="auto"/>
        <w:rPr>
          <w:sz w:val="20"/>
          <w:szCs w:val="20"/>
          <w:color w:val="auto"/>
        </w:rPr>
      </w:pPr>
      <w:r>
        <w:rPr>
          <w:rFonts w:ascii="Times New Roman" w:cs="Times New Roman" w:eastAsia="Times New Roman" w:hAnsi="Times New Roman"/>
          <w:sz w:val="14"/>
          <w:szCs w:val="14"/>
          <w:color w:val="auto"/>
        </w:rPr>
        <w:t>The trading market for our common stock will rely in part on the research and reports that equity research analysts publish about us and our business.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7" w:name="page88"/>
    <w:bookmarkEnd w:id="87"/>
    <w:p>
      <w:pPr>
        <w:ind w:left="1160" w:right="1179" w:firstLine="258"/>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Our common stock is currently traded on the Nasdaq Global Market, but there is no assurance that we will be able to maintain an active trading market on the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8" w:lineRule="exact"/>
        <w:rPr>
          <w:sz w:val="20"/>
          <w:szCs w:val="20"/>
          <w:color w:val="auto"/>
        </w:rPr>
      </w:pPr>
    </w:p>
    <w:p>
      <w:pPr>
        <w:ind w:left="116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in the public market could cause our stock price to fall.</w:t>
      </w:r>
    </w:p>
    <w:p>
      <w:pPr>
        <w:spacing w:after="0" w:line="34"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0"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2026, we had 41,384,120 shares of common stock issued and outstanding. All of these shares are available for sale in the public market, subject to limitations under Rule 144 with respect to affiliates of our company.</w:t>
      </w:r>
    </w:p>
    <w:p>
      <w:pPr>
        <w:spacing w:after="0" w:line="5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have filed registration statements on Form S-8 under the Securities Act registering the offer and sale of up to an aggregate of 13,927,605 shares of common stock pursuant to our Equity Plans (as defined in Note 2, “Summary of Accounting Policies – Stock-Based Compensation” in our notes to our unaudited condensed consolidated financial statements in this report) and an aggregate of 757,694 shares of common stock pursuant to our 2021 ESPP. Our 2021 Plan and 2021 ESPP each contain an evergreen provision that may increase the number of shares available for issuance pursuant to such plans on the first day of each fiscal year. See Note 6 – Stock-Based Compensation Expense in the notes to the unaudited condensed consolidated financial statements included in this report.</w:t>
      </w:r>
    </w:p>
    <w:p>
      <w:pPr>
        <w:spacing w:after="0" w:line="235"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On May 8, 2024, we filed an automatic shelf registration statement on Form S-3ASR with the SEC that enabled us to offer for sale, from time to time and as the capital markets permitted, an unspecified amount of common stock, preferred stock, debt securities, warrants and units. The shelf registration statement became automatically effective upon filing and is valid for three years. On February 13, 2026, we filed a post-effective amendment to the registration statement because we expected to cease to be a well-known seasoned issuer (as such term is defined in Rule 405 under the Securities Act) upon the filing of our Annual Report on Form 10-K for the fiscal year ended December 31, 2025. The post-effective amendment to the registration statement permits us to offer for sale, from time to time, up to $200 million of common stock, preferred stock, debt securities, warrants and units. Upon the filing of our Annual Report on Form 10-K for the fiscal year ended December 31, 2025, we ceased to be a well-known seasoned issuer, and we filed another post-effective amendment to the registration statement for the purpose of amending the registration statement to convert it from a Form S-3ASR (automatic shelf registration statement) to a Form S-3 (non-automatic shelf registration statement). Each time we offer to sell securities under the registration statement, we will provide a prospectus supplement that will contain specific information about the terms of that offering and the securities being offered.</w:t>
      </w:r>
    </w:p>
    <w:p>
      <w:pPr>
        <w:spacing w:after="0" w:line="90"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86"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88" w:name="page89"/>
    <w:bookmarkEnd w:id="88"/>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financial statements on a timely basis could be impaired.</w:t>
      </w:r>
    </w:p>
    <w:p>
      <w:pPr>
        <w:spacing w:after="0" w:line="34"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Sarbanes-Oxley Act of 2002 requires, among other things, that we assess the effectiveness of our internal control over financial reporting annually and the effectiveness of our disclosure controls and procedures quarterly. In addition, as an accelerated filer, our independent registered public accounting firm is required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p>
    <w:p>
      <w:pPr>
        <w:spacing w:after="0" w:line="92"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8"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spacing w:after="0" w:line="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stock.</w:t>
      </w:r>
    </w:p>
    <w:p>
      <w:pPr>
        <w:spacing w:after="0" w:line="101" w:lineRule="exact"/>
        <w:rPr>
          <w:sz w:val="20"/>
          <w:szCs w:val="20"/>
          <w:color w:val="auto"/>
        </w:rPr>
      </w:pPr>
    </w:p>
    <w:p>
      <w:pPr>
        <w:jc w:val="both"/>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82"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48"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50" w:lineRule="exact"/>
        <w:rPr>
          <w:sz w:val="20"/>
          <w:szCs w:val="20"/>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so that not all members of our board are elected at one time;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only the Board of Directors to establish the number of directors and fill vacancies on the board;</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two-thirds of our stockholders;</w:t>
      </w:r>
    </w:p>
    <w:p>
      <w:pPr>
        <w:spacing w:after="0" w:line="37" w:lineRule="exact"/>
        <w:rPr>
          <w:rFonts w:ascii="Times New Roman" w:cs="Times New Roman" w:eastAsia="Times New Roman" w:hAnsi="Times New Roman"/>
          <w:sz w:val="14"/>
          <w:szCs w:val="14"/>
          <w:color w:val="auto"/>
        </w:rPr>
      </w:pPr>
    </w:p>
    <w:p>
      <w:pPr>
        <w:ind w:left="1860" w:right="1679" w:hanging="357"/>
        <w:spacing w:after="0" w:line="292" w:lineRule="auto"/>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use to implement a stockholder rights plan (also known as a poison pill);</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96" w:lineRule="exact"/>
        <w:rPr>
          <w:rFonts w:ascii="Times New Roman" w:cs="Times New Roman" w:eastAsia="Times New Roman" w:hAnsi="Times New Roman"/>
          <w:sz w:val="14"/>
          <w:szCs w:val="14"/>
          <w:color w:val="auto"/>
        </w:rPr>
      </w:pPr>
    </w:p>
    <w:p>
      <w:pPr>
        <w:ind w:left="1860" w:right="1379" w:hanging="357"/>
        <w:spacing w:after="0" w:line="292" w:lineRule="auto"/>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amend the bylaws;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89" w:name="page90"/>
    <w:bookmarkEnd w:id="89"/>
    <w:p>
      <w:pPr>
        <w:ind w:left="1860" w:right="1199" w:hanging="357"/>
        <w:spacing w:after="0" w:line="292" w:lineRule="auto"/>
        <w:tabs>
          <w:tab w:leader="none" w:pos="18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super-majority vote of stockholders to amend some provisions described above.</w:t>
      </w:r>
    </w:p>
    <w:p>
      <w:pPr>
        <w:spacing w:after="0" w:line="97" w:lineRule="exact"/>
        <w:rPr>
          <w:sz w:val="20"/>
          <w:szCs w:val="20"/>
          <w:color w:val="auto"/>
        </w:rPr>
      </w:pPr>
    </w:p>
    <w:p>
      <w:pPr>
        <w:ind w:left="1160" w:right="1399" w:firstLine="258"/>
        <w:spacing w:after="0" w:line="265" w:lineRule="auto"/>
        <w:rPr>
          <w:sz w:val="20"/>
          <w:szCs w:val="20"/>
          <w:color w:val="auto"/>
        </w:rPr>
      </w:pPr>
      <w:r>
        <w:rPr>
          <w:rFonts w:ascii="Times New Roman" w:cs="Times New Roman" w:eastAsia="Times New Roman" w:hAnsi="Times New Roman"/>
          <w:sz w:val="14"/>
          <w:szCs w:val="14"/>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56" w:lineRule="exact"/>
        <w:rPr>
          <w:sz w:val="20"/>
          <w:szCs w:val="20"/>
          <w:color w:val="auto"/>
        </w:rPr>
      </w:pPr>
    </w:p>
    <w:p>
      <w:pPr>
        <w:ind w:left="1160" w:right="1399" w:firstLine="258"/>
        <w:spacing w:after="0" w:line="268" w:lineRule="auto"/>
        <w:rPr>
          <w:sz w:val="20"/>
          <w:szCs w:val="20"/>
          <w:color w:val="auto"/>
        </w:rPr>
      </w:pPr>
      <w:r>
        <w:rPr>
          <w:rFonts w:ascii="Times New Roman" w:cs="Times New Roman" w:eastAsia="Times New Roman" w:hAnsi="Times New Roman"/>
          <w:sz w:val="14"/>
          <w:szCs w:val="14"/>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50" w:lineRule="exact"/>
        <w:rPr>
          <w:sz w:val="20"/>
          <w:szCs w:val="20"/>
          <w:color w:val="auto"/>
        </w:rPr>
      </w:pPr>
    </w:p>
    <w:p>
      <w:pPr>
        <w:ind w:left="116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3" w:lineRule="exact"/>
        <w:rPr>
          <w:sz w:val="20"/>
          <w:szCs w:val="20"/>
          <w:color w:val="auto"/>
        </w:rPr>
      </w:pPr>
    </w:p>
    <w:p>
      <w:pPr>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spacing w:after="0" w:line="50" w:lineRule="exact"/>
        <w:rPr>
          <w:sz w:val="20"/>
          <w:szCs w:val="20"/>
          <w:color w:val="auto"/>
        </w:rPr>
      </w:pPr>
    </w:p>
    <w:p>
      <w:pPr>
        <w:ind w:left="1860" w:hanging="357"/>
        <w:spacing w:after="0"/>
        <w:tabs>
          <w:tab w:leader="none" w:pos="18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fiduciary duty;</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DGCL, our amended and restated certificate of incorporation or our bylaws;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25"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96"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federal district courts of the U.S.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83"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This Delaware forum provision does not apply to actions arising under the Securities Exchange Act of 1934 because the federal courts have exclusive jurisdiction over such claims.</w:t>
      </w: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0" w:name="page91"/>
    <w:bookmarkEnd w:id="90"/>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48"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We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87"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Board of Directors are authorized to issue and designate shares of our preferred stock in additional series without stockholder approval under our charter documents and Delaware law.</w:t>
      </w:r>
    </w:p>
    <w:p>
      <w:pPr>
        <w:spacing w:after="0" w:line="3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76"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3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Tax Act enacted many significant changes to the U.S. tax laws.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However, the One Big Beautiful Bill Act, enacted on July 4, 2025, restores the ability to deduct domestic research and experimental expenditures for taxable years beginning January 1, 2025 on a current basis, but retains the requirement to amortize foreign research and experimental expenditure over 15 years. There is uncertainty regarding the effect of such changes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Development’s Pillar Two Framework. Finally, the Inflation Reduction Act of 2022 (the “IRA”) was effective beginning in fiscal year 2023, which imposes a 1% excise tax on stock buybacks and a 15% alternative minimum tax on adjusted financial statement income.</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1160" w:right="1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success is highly dependent on our ability to attract and retain highly skilled executive officers and employees.</w:t>
      </w:r>
    </w:p>
    <w:p>
      <w:pPr>
        <w:spacing w:after="0" w:line="3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91" w:name="page92"/>
    <w:bookmarkEnd w:id="91"/>
    <w:p>
      <w:pPr>
        <w:ind w:left="1160" w:right="1859"/>
        <w:spacing w:after="0" w:line="292" w:lineRule="auto"/>
        <w:rPr>
          <w:sz w:val="20"/>
          <w:szCs w:val="20"/>
          <w:color w:val="auto"/>
        </w:rPr>
      </w:pPr>
      <w:r>
        <w:rPr>
          <w:rFonts w:ascii="Times New Roman" w:cs="Times New Roman" w:eastAsia="Times New Roman" w:hAnsi="Times New Roman"/>
          <w:sz w:val="14"/>
          <w:szCs w:val="14"/>
          <w:color w:val="auto"/>
        </w:rPr>
        <w:t>personnel to our company and may be required to expend significant financial resources in our employee recruitment and retention efforts.</w:t>
      </w:r>
    </w:p>
    <w:p>
      <w:pPr>
        <w:spacing w:after="0" w:line="3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operations would suffer in the event of system failures or security breaches or incidents.</w:t>
      </w:r>
    </w:p>
    <w:p>
      <w:pPr>
        <w:spacing w:after="0" w:line="101" w:lineRule="exact"/>
        <w:rPr>
          <w:sz w:val="20"/>
          <w:szCs w:val="20"/>
          <w:color w:val="auto"/>
        </w:rPr>
      </w:pPr>
    </w:p>
    <w:p>
      <w:pPr>
        <w:ind w:left="1160" w:right="1259"/>
        <w:spacing w:after="0" w:line="258" w:lineRule="auto"/>
        <w:rPr>
          <w:sz w:val="20"/>
          <w:szCs w:val="20"/>
          <w:color w:val="auto"/>
        </w:rPr>
      </w:pPr>
      <w:r>
        <w:rPr>
          <w:rFonts w:ascii="Times New Roman" w:cs="Times New Roman" w:eastAsia="Times New Roman" w:hAnsi="Times New Roman"/>
          <w:sz w:val="14"/>
          <w:szCs w:val="14"/>
          <w:color w:val="auto"/>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clinical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spacing w:after="0" w:line="69"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69"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geopolitical tensions and conflicts, and other developments may increase the risk of such a breach, incident, or compromise. There is no assurance that any security procedures or controls that we, our contractors, or our</w:t>
      </w: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2" w:name="page93"/>
    <w:bookmarkEnd w:id="92"/>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third-party service providers or other third parties with whom we do business have implemented will be sufficient to prevent data-security related incidents from occurring.</w:t>
      </w:r>
    </w:p>
    <w:p>
      <w:pPr>
        <w:spacing w:after="0" w:line="38"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26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Economic conditions may adversely affect our business.</w:t>
      </w:r>
    </w:p>
    <w:p>
      <w:pPr>
        <w:spacing w:after="0" w:line="13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w:t>
      </w:r>
    </w:p>
    <w:p>
      <w:pPr>
        <w:spacing w:after="0" w:line="26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For example, key regional economies are currently operating under economic uncertainty and the U.S.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p>
      <w:pPr>
        <w:spacing w:after="0" w:line="8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Factors such as geopolitical events (including the conflicts in Eastern Europe and the Middle East), inflationary pressures, public health crises, and U.S. election cycles have caused extreme volatility and disruptions in the capital and credit markets in recent years. Uncertainty or unfavorable global economic conditions could result in a variety of impacts to our business, including weakening demand for our products, and adversely impacting our ability to raise additional capital when needed on acceptable terms, if at all. A weak or declining economy has strained in the past and may in the future strain our manufacturers or suppliers, possibly resulting in supply disruption, or cause our customers to delay making payments for our products. Further, the Trump administration has proposed or enacted tariffs and substantial changes to trade policies, which could adversely affect our business. For example, the Trump administration has imposed tariffs on certain foreign products, that in the past have resulted in and may result in future retaliatory tariffs on U.S. goods and products. We cannot predict whether these policies will continue, or if new policies will be enacted, or the impact, if any, that any policy changes could have on our</w:t>
      </w:r>
    </w:p>
    <w:p>
      <w:pPr>
        <w:spacing w:after="0" w:line="3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3" w:name="page94"/>
    <w:bookmarkEnd w:id="93"/>
    <w:p>
      <w:pPr>
        <w:ind w:left="1160" w:right="1599"/>
        <w:spacing w:after="0" w:line="292" w:lineRule="auto"/>
        <w:rPr>
          <w:sz w:val="20"/>
          <w:szCs w:val="20"/>
          <w:color w:val="auto"/>
        </w:rPr>
      </w:pPr>
      <w:r>
        <w:rPr>
          <w:rFonts w:ascii="Times New Roman" w:cs="Times New Roman" w:eastAsia="Times New Roman" w:hAnsi="Times New Roman"/>
          <w:sz w:val="14"/>
          <w:szCs w:val="14"/>
          <w:color w:val="auto"/>
        </w:rPr>
        <w:t>business. Any of the foregoing could harm our business and we cannot anticipate all of the ways in which the economic climate and financial market conditions could adversely affect our business.</w:t>
      </w:r>
    </w:p>
    <w:p>
      <w:pPr>
        <w:spacing w:after="0" w:line="70"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spacing w:after="0" w:line="78"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Litigation and other legal proceedings may adversely affect our business.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are and may become involved in legal proceedings, including those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95"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Following periods of volatility in the market price of a company’s securities, securities class action litigation has often been instituted against that company. Following a stock price drop in our securities, on July 22, 2025, a putative securities class action complaint was filed in the U.S. District Court for the Central District of California against us and certain of our officers, captioned Makaveev v. RxSight, Inc., et al., No. 8:25-cv-01596. A second complaint, captioned Gemesi v. RxSight, Inc., et al., No. 8:25-cv-02093 was filed on September 16, 2025, and has since been consolidated with Makaveev. These lawsuits assert claims under Sections 10(b) and 20(a) of the Securities Exchange Act of 1934 and SEC Rule 10b-5, alleging that the defendants made materially false and misleading statements and omitted material adverse facts regarding demand for our products and financial guidance. The plaintiffs seek unspecified compensatory and punitive damages, and reasonable costs and expenses, including attorneys’ fees.</w:t>
      </w:r>
    </w:p>
    <w:p>
      <w:pPr>
        <w:spacing w:after="0" w:line="235" w:lineRule="exact"/>
        <w:rPr>
          <w:sz w:val="20"/>
          <w:szCs w:val="20"/>
          <w:color w:val="auto"/>
        </w:rPr>
      </w:pPr>
    </w:p>
    <w:p>
      <w:pPr>
        <w:jc w:val="both"/>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While it is too early to predict the outcome of the litigation or a reasonable range of potential losses and whether an adverse result would have a material adverse impact on our results of operations or financial position, we believe we have meritorious defenses, vehemently deny the allegations and intend to defend the case vigorously. Failure to obtain a favorable resolution of this lawsuit could have a material adverse effect on the Company’s business, results of operations and financial condition.</w:t>
      </w:r>
    </w:p>
    <w:p>
      <w:pPr>
        <w:spacing w:after="0" w:line="52" w:lineRule="exact"/>
        <w:rPr>
          <w:sz w:val="20"/>
          <w:szCs w:val="20"/>
          <w:color w:val="auto"/>
        </w:rPr>
      </w:pPr>
    </w:p>
    <w:p>
      <w:pPr>
        <w:jc w:val="both"/>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Business disruptions could seriously harm our future revenue and financial condition and increase our costs and expenses.</w:t>
      </w:r>
    </w:p>
    <w:p>
      <w:pPr>
        <w:spacing w:after="0" w:line="34"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w:t>
      </w: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4" w:name="page95"/>
    <w:bookmarkEnd w:id="94"/>
    <w:p>
      <w:pPr>
        <w:ind w:left="1160" w:right="1339"/>
        <w:spacing w:after="0" w:line="292" w:lineRule="auto"/>
        <w:rPr>
          <w:sz w:val="20"/>
          <w:szCs w:val="20"/>
          <w:color w:val="auto"/>
        </w:rPr>
      </w:pPr>
      <w:r>
        <w:rPr>
          <w:rFonts w:ascii="Times New Roman" w:cs="Times New Roman" w:eastAsia="Times New Roman" w:hAnsi="Times New Roman"/>
          <w:sz w:val="14"/>
          <w:szCs w:val="14"/>
          <w:color w:val="auto"/>
        </w:rPr>
        <w:t>consolidated in a certain geographical area is unknown. The occurrence of any of these business disruptions could seriously harm our operations and financial condition and increase our costs and expenses.</w:t>
      </w:r>
    </w:p>
    <w:p>
      <w:pPr>
        <w:spacing w:after="0" w:line="66"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could be materially harmed if we are unable to accurately forecast customer demand for our products and manage our inventory.</w:t>
      </w:r>
    </w:p>
    <w:p>
      <w:pPr>
        <w:spacing w:after="0" w:line="34"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seek to maintain sufficient levels of inventory but the lack of availability of raw materials, including semiconductors, computers, monitors electronic parts, metals, packaging, adhesives, chemicals, resins and subcontract painted components, has and could in the future limit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256"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ind w:left="1420" w:right="5339" w:hanging="267"/>
        <w:spacing w:after="0" w:line="426" w:lineRule="auto"/>
        <w:tabs>
          <w:tab w:leader="none" w:pos="1365" w:val="left"/>
        </w:tabs>
        <w:numPr>
          <w:ilvl w:val="0"/>
          <w:numId w:val="4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Recent Sales of Unregistered Securities </w:t>
      </w:r>
      <w:r>
        <w:rPr>
          <w:rFonts w:ascii="Times New Roman" w:cs="Times New Roman" w:eastAsia="Times New Roman" w:hAnsi="Times New Roman"/>
          <w:sz w:val="14"/>
          <w:szCs w:val="14"/>
          <w:color w:val="auto"/>
        </w:rPr>
        <w:t>None</w:t>
      </w:r>
    </w:p>
    <w:p>
      <w:pPr>
        <w:spacing w:after="0" w:line="29" w:lineRule="exact"/>
        <w:rPr>
          <w:rFonts w:ascii="Times New Roman" w:cs="Times New Roman" w:eastAsia="Times New Roman" w:hAnsi="Times New Roman"/>
          <w:sz w:val="14"/>
          <w:szCs w:val="14"/>
          <w:b w:val="1"/>
          <w:bCs w:val="1"/>
          <w:i w:val="1"/>
          <w:iCs w:val="1"/>
          <w:color w:val="auto"/>
        </w:rPr>
      </w:pPr>
    </w:p>
    <w:p>
      <w:pPr>
        <w:ind w:left="1420" w:right="5119" w:hanging="267"/>
        <w:spacing w:after="0" w:line="426" w:lineRule="auto"/>
        <w:tabs>
          <w:tab w:leader="none" w:pos="1365" w:val="left"/>
        </w:tabs>
        <w:numPr>
          <w:ilvl w:val="0"/>
          <w:numId w:val="4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Use of Proceeds from Registered Securities </w:t>
      </w:r>
      <w:r>
        <w:rPr>
          <w:rFonts w:ascii="Times New Roman" w:cs="Times New Roman" w:eastAsia="Times New Roman" w:hAnsi="Times New Roman"/>
          <w:sz w:val="14"/>
          <w:szCs w:val="14"/>
          <w:color w:val="auto"/>
        </w:rPr>
        <w:t>None</w:t>
      </w:r>
    </w:p>
    <w:p>
      <w:pPr>
        <w:spacing w:after="0" w:line="115" w:lineRule="exact"/>
        <w:rPr>
          <w:rFonts w:ascii="Times New Roman" w:cs="Times New Roman" w:eastAsia="Times New Roman" w:hAnsi="Times New Roman"/>
          <w:sz w:val="14"/>
          <w:szCs w:val="14"/>
          <w:b w:val="1"/>
          <w:bCs w:val="1"/>
          <w:i w:val="1"/>
          <w:iCs w:val="1"/>
          <w:color w:val="auto"/>
        </w:rPr>
      </w:pPr>
    </w:p>
    <w:p>
      <w:pPr>
        <w:ind w:left="1420" w:right="5459" w:hanging="267"/>
        <w:spacing w:after="0" w:line="401" w:lineRule="auto"/>
        <w:tabs>
          <w:tab w:leader="none" w:pos="1357" w:val="left"/>
        </w:tabs>
        <w:numPr>
          <w:ilvl w:val="0"/>
          <w:numId w:val="4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Issuer Purchases of Equity Securities </w:t>
      </w:r>
      <w:r>
        <w:rPr>
          <w:rFonts w:ascii="Times New Roman" w:cs="Times New Roman" w:eastAsia="Times New Roman" w:hAnsi="Times New Roman"/>
          <w:sz w:val="14"/>
          <w:szCs w:val="14"/>
          <w:color w:val="auto"/>
        </w:rPr>
        <w:t>None</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5" w:name="page96"/>
    <w:bookmarkEnd w:id="95"/>
    <w:p>
      <w:pPr>
        <w:ind w:left="116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Securities Trading Plans of Directors and Executive Officers</w:t>
      </w:r>
    </w:p>
    <w:p>
      <w:pPr>
        <w:spacing w:after="0" w:line="131" w:lineRule="exact"/>
        <w:rPr>
          <w:sz w:val="20"/>
          <w:szCs w:val="20"/>
          <w:color w:val="auto"/>
        </w:rPr>
      </w:pPr>
    </w:p>
    <w:p>
      <w:pPr>
        <w:ind w:left="1160" w:right="1519" w:firstLine="258"/>
        <w:spacing w:after="0" w:line="274" w:lineRule="auto"/>
        <w:rPr>
          <w:sz w:val="20"/>
          <w:szCs w:val="20"/>
          <w:color w:val="auto"/>
        </w:rPr>
      </w:pPr>
      <w:r>
        <w:rPr>
          <w:rFonts w:ascii="Times New Roman" w:cs="Times New Roman" w:eastAsia="Times New Roman" w:hAnsi="Times New Roman"/>
          <w:sz w:val="14"/>
          <w:szCs w:val="14"/>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Scott Gaines — Consulting Transition</w:t>
      </w:r>
    </w:p>
    <w:p>
      <w:pPr>
        <w:spacing w:after="0" w:line="120"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On May 5, 2026, the Company and Scott Gaines, the Company’s Chief Customer Officer, agreed that Mr. Gaines would transition from employee to consultant status and would cease to serve as an executive officer of the Company, in each case effective immediately. As a consultant, Mr. Gaines will continue to vest in his currently-held stock options and restricted stock units according to their current vesting schedules. The term of the consulting arrangement will for a term of one year, subject to renewal.</w:t>
      </w:r>
    </w:p>
    <w:p>
      <w:pPr>
        <w:spacing w:after="0" w:line="3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96" w:name="page97"/>
    <w:bookmarkEnd w:id="96"/>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exhibits are filed as part of, or incorporated by reference into, this report unless otherwise stated.</w:t>
      </w:r>
    </w:p>
    <w:p>
      <w:pPr>
        <w:spacing w:after="0" w:line="95"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11"/>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Description</w:t>
            </w:r>
          </w:p>
        </w:tc>
        <w:tc>
          <w:tcPr>
            <w:tcW w:w="1200" w:type="dxa"/>
            <w:vAlign w:val="bottom"/>
            <w:gridSpan w:val="9"/>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6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860" w:type="dxa"/>
            <w:vAlign w:val="bottom"/>
            <w:gridSpan w:val="11"/>
          </w:tcPr>
          <w:p>
            <w:pPr>
              <w:spacing w:after="0"/>
              <w:rPr>
                <w:rFonts w:ascii="Times New Roman" w:cs="Times New Roman" w:eastAsia="Times New Roman" w:hAnsi="Times New Roman"/>
                <w:sz w:val="14"/>
                <w:szCs w:val="14"/>
                <w:color w:val="0000FF"/>
              </w:rPr>
            </w:pPr>
            <w:hyperlink r:id="rId364">
              <w:r>
                <w:rPr>
                  <w:rFonts w:ascii="Times New Roman" w:cs="Times New Roman" w:eastAsia="Times New Roman" w:hAnsi="Times New Roman"/>
                  <w:sz w:val="14"/>
                  <w:szCs w:val="14"/>
                  <w:color w:val="0000FF"/>
                </w:rPr>
                <w:t>Confirmatory Employment Letter, by and</w:t>
              </w:r>
            </w:hyperlink>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10-K</w:t>
            </w:r>
          </w:p>
        </w:tc>
        <w:tc>
          <w:tcPr>
            <w:tcW w:w="8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001-40690</w:t>
            </w:r>
          </w:p>
        </w:tc>
        <w:tc>
          <w:tcPr>
            <w:tcW w:w="6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10.25</w:t>
            </w:r>
          </w:p>
        </w:tc>
        <w:tc>
          <w:tcPr>
            <w:tcW w:w="60" w:type="dxa"/>
            <w:vAlign w:val="bottom"/>
          </w:tcPr>
          <w:p>
            <w:pPr>
              <w:spacing w:after="0"/>
              <w:rPr>
                <w:sz w:val="16"/>
                <w:szCs w:val="16"/>
                <w:color w:val="auto"/>
              </w:rPr>
            </w:pPr>
          </w:p>
        </w:tc>
        <w:tc>
          <w:tcPr>
            <w:tcW w:w="114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color w:val="auto"/>
              </w:rPr>
              <w:t>February 25, 2026</w:t>
            </w: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rFonts w:ascii="Times New Roman" w:cs="Times New Roman" w:eastAsia="Times New Roman" w:hAnsi="Times New Roman"/>
                <w:sz w:val="14"/>
                <w:szCs w:val="14"/>
                <w:color w:val="0000FF"/>
              </w:rPr>
            </w:pPr>
            <w:hyperlink r:id="rId364">
              <w:r>
                <w:rPr>
                  <w:rFonts w:ascii="Times New Roman" w:cs="Times New Roman" w:eastAsia="Times New Roman" w:hAnsi="Times New Roman"/>
                  <w:sz w:val="14"/>
                  <w:szCs w:val="14"/>
                  <w:color w:val="0000FF"/>
                </w:rPr>
                <w:t>between the Registrant and Mark Wilterding,</w:t>
              </w:r>
            </w:hyperlink>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rFonts w:ascii="Times New Roman" w:cs="Times New Roman" w:eastAsia="Times New Roman" w:hAnsi="Times New Roman"/>
                <w:sz w:val="14"/>
                <w:szCs w:val="14"/>
                <w:color w:val="0000FF"/>
              </w:rPr>
            </w:pPr>
            <w:hyperlink r:id="rId364">
              <w:r>
                <w:rPr>
                  <w:rFonts w:ascii="Times New Roman" w:cs="Times New Roman" w:eastAsia="Times New Roman" w:hAnsi="Times New Roman"/>
                  <w:sz w:val="14"/>
                  <w:szCs w:val="14"/>
                  <w:color w:val="0000FF"/>
                </w:rPr>
                <w:t>dated December 15, 2025, as Amended.</w:t>
              </w:r>
            </w:hyperlink>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52"/>
        </w:trPr>
        <w:tc>
          <w:tcPr>
            <w:tcW w:w="5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3"/>
                <w:szCs w:val="13"/>
                <w:color w:val="auto"/>
              </w:rPr>
            </w:pPr>
          </w:p>
        </w:tc>
        <w:tc>
          <w:tcPr>
            <w:tcW w:w="2860" w:type="dxa"/>
            <w:vAlign w:val="bottom"/>
            <w:gridSpan w:val="11"/>
          </w:tcPr>
          <w:p>
            <w:pPr>
              <w:spacing w:after="0" w:line="152" w:lineRule="exact"/>
              <w:rPr>
                <w:rFonts w:ascii="Times New Roman" w:cs="Times New Roman" w:eastAsia="Times New Roman" w:hAnsi="Times New Roman"/>
                <w:sz w:val="14"/>
                <w:szCs w:val="14"/>
                <w:color w:val="0000FF"/>
              </w:rPr>
            </w:pPr>
            <w:hyperlink r:id="rId365">
              <w:r>
                <w:rPr>
                  <w:rFonts w:ascii="Times New Roman" w:cs="Times New Roman" w:eastAsia="Times New Roman" w:hAnsi="Times New Roman"/>
                  <w:sz w:val="14"/>
                  <w:szCs w:val="14"/>
                  <w:color w:val="0000FF"/>
                </w:rPr>
                <w:t>Change in Control and Severance Agreement,</w:t>
              </w:r>
            </w:hyperlink>
          </w:p>
        </w:tc>
        <w:tc>
          <w:tcPr>
            <w:tcW w:w="54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color w:val="auto"/>
              </w:rPr>
              <w:t>10-K</w:t>
            </w:r>
          </w:p>
        </w:tc>
        <w:tc>
          <w:tcPr>
            <w:tcW w:w="860" w:type="dxa"/>
            <w:vAlign w:val="bottom"/>
            <w:gridSpan w:val="4"/>
          </w:tcPr>
          <w:p>
            <w:pPr>
              <w:jc w:val="center"/>
              <w:ind w:right="40"/>
              <w:spacing w:after="0" w:line="152" w:lineRule="exact"/>
              <w:rPr>
                <w:sz w:val="20"/>
                <w:szCs w:val="20"/>
                <w:color w:val="auto"/>
              </w:rPr>
            </w:pPr>
            <w:r>
              <w:rPr>
                <w:rFonts w:ascii="Times New Roman" w:cs="Times New Roman" w:eastAsia="Times New Roman" w:hAnsi="Times New Roman"/>
                <w:sz w:val="14"/>
                <w:szCs w:val="14"/>
                <w:color w:val="auto"/>
              </w:rPr>
              <w:t>001-40690</w:t>
            </w:r>
          </w:p>
        </w:tc>
        <w:tc>
          <w:tcPr>
            <w:tcW w:w="600" w:type="dxa"/>
            <w:vAlign w:val="bottom"/>
            <w:gridSpan w:val="2"/>
          </w:tcPr>
          <w:p>
            <w:pPr>
              <w:jc w:val="center"/>
              <w:ind w:left="68"/>
              <w:spacing w:after="0" w:line="152" w:lineRule="exact"/>
              <w:rPr>
                <w:sz w:val="20"/>
                <w:szCs w:val="20"/>
                <w:color w:val="auto"/>
              </w:rPr>
            </w:pPr>
            <w:r>
              <w:rPr>
                <w:rFonts w:ascii="Times New Roman" w:cs="Times New Roman" w:eastAsia="Times New Roman" w:hAnsi="Times New Roman"/>
                <w:sz w:val="14"/>
                <w:szCs w:val="14"/>
                <w:color w:val="auto"/>
              </w:rPr>
              <w:t>10.31</w:t>
            </w:r>
          </w:p>
        </w:tc>
        <w:tc>
          <w:tcPr>
            <w:tcW w:w="60" w:type="dxa"/>
            <w:vAlign w:val="bottom"/>
          </w:tcPr>
          <w:p>
            <w:pPr>
              <w:spacing w:after="0"/>
              <w:rPr>
                <w:sz w:val="13"/>
                <w:szCs w:val="13"/>
                <w:color w:val="auto"/>
              </w:rPr>
            </w:pPr>
          </w:p>
        </w:tc>
        <w:tc>
          <w:tcPr>
            <w:tcW w:w="1140" w:type="dxa"/>
            <w:vAlign w:val="bottom"/>
            <w:gridSpan w:val="3"/>
          </w:tcPr>
          <w:p>
            <w:pPr>
              <w:jc w:val="center"/>
              <w:ind w:left="8"/>
              <w:spacing w:after="0" w:line="152" w:lineRule="exact"/>
              <w:rPr>
                <w:sz w:val="20"/>
                <w:szCs w:val="20"/>
                <w:color w:val="auto"/>
              </w:rPr>
            </w:pPr>
            <w:r>
              <w:rPr>
                <w:rFonts w:ascii="Times New Roman" w:cs="Times New Roman" w:eastAsia="Times New Roman" w:hAnsi="Times New Roman"/>
                <w:sz w:val="14"/>
                <w:szCs w:val="14"/>
                <w:color w:val="auto"/>
              </w:rPr>
              <w:t>February 25, 2026</w:t>
            </w: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rFonts w:ascii="Times New Roman" w:cs="Times New Roman" w:eastAsia="Times New Roman" w:hAnsi="Times New Roman"/>
                <w:sz w:val="14"/>
                <w:szCs w:val="14"/>
                <w:color w:val="0000FF"/>
              </w:rPr>
            </w:pPr>
            <w:hyperlink r:id="rId365">
              <w:r>
                <w:rPr>
                  <w:rFonts w:ascii="Times New Roman" w:cs="Times New Roman" w:eastAsia="Times New Roman" w:hAnsi="Times New Roman"/>
                  <w:sz w:val="14"/>
                  <w:szCs w:val="14"/>
                  <w:color w:val="0000FF"/>
                </w:rPr>
                <w:t>by and between the Registrant and Mark</w:t>
              </w:r>
            </w:hyperlink>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rFonts w:ascii="Times New Roman" w:cs="Times New Roman" w:eastAsia="Times New Roman" w:hAnsi="Times New Roman"/>
                <w:sz w:val="14"/>
                <w:szCs w:val="14"/>
                <w:color w:val="0000FF"/>
              </w:rPr>
            </w:pPr>
            <w:hyperlink r:id="rId365">
              <w:r>
                <w:rPr>
                  <w:rFonts w:ascii="Times New Roman" w:cs="Times New Roman" w:eastAsia="Times New Roman" w:hAnsi="Times New Roman"/>
                  <w:sz w:val="14"/>
                  <w:szCs w:val="14"/>
                  <w:color w:val="0000FF"/>
                </w:rPr>
                <w:t>Wilterding, dated as of December 15,2025.</w:t>
              </w:r>
            </w:hyperlink>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5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Pursuant to Rules 13a-14(a) and 15d-14(a)</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under the Securities Exchange Act of 1934, as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302 of the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23"/>
                <w:szCs w:val="23"/>
                <w:color w:val="auto"/>
              </w:rPr>
            </w:pPr>
          </w:p>
        </w:tc>
        <w:tc>
          <w:tcPr>
            <w:tcW w:w="28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Pursuant to Rules 13a-14(a) and 15d-14(a)</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under the Securities Exchange Act of 1934, as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302 of the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600" w:type="dxa"/>
            <w:vAlign w:val="bottom"/>
            <w:tcBorders>
              <w:right w:val="single" w:sz="8" w:color="0000FF"/>
            </w:tcBorders>
            <w:gridSpan w:val="4"/>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0"/>
        </w:trPr>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32.1†</w:t>
            </w:r>
          </w:p>
        </w:tc>
        <w:tc>
          <w:tcPr>
            <w:tcW w:w="28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Pursuant to 18 U.S.C. Section 1350, as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906 of the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600" w:type="dxa"/>
            <w:vAlign w:val="bottom"/>
            <w:tcBorders>
              <w:right w:val="single" w:sz="8" w:color="0000EE"/>
            </w:tcBorders>
            <w:gridSpan w:val="4"/>
          </w:tcPr>
          <w:p>
            <w:pPr>
              <w:spacing w:after="0" w:line="20" w:lineRule="exact"/>
              <w:rPr>
                <w:sz w:val="1"/>
                <w:szCs w:val="1"/>
                <w:color w:val="auto"/>
              </w:rPr>
            </w:pPr>
          </w:p>
        </w:tc>
        <w:tc>
          <w:tcPr>
            <w:tcW w:w="166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0"/>
        </w:trPr>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32.2†</w:t>
            </w:r>
          </w:p>
        </w:tc>
        <w:tc>
          <w:tcPr>
            <w:tcW w:w="28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Pursuant to 18 U.S.C. Section 1350, as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906 of the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r>
      <w:tr>
        <w:trPr>
          <w:trHeight w:val="186"/>
        </w:trPr>
        <w:tc>
          <w:tcPr>
            <w:tcW w:w="760" w:type="dxa"/>
            <w:vAlign w:val="bottom"/>
          </w:tcPr>
          <w:p>
            <w:pPr>
              <w:spacing w:after="0"/>
              <w:rPr>
                <w:sz w:val="16"/>
                <w:szCs w:val="16"/>
                <w:color w:val="auto"/>
              </w:rPr>
            </w:pP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File because XBRL tags are embedded within the Inline XBRL document.</w:t>
            </w:r>
          </w:p>
        </w:tc>
      </w:tr>
      <w:tr>
        <w:trPr>
          <w:trHeight w:val="21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r>
      <w:tr>
        <w:trPr>
          <w:trHeight w:val="32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Cover page Interactive Data File (embedded with the Inline XBRL document).</w:t>
            </w:r>
          </w:p>
        </w:tc>
      </w:tr>
    </w:tbl>
    <w:p>
      <w:pPr>
        <w:spacing w:after="0" w:line="200" w:lineRule="exact"/>
        <w:rPr>
          <w:sz w:val="20"/>
          <w:szCs w:val="20"/>
          <w:color w:val="auto"/>
        </w:rPr>
      </w:pP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-99060</wp:posOffset>
            </wp:positionV>
            <wp:extent cx="65468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163" w:lineRule="exact"/>
        <w:rPr>
          <w:sz w:val="20"/>
          <w:szCs w:val="20"/>
          <w:color w:val="auto"/>
        </w:rPr>
      </w:pPr>
    </w:p>
    <w:p>
      <w:pPr>
        <w:jc w:val="both"/>
        <w:ind w:left="1160" w:right="1199" w:hanging="7"/>
        <w:spacing w:after="0" w:line="267" w:lineRule="auto"/>
        <w:tabs>
          <w:tab w:leader="none" w:pos="1267"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spacing w:after="0" w:line="4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514985</wp:posOffset>
            </wp:positionV>
            <wp:extent cx="560387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1160" w:right="119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9"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9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RxSight, Inc.</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Date: May 6, 2026</w:t>
            </w:r>
          </w:p>
        </w:tc>
        <w:tc>
          <w:tcPr>
            <w:tcW w:w="19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By:</w:t>
            </w:r>
          </w:p>
        </w:tc>
        <w:tc>
          <w:tcPr>
            <w:tcW w:w="25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 Ron Kurtz, M.D.</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right="248"/>
              <w:spacing w:after="0" w:line="148" w:lineRule="exact"/>
              <w:rPr>
                <w:sz w:val="20"/>
                <w:szCs w:val="20"/>
                <w:color w:val="auto"/>
              </w:rPr>
            </w:pPr>
            <w:r>
              <w:rPr>
                <w:rFonts w:ascii="Times New Roman" w:cs="Times New Roman" w:eastAsia="Times New Roman" w:hAnsi="Times New Roman"/>
                <w:sz w:val="14"/>
                <w:szCs w:val="14"/>
                <w:color w:val="auto"/>
              </w:rPr>
              <w:t>Ron Kurtz, M.D.</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Chief Executive Officer and President</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344"/>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May 6, 2026</w:t>
            </w:r>
          </w:p>
        </w:tc>
        <w:tc>
          <w:tcPr>
            <w:tcW w:w="19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By:</w:t>
            </w:r>
          </w:p>
        </w:tc>
        <w:tc>
          <w:tcPr>
            <w:tcW w:w="25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color w:val="auto"/>
              </w:rPr>
              <w:t>/s/ Mark Wilterding</w:t>
            </w:r>
          </w:p>
        </w:tc>
        <w:tc>
          <w:tcPr>
            <w:tcW w:w="0" w:type="dxa"/>
            <w:vAlign w:val="bottom"/>
          </w:tcPr>
          <w:p>
            <w:pPr>
              <w:spacing w:after="0"/>
              <w:rPr>
                <w:sz w:val="1"/>
                <w:szCs w:val="1"/>
                <w:color w:val="auto"/>
              </w:rPr>
            </w:pPr>
          </w:p>
        </w:tc>
      </w:tr>
      <w:tr>
        <w:trPr>
          <w:trHeight w:val="65"/>
        </w:trPr>
        <w:tc>
          <w:tcPr>
            <w:tcW w:w="21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Mark Wilterding</w:t>
      </w:r>
    </w:p>
    <w:p>
      <w:pPr>
        <w:spacing w:after="0" w:line="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3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514985</wp:posOffset>
            </wp:positionV>
            <wp:extent cx="560387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98" w:name="page99"/>
    <w:bookmarkEnd w:id="98"/>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3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Ron Kurtz, M.D., certify that:</w:t>
      </w:r>
    </w:p>
    <w:p>
      <w:pPr>
        <w:spacing w:after="0" w:line="183" w:lineRule="exact"/>
        <w:rPr>
          <w:sz w:val="20"/>
          <w:szCs w:val="20"/>
          <w:color w:val="auto"/>
        </w:rPr>
      </w:pPr>
    </w:p>
    <w:p>
      <w:pPr>
        <w:ind w:left="960" w:hanging="322"/>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82" w:lineRule="exact"/>
        <w:rPr>
          <w:rFonts w:ascii="Times New Roman" w:cs="Times New Roman" w:eastAsia="Times New Roman" w:hAnsi="Times New Roman"/>
          <w:sz w:val="14"/>
          <w:szCs w:val="14"/>
          <w:color w:val="auto"/>
        </w:rPr>
      </w:pPr>
    </w:p>
    <w:p>
      <w:pPr>
        <w:ind w:left="960" w:right="859" w:hanging="322"/>
        <w:spacing w:after="0" w:line="274" w:lineRule="auto"/>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60" w:right="919" w:hanging="322"/>
        <w:spacing w:after="0" w:line="274" w:lineRule="auto"/>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60" w:right="719" w:hanging="322"/>
        <w:spacing w:after="0" w:line="274" w:lineRule="auto"/>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60" w:right="939" w:hanging="400"/>
        <w:spacing w:after="0" w:line="268" w:lineRule="auto"/>
        <w:tabs>
          <w:tab w:leader="none" w:pos="1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360" w:right="879" w:hanging="400"/>
        <w:spacing w:after="0" w:line="274" w:lineRule="auto"/>
        <w:tabs>
          <w:tab w:leader="none" w:pos="1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60" w:right="779" w:hanging="400"/>
        <w:spacing w:after="0" w:line="274" w:lineRule="auto"/>
        <w:tabs>
          <w:tab w:leader="none" w:pos="1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60" w:right="859" w:hanging="400"/>
        <w:spacing w:after="0" w:line="268" w:lineRule="auto"/>
        <w:tabs>
          <w:tab w:leader="none" w:pos="1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960" w:right="979" w:hanging="322"/>
        <w:spacing w:after="0" w:line="274" w:lineRule="auto"/>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60" w:right="719" w:hanging="400"/>
        <w:spacing w:after="0" w:line="274" w:lineRule="auto"/>
        <w:tabs>
          <w:tab w:leader="none" w:pos="1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60" w:right="1019" w:hanging="400"/>
        <w:spacing w:after="0" w:line="292" w:lineRule="auto"/>
        <w:tabs>
          <w:tab w:leader="none" w:pos="1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16510</wp:posOffset>
            </wp:positionV>
            <wp:extent cx="226377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Ron Kurtz, M.D.</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9" w:name="page100"/>
    <w:bookmarkEnd w:id="99"/>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Mark Wilterding, certify that:</w:t>
      </w:r>
    </w:p>
    <w:p>
      <w:pPr>
        <w:spacing w:after="0" w:line="183" w:lineRule="exact"/>
        <w:rPr>
          <w:sz w:val="20"/>
          <w:szCs w:val="20"/>
          <w:color w:val="auto"/>
        </w:rPr>
      </w:pPr>
    </w:p>
    <w:p>
      <w:pPr>
        <w:ind w:left="960" w:hanging="322"/>
        <w:spacing w:after="0"/>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82" w:lineRule="exact"/>
        <w:rPr>
          <w:rFonts w:ascii="Times New Roman" w:cs="Times New Roman" w:eastAsia="Times New Roman" w:hAnsi="Times New Roman"/>
          <w:sz w:val="14"/>
          <w:szCs w:val="14"/>
          <w:color w:val="auto"/>
        </w:rPr>
      </w:pPr>
    </w:p>
    <w:p>
      <w:pPr>
        <w:ind w:left="960" w:right="859" w:hanging="322"/>
        <w:spacing w:after="0" w:line="274"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60" w:right="919" w:hanging="322"/>
        <w:spacing w:after="0" w:line="274"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60" w:right="719" w:hanging="322"/>
        <w:spacing w:after="0" w:line="274"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60" w:right="939" w:hanging="400"/>
        <w:spacing w:after="0" w:line="268" w:lineRule="auto"/>
        <w:tabs>
          <w:tab w:leader="none" w:pos="13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360" w:right="879" w:hanging="400"/>
        <w:spacing w:after="0" w:line="274" w:lineRule="auto"/>
        <w:tabs>
          <w:tab w:leader="none" w:pos="13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60" w:right="779" w:hanging="400"/>
        <w:spacing w:after="0" w:line="274" w:lineRule="auto"/>
        <w:tabs>
          <w:tab w:leader="none" w:pos="13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60" w:right="859" w:hanging="400"/>
        <w:spacing w:after="0" w:line="268" w:lineRule="auto"/>
        <w:tabs>
          <w:tab w:leader="none" w:pos="13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960" w:right="979" w:hanging="322"/>
        <w:spacing w:after="0" w:line="274"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60" w:right="719" w:hanging="400"/>
        <w:spacing w:after="0" w:line="274" w:lineRule="auto"/>
        <w:tabs>
          <w:tab w:leader="none" w:pos="13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60" w:right="1019" w:hanging="400"/>
        <w:spacing w:after="0" w:line="292" w:lineRule="auto"/>
        <w:tabs>
          <w:tab w:leader="none" w:pos="13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640"/>
        <w:spacing w:after="0"/>
        <w:tabs>
          <w:tab w:leader="none" w:pos="4540" w:val="left"/>
          <w:tab w:leader="none" w:pos="600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Wilterding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16510</wp:posOffset>
            </wp:positionV>
            <wp:extent cx="226377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Mark Wilterding</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0" w:name="page101"/>
    <w:bookmarkEnd w:id="10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March 31, 2026, as filed with the Securities and Exchange Commission on the date hereof (the “Report”), I, Ron Kurtz, M.D., Chief Executive Officer of the Company, certify, pursuant to 18 U.S.C. §1350, as adopted pursuant to §906 of the Sarbanes-Oxley Act of 2002, that, to my knowledge:</w:t>
      </w:r>
    </w:p>
    <w:p>
      <w:pPr>
        <w:spacing w:after="0" w:line="312" w:lineRule="exact"/>
        <w:rPr>
          <w:sz w:val="20"/>
          <w:szCs w:val="20"/>
          <w:color w:val="auto"/>
        </w:rPr>
      </w:pPr>
    </w:p>
    <w:p>
      <w:pPr>
        <w:ind w:left="1360" w:hanging="400"/>
        <w:spacing w:after="0"/>
        <w:tabs>
          <w:tab w:leader="none" w:pos="13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40" w:right="999" w:hanging="391"/>
        <w:spacing w:after="0" w:line="292" w:lineRule="auto"/>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Ron Kurtz, M.D.</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594995</wp:posOffset>
            </wp:positionV>
            <wp:extent cx="56038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1" w:name="page102"/>
    <w:bookmarkEnd w:id="10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March 31, 2026, as filed with the Securities and Exchange Commission on the date hereof (the “Report”), I, Mark Wilterding, Chief Financial Officer of the Company, certify, pursuant to 18 U.S.C. §1350, as adopted pursuant to §906 of the Sarbanes-Oxley Act of 2002, that, to my knowledge:</w:t>
      </w:r>
    </w:p>
    <w:p>
      <w:pPr>
        <w:spacing w:after="0" w:line="140" w:lineRule="exact"/>
        <w:rPr>
          <w:sz w:val="20"/>
          <w:szCs w:val="20"/>
          <w:color w:val="auto"/>
        </w:rPr>
      </w:pPr>
    </w:p>
    <w:p>
      <w:pPr>
        <w:ind w:left="1360" w:hanging="400"/>
        <w:spacing w:after="0"/>
        <w:tabs>
          <w:tab w:leader="none" w:pos="13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60" w:right="979" w:hanging="400"/>
        <w:spacing w:after="0" w:line="292" w:lineRule="auto"/>
        <w:tabs>
          <w:tab w:leader="none" w:pos="13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Wilterding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Mark Wilterding</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922020</wp:posOffset>
            </wp:positionV>
            <wp:extent cx="560387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decimal"/>
      <w:start w:val="1"/>
    </w:lvl>
  </w:abstractNum>
  <w:abstractNum w:abstractNumId="51">
    <w:nsid w:val="12E685FB"/>
    <w:multiLevelType w:val="hybridMultilevel"/>
    <w:lvl w:ilvl="0">
      <w:lvlJc w:val="left"/>
      <w:lvlText w:val="%1."/>
      <w:numFmt w:val="decimal"/>
      <w:start w:val="2"/>
    </w:lvl>
    <w:lvl w:ilvl="1">
      <w:lvlJc w:val="left"/>
      <w:lvlText w:val="%2"/>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64" Type="http://schemas.openxmlformats.org/officeDocument/2006/relationships/hyperlink" Target="https://www.sec.gov/Archives/edgar/data/1111485/000119312526071775/rxst-ex10_25.htm" TargetMode="External"/><Relationship Id="rId365" Type="http://schemas.openxmlformats.org/officeDocument/2006/relationships/hyperlink" Target="https://www.sec.gov/Archives/edgar/data/1111485/000119312526071775/rxst-ex10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2026-05-06T15:22:39Z</dcterms:created>
  <dcterms:modified xsi:type="dcterms:W3CDTF">2026-05-06T15:22:39Z</dcterms:modified>
</cp:coreProperties>
</file>