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00" w:lineRule="exact"/>
        <w:rPr>
          <w:sz w:val="24"/>
          <w:szCs w:val="24"/>
          <w:color w:val="auto"/>
        </w:rPr>
      </w:pPr>
    </w:p>
    <w:p>
      <w:pPr>
        <w:ind w:left="4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RxSIGHT,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3" w:lineRule="exact"/>
        <w:rPr>
          <w:sz w:val="24"/>
          <w:szCs w:val="24"/>
          <w:color w:val="auto"/>
        </w:rPr>
      </w:pPr>
    </w:p>
    <w:tbl>
      <w:tblPr>
        <w:tblLayout w:type="fixed"/>
        <w:tblInd w:w="1620" w:type="dxa"/>
        <w:tblCellMar>
          <w:top w:w="0" w:type="dxa"/>
          <w:left w:w="0" w:type="dxa"/>
          <w:bottom w:w="0" w:type="dxa"/>
          <w:right w:w="0" w:type="dxa"/>
        </w:tblCellMar>
      </w:tblPr>
      <w:tr>
        <w:trPr>
          <w:trHeight w:val="176"/>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48"/>
              <w:spacing w:after="0"/>
              <w:rPr>
                <w:sz w:val="20"/>
                <w:szCs w:val="20"/>
                <w:color w:val="auto"/>
              </w:rPr>
            </w:pPr>
            <w:r>
              <w:rPr>
                <w:rFonts w:ascii="Arial" w:cs="Arial" w:eastAsia="Arial" w:hAnsi="Arial"/>
                <w:sz w:val="14"/>
                <w:szCs w:val="14"/>
                <w:b w:val="1"/>
                <w:bCs w:val="1"/>
                <w:color w:val="auto"/>
              </w:rPr>
              <w:t>94-3268801</w:t>
            </w:r>
          </w:p>
        </w:tc>
      </w:tr>
      <w:tr>
        <w:trPr>
          <w:trHeight w:val="158"/>
        </w:trPr>
        <w:tc>
          <w:tcPr>
            <w:tcW w:w="4320" w:type="dxa"/>
            <w:vAlign w:val="bottom"/>
          </w:tcPr>
          <w:p>
            <w:pPr>
              <w:jc w:val="center"/>
              <w:ind w:right="1848"/>
              <w:spacing w:after="0" w:line="158"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8"/>
              <w:spacing w:after="0" w:line="158" w:lineRule="exact"/>
              <w:rPr>
                <w:sz w:val="20"/>
                <w:szCs w:val="20"/>
                <w:color w:val="auto"/>
              </w:rPr>
            </w:pPr>
            <w:r>
              <w:rPr>
                <w:rFonts w:ascii="Arial" w:cs="Arial" w:eastAsia="Arial" w:hAnsi="Arial"/>
                <w:sz w:val="14"/>
                <w:szCs w:val="14"/>
                <w:b w:val="1"/>
                <w:bCs w:val="1"/>
                <w:color w:val="auto"/>
                <w:w w:val="96"/>
              </w:rPr>
              <w:t>(I.R.S. Employer</w:t>
            </w:r>
          </w:p>
        </w:tc>
      </w:tr>
      <w:tr>
        <w:trPr>
          <w:trHeight w:val="190"/>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100 Columbia</w:t>
            </w:r>
          </w:p>
        </w:tc>
        <w:tc>
          <w:tcPr>
            <w:tcW w:w="3060" w:type="dxa"/>
            <w:vAlign w:val="bottom"/>
          </w:tcPr>
          <w:p>
            <w:pPr>
              <w:spacing w:after="0"/>
              <w:rPr>
                <w:sz w:val="22"/>
                <w:szCs w:val="22"/>
                <w:color w:val="auto"/>
              </w:rPr>
            </w:pPr>
          </w:p>
        </w:tc>
      </w:tr>
      <w:tr>
        <w:trPr>
          <w:trHeight w:val="175"/>
        </w:trPr>
        <w:tc>
          <w:tcPr>
            <w:tcW w:w="4320" w:type="dxa"/>
            <w:vAlign w:val="bottom"/>
          </w:tcPr>
          <w:p>
            <w:pPr>
              <w:jc w:val="center"/>
              <w:ind w:right="1888"/>
              <w:spacing w:after="0"/>
              <w:rPr>
                <w:sz w:val="20"/>
                <w:szCs w:val="20"/>
                <w:color w:val="auto"/>
              </w:rPr>
            </w:pPr>
            <w:r>
              <w:rPr>
                <w:rFonts w:ascii="Arial" w:cs="Arial" w:eastAsia="Arial" w:hAnsi="Arial"/>
                <w:sz w:val="14"/>
                <w:szCs w:val="14"/>
                <w:b w:val="1"/>
                <w:bCs w:val="1"/>
                <w:color w:val="auto"/>
                <w:w w:val="96"/>
              </w:rPr>
              <w:t>Aliso Viejo, CA</w:t>
            </w:r>
          </w:p>
        </w:tc>
        <w:tc>
          <w:tcPr>
            <w:tcW w:w="3060" w:type="dxa"/>
            <w:vAlign w:val="bottom"/>
          </w:tcPr>
          <w:p>
            <w:pPr>
              <w:jc w:val="right"/>
              <w:ind w:right="308"/>
              <w:spacing w:after="0"/>
              <w:rPr>
                <w:sz w:val="20"/>
                <w:szCs w:val="20"/>
                <w:color w:val="auto"/>
              </w:rPr>
            </w:pPr>
            <w:r>
              <w:rPr>
                <w:rFonts w:ascii="Arial" w:cs="Arial" w:eastAsia="Arial" w:hAnsi="Arial"/>
                <w:sz w:val="14"/>
                <w:szCs w:val="14"/>
                <w:b w:val="1"/>
                <w:bCs w:val="1"/>
                <w:color w:val="auto"/>
              </w:rPr>
              <w:t>92656</w:t>
            </w:r>
          </w:p>
        </w:tc>
      </w:tr>
      <w:tr>
        <w:trPr>
          <w:trHeight w:val="186"/>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0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6"/>
              </w:rPr>
              <w:t>RXST</w:t>
            </w:r>
          </w:p>
        </w:tc>
        <w:tc>
          <w:tcPr>
            <w:tcW w:w="12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180" w:firstLine="509"/>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4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4" w:lineRule="exact"/>
        <w:rPr>
          <w:sz w:val="24"/>
          <w:szCs w:val="24"/>
          <w:color w:val="auto"/>
        </w:rPr>
      </w:pPr>
    </w:p>
    <w:p>
      <w:pPr>
        <w:jc w:val="both"/>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0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2022, the registrant had 27,638,899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tcBorders>
              <w:top w:val="single" w:sz="8" w:color="0000FF"/>
            </w:tcBorders>
            <w:gridSpan w:val="9"/>
          </w:tcPr>
          <w:p>
            <w:pPr>
              <w:spacing w:after="0" w:line="16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w:t>
              </w:r>
            </w:hyperlink>
          </w:p>
        </w:tc>
        <w:tc>
          <w:tcPr>
            <w:tcW w:w="20" w:type="dxa"/>
            <w:vAlign w:val="bottom"/>
            <w:tcBorders>
              <w:top w:val="single" w:sz="8" w:color="0000EE"/>
            </w:tcBorders>
          </w:tcPr>
          <w:p>
            <w:pPr>
              <w:spacing w:after="0"/>
              <w:rPr>
                <w:sz w:val="14"/>
                <w:szCs w:val="14"/>
                <w:color w:val="auto"/>
              </w:rPr>
            </w:pPr>
          </w:p>
        </w:tc>
        <w:tc>
          <w:tcPr>
            <w:tcW w:w="6860" w:type="dxa"/>
            <w:vAlign w:val="bottom"/>
            <w:gridSpan w:val="11"/>
          </w:tcPr>
          <w:p>
            <w:pPr>
              <w:ind w:left="4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top w:val="single" w:sz="8" w:color="0000FF"/>
            </w:tcBorders>
            <w:gridSpan w:val="11"/>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360" w:type="dxa"/>
            <w:vAlign w:val="bottom"/>
            <w:gridSpan w:val="10"/>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Operations and Comprehensive Loss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Equity</w:t>
              </w:r>
            </w:hyperlink>
          </w:p>
        </w:tc>
        <w:tc>
          <w:tcPr>
            <w:tcW w:w="20" w:type="dxa"/>
            <w:vAlign w:val="bottom"/>
            <w:tcBorders>
              <w:top w:val="single" w:sz="8" w:color="0000FF"/>
              <w:bottom w:val="single" w:sz="8" w:color="0000EE"/>
            </w:tcBorders>
          </w:tcPr>
          <w:p>
            <w:pPr>
              <w:spacing w:after="0"/>
              <w:rPr>
                <w:sz w:val="14"/>
                <w:szCs w:val="14"/>
                <w:color w:val="auto"/>
              </w:rPr>
            </w:pPr>
          </w:p>
        </w:tc>
        <w:tc>
          <w:tcPr>
            <w:tcW w:w="2160" w:type="dxa"/>
            <w:vAlign w:val="bottom"/>
            <w:tcBorders>
              <w:top w:val="single" w:sz="8" w:color="0000FF"/>
            </w:tcBorders>
            <w:gridSpan w:val="6"/>
          </w:tcPr>
          <w:p>
            <w:pPr>
              <w:spacing w:after="0"/>
              <w:rPr>
                <w:sz w:val="14"/>
                <w:szCs w:val="14"/>
                <w:color w:val="auto"/>
              </w:rPr>
            </w:pPr>
          </w:p>
        </w:tc>
        <w:tc>
          <w:tcPr>
            <w:tcW w:w="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gridSpan w:val="13"/>
          </w:tcPr>
          <w:p>
            <w:pPr>
              <w:spacing w:after="0" w:line="169" w:lineRule="exact"/>
              <w:rPr>
                <w:rFonts w:ascii="Arial" w:cs="Arial" w:eastAsia="Arial" w:hAnsi="Arial"/>
                <w:sz w:val="18"/>
                <w:szCs w:val="18"/>
                <w:color w:val="0000FF"/>
                <w:w w:val="91"/>
              </w:rPr>
            </w:pPr>
            <w:hyperlink w:anchor="page9">
              <w:r>
                <w:rPr>
                  <w:rFonts w:ascii="Arial" w:cs="Arial" w:eastAsia="Arial" w:hAnsi="Arial"/>
                  <w:sz w:val="18"/>
                  <w:szCs w:val="18"/>
                  <w:color w:val="0000FF"/>
                  <w:w w:val="91"/>
                </w:rPr>
                <w:t>Condensed Consolidated Statements of Cash</w:t>
              </w:r>
            </w:hyperlink>
          </w:p>
        </w:tc>
        <w:tc>
          <w:tcPr>
            <w:tcW w:w="5920" w:type="dxa"/>
            <w:vAlign w:val="bottom"/>
            <w:gridSpan w:val="8"/>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Flows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Borders>
              <w:bottom w:val="single" w:sz="8" w:color="0000FF"/>
            </w:tcBorders>
            <w:gridSpan w:val="17"/>
          </w:tcPr>
          <w:p>
            <w:pPr>
              <w:spacing w:after="0" w:line="169" w:lineRule="exact"/>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4"/>
                <w:szCs w:val="14"/>
                <w:color w:val="auto"/>
              </w:rPr>
            </w:pPr>
          </w:p>
        </w:tc>
        <w:tc>
          <w:tcPr>
            <w:tcW w:w="4480" w:type="dxa"/>
            <w:vAlign w:val="bottom"/>
            <w:gridSpan w:val="3"/>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8"/>
              </w:rPr>
            </w:pPr>
            <w:hyperlink w:anchor="page39">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9"/>
          </w:tcPr>
          <w:p>
            <w:pPr>
              <w:spacing w:after="0"/>
              <w:rPr>
                <w:sz w:val="14"/>
                <w:szCs w:val="14"/>
                <w:color w:val="auto"/>
              </w:rPr>
            </w:pPr>
          </w:p>
        </w:tc>
        <w:tc>
          <w:tcPr>
            <w:tcW w:w="492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8"/>
        </w:trPr>
        <w:tc>
          <w:tcPr>
            <w:tcW w:w="1160" w:type="dxa"/>
            <w:vAlign w:val="bottom"/>
            <w:gridSpan w:val="3"/>
          </w:tcPr>
          <w:p>
            <w:pPr>
              <w:ind w:left="20"/>
              <w:spacing w:after="0" w:line="168" w:lineRule="exact"/>
              <w:rPr>
                <w:sz w:val="20"/>
                <w:szCs w:val="20"/>
                <w:color w:val="auto"/>
              </w:rPr>
            </w:pPr>
            <w:r>
              <w:rPr>
                <w:rFonts w:ascii="Arial" w:cs="Arial" w:eastAsia="Arial" w:hAnsi="Arial"/>
                <w:sz w:val="18"/>
                <w:szCs w:val="18"/>
                <w:b w:val="1"/>
                <w:bCs w:val="1"/>
                <w:color w:val="auto"/>
              </w:rPr>
              <w:t>PART II.</w:t>
            </w:r>
          </w:p>
        </w:tc>
        <w:tc>
          <w:tcPr>
            <w:tcW w:w="1800" w:type="dxa"/>
            <w:vAlign w:val="bottom"/>
            <w:gridSpan w:val="7"/>
          </w:tcPr>
          <w:p>
            <w:pPr>
              <w:spacing w:after="0" w:line="168" w:lineRule="exact"/>
              <w:rPr>
                <w:sz w:val="20"/>
                <w:szCs w:val="20"/>
                <w:color w:val="auto"/>
              </w:rPr>
            </w:pPr>
            <w:r>
              <w:rPr>
                <w:rFonts w:ascii="Arial" w:cs="Arial" w:eastAsia="Arial" w:hAnsi="Arial"/>
                <w:sz w:val="18"/>
                <w:szCs w:val="18"/>
                <w:color w:val="auto"/>
                <w:w w:val="91"/>
              </w:rPr>
              <w:t>OTHER INFORMATION</w:t>
            </w:r>
          </w:p>
        </w:tc>
        <w:tc>
          <w:tcPr>
            <w:tcW w:w="540" w:type="dxa"/>
            <w:vAlign w:val="bottom"/>
          </w:tcPr>
          <w:p>
            <w:pPr>
              <w:spacing w:after="0"/>
              <w:rPr>
                <w:sz w:val="14"/>
                <w:szCs w:val="14"/>
                <w:color w:val="auto"/>
              </w:rPr>
            </w:pPr>
          </w:p>
        </w:tc>
        <w:tc>
          <w:tcPr>
            <w:tcW w:w="2020" w:type="dxa"/>
            <w:vAlign w:val="bottom"/>
            <w:gridSpan w:val="7"/>
          </w:tcPr>
          <w:p>
            <w:pPr>
              <w:spacing w:after="0"/>
              <w:rPr>
                <w:sz w:val="14"/>
                <w:szCs w:val="14"/>
                <w:color w:val="auto"/>
              </w:rPr>
            </w:pPr>
          </w:p>
        </w:tc>
        <w:tc>
          <w:tcPr>
            <w:tcW w:w="4940" w:type="dxa"/>
            <w:vAlign w:val="bottom"/>
            <w:gridSpan w:val="6"/>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90"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2"/>
          </w:tcPr>
          <w:p>
            <w:pPr>
              <w:spacing w:after="0"/>
              <w:rPr>
                <w:sz w:val="14"/>
                <w:szCs w:val="14"/>
                <w:color w:val="auto"/>
              </w:rPr>
            </w:pPr>
          </w:p>
        </w:tc>
        <w:tc>
          <w:tcPr>
            <w:tcW w:w="1000" w:type="dxa"/>
            <w:vAlign w:val="bottom"/>
            <w:gridSpan w:val="3"/>
          </w:tcPr>
          <w:p>
            <w:pPr>
              <w:spacing w:after="0"/>
              <w:rPr>
                <w:sz w:val="14"/>
                <w:szCs w:val="14"/>
                <w:color w:val="auto"/>
              </w:rPr>
            </w:pPr>
          </w:p>
        </w:tc>
        <w:tc>
          <w:tcPr>
            <w:tcW w:w="2020" w:type="dxa"/>
            <w:vAlign w:val="bottom"/>
            <w:gridSpan w:val="7"/>
          </w:tcPr>
          <w:p>
            <w:pPr>
              <w:spacing w:after="0"/>
              <w:rPr>
                <w:sz w:val="14"/>
                <w:szCs w:val="14"/>
                <w:color w:val="auto"/>
              </w:rPr>
            </w:pPr>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69"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Unregistered</w:t>
              </w:r>
            </w:hyperlink>
          </w:p>
        </w:tc>
        <w:tc>
          <w:tcPr>
            <w:tcW w:w="8360" w:type="dxa"/>
            <w:vAlign w:val="bottom"/>
            <w:gridSpan w:val="18"/>
          </w:tcPr>
          <w:p>
            <w:pPr>
              <w:ind w:left="40"/>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Defaults Upon Senior Securities</w:t>
              </w:r>
            </w:hyperlink>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Mine Safety Disclosures</w:t>
              </w:r>
            </w:hyperlink>
          </w:p>
        </w:tc>
        <w:tc>
          <w:tcPr>
            <w:tcW w:w="6960" w:type="dxa"/>
            <w:vAlign w:val="bottom"/>
            <w:gridSpan w:val="1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Other Information</w:t>
              </w:r>
            </w:hyperlink>
          </w:p>
        </w:tc>
        <w:tc>
          <w:tcPr>
            <w:tcW w:w="7520" w:type="dxa"/>
            <w:vAlign w:val="bottom"/>
            <w:gridSpan w:val="1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Exhibits</w:t>
              </w:r>
            </w:hyperlink>
          </w:p>
        </w:tc>
        <w:tc>
          <w:tcPr>
            <w:tcW w:w="798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rFonts w:ascii="Arial" w:cs="Arial" w:eastAsia="Arial" w:hAnsi="Arial"/>
                <w:sz w:val="18"/>
                <w:szCs w:val="18"/>
                <w:color w:val="0000FF"/>
              </w:rPr>
            </w:pPr>
            <w:hyperlink w:anchor="page104">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68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The following discussion and analysis should be read together with our condensed consolidated financial statements and the condensed notes to those statements included elsewhere in this Quarterly Report on Form 10-Q. 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quarterly Report on Form 10-Q, “we,” “us” and “our” refer to RxSight, Inc., a Delaware corporation, and its consolidated subsidiaries.</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Forward-looking statements include, but are not limited to, statements concerning the following:</w:t>
      </w:r>
    </w:p>
    <w:p>
      <w:pPr>
        <w:spacing w:after="0" w:line="10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conduct further clinical trials and any expectations related to the timing or outcomes of such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expected timelines related to our products, or developing new products, to address additional indications or otherwise;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acceptance and use of our products by doctors;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and expand regulatory clearances for our products and any new products we create;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growth of our business and our organization;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regarding investment in our business as we pursue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uses of our existing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regarding government and third-party payer coverage and reimbursement;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personnel, including the continued development of a sales and marketing infrastructure;</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 adequate supply of materials and components for our products from our third-party suppliers, including single- and sole-source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products with appropriate quality;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maintain and enforce intellectual property protection for our products and protect our intellectual property rights;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business into new geographic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SEC rules and Nasdaq continued listing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existing and future government laws, rules and regulations both in the United States and internationally;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allocation of resources toward expenses associated with being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 for, or ability to obtain, additional financing;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new and planned products and/or acquire new products;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and projections relating to our competitors or our industry, including anticipated growth rates for the conventional and premium IOL markets;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COVID-19 pandemic, including currently known and unknown coronavirus variants, on our business or personnel.</w:t>
      </w:r>
    </w:p>
    <w:p>
      <w:pPr>
        <w:spacing w:after="0" w:line="156"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101"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00" w:lineRule="exact"/>
        <w:rPr>
          <w:sz w:val="20"/>
          <w:szCs w:val="20"/>
          <w:color w:val="auto"/>
        </w:rPr>
      </w:pPr>
    </w:p>
    <w:p>
      <w:pPr>
        <w:ind w:right="260" w:firstLine="374"/>
        <w:spacing w:after="0" w:line="270"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9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DISCUSSION AND ANALYSIS OF OUR FINANCIAL CONDITION</w:t>
      </w:r>
    </w:p>
    <w:p>
      <w:pPr>
        <w:spacing w:after="0" w:line="135" w:lineRule="exact"/>
        <w:rPr>
          <w:sz w:val="20"/>
          <w:szCs w:val="20"/>
          <w:color w:val="auto"/>
        </w:rPr>
      </w:pPr>
    </w:p>
    <w:p>
      <w:pPr>
        <w:ind w:right="60" w:firstLine="374"/>
        <w:spacing w:after="0" w:line="250"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unaudited condensed consolidated financial statements, which have been prepared in accordance with generally accepted accounting principles in the United States, or (“GAAP”). The preparation of these financial statements requires us to make estimates and judgments that affect the reported amounts of assets, liabilities, revenues and expenses. On an ongoing basis, we evaluate our estimates including those related to revenue recognition; valuation of the Company’s warrants and other equity awards; estimated probability and timing of redemption of equity instruments,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in the Company’s Annual Report on Form 10-K filed with the SEC on March 8, 2022.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BUSINESS AND MARKET DATA</w:t>
      </w:r>
    </w:p>
    <w:p>
      <w:pPr>
        <w:spacing w:after="0" w:line="128" w:lineRule="exact"/>
        <w:rPr>
          <w:sz w:val="20"/>
          <w:szCs w:val="20"/>
          <w:color w:val="auto"/>
        </w:rPr>
      </w:pPr>
    </w:p>
    <w:p>
      <w:pPr>
        <w:ind w:right="120" w:firstLine="374"/>
        <w:spacing w:after="0"/>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35" w:lineRule="exact"/>
        <w:rPr>
          <w:sz w:val="20"/>
          <w:szCs w:val="20"/>
          <w:color w:val="auto"/>
        </w:rPr>
      </w:pPr>
    </w:p>
    <w:p>
      <w:pPr>
        <w:ind w:right="400" w:firstLine="374"/>
        <w:spacing w:after="0" w:line="241"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Item 1: Financial Statements (Unaudited)</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color w:val="auto"/>
                <w:w w:val="95"/>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24,361</w:t>
            </w: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104,616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134,971</w:t>
            </w: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8,032</w:t>
            </w:r>
          </w:p>
        </w:tc>
        <w:tc>
          <w:tcPr>
            <w:tcW w:w="100" w:type="dxa"/>
            <w:vAlign w:val="bottom"/>
          </w:tcPr>
          <w:p>
            <w:pPr>
              <w:spacing w:after="0"/>
              <w:rPr>
                <w:sz w:val="15"/>
                <w:szCs w:val="15"/>
                <w:color w:val="auto"/>
              </w:rPr>
            </w:pPr>
          </w:p>
        </w:tc>
      </w:tr>
      <w:tr>
        <w:trPr>
          <w:trHeight w:val="175"/>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2,802</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86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149,928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176,295</w:t>
            </w:r>
          </w:p>
        </w:tc>
        <w:tc>
          <w:tcPr>
            <w:tcW w:w="100" w:type="dxa"/>
            <w:vAlign w:val="bottom"/>
          </w:tcPr>
          <w:p>
            <w:pPr>
              <w:spacing w:after="0"/>
              <w:rPr>
                <w:sz w:val="14"/>
                <w:szCs w:val="14"/>
                <w:color w:val="auto"/>
              </w:rPr>
            </w:pP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11,083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11,217</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4"/>
                <w:szCs w:val="14"/>
                <w:color w:val="auto"/>
              </w:rPr>
              <w:t>Operating leases right-of-use assets</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4,704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4,284</w:t>
            </w: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r>
      <w:tr>
        <w:trPr>
          <w:trHeight w:val="209"/>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166,714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8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3,277</w:t>
            </w:r>
          </w:p>
        </w:tc>
        <w:tc>
          <w:tcPr>
            <w:tcW w:w="26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7,859</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Lease liabilities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1,842</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5"/>
                <w:szCs w:val="15"/>
                <w:color w:val="auto"/>
              </w:rPr>
            </w:pPr>
          </w:p>
        </w:tc>
      </w:tr>
      <w:tr>
        <w:trPr>
          <w:trHeight w:val="169"/>
        </w:trPr>
        <w:tc>
          <w:tcPr>
            <w:tcW w:w="7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12,996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11,077</w:t>
            </w:r>
          </w:p>
        </w:tc>
        <w:tc>
          <w:tcPr>
            <w:tcW w:w="100" w:type="dxa"/>
            <w:vAlign w:val="bottom"/>
            <w:shd w:val="clear" w:color="auto" w:fill="CFF0FC"/>
          </w:tcPr>
          <w:p>
            <w:pPr>
              <w:spacing w:after="0"/>
              <w:rPr>
                <w:sz w:val="14"/>
                <w:szCs w:val="14"/>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4"/>
                <w:szCs w:val="14"/>
                <w:color w:val="auto"/>
              </w:rPr>
              <w:t>Long-term lease liabilities</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3,851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Pr>
          <w:p>
            <w:pPr>
              <w:spacing w:after="0"/>
              <w:rPr>
                <w:sz w:val="15"/>
                <w:szCs w:val="15"/>
                <w:color w:val="auto"/>
              </w:rPr>
            </w:pPr>
          </w:p>
        </w:tc>
      </w:tr>
      <w:tr>
        <w:trPr>
          <w:trHeight w:val="175"/>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Term loan, net</w:t>
            </w:r>
          </w:p>
        </w:tc>
        <w:tc>
          <w:tcPr>
            <w:tcW w:w="2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39,881</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86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56,728</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54,479</w:t>
            </w:r>
          </w:p>
        </w:tc>
        <w:tc>
          <w:tcPr>
            <w:tcW w:w="100" w:type="dxa"/>
            <w:vAlign w:val="bottom"/>
          </w:tcPr>
          <w:p>
            <w:pPr>
              <w:spacing w:after="0"/>
              <w:rPr>
                <w:sz w:val="14"/>
                <w:szCs w:val="14"/>
                <w:color w:val="auto"/>
              </w:rPr>
            </w:pPr>
          </w:p>
        </w:tc>
      </w:tr>
      <w:tr>
        <w:trPr>
          <w:trHeight w:val="169"/>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9)</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8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$0.001 par value, 900,000,000 shares authorized, 27,631,479 shares issued and</w:t>
            </w: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860" w:type="dxa"/>
            <w:vAlign w:val="bottom"/>
            <w:shd w:val="clear" w:color="auto" w:fill="CFF0FC"/>
          </w:tcPr>
          <w:p>
            <w:pPr>
              <w:ind w:left="280"/>
              <w:spacing w:after="0" w:line="149" w:lineRule="exact"/>
              <w:rPr>
                <w:sz w:val="20"/>
                <w:szCs w:val="20"/>
                <w:color w:val="auto"/>
              </w:rPr>
            </w:pPr>
            <w:r>
              <w:rPr>
                <w:rFonts w:ascii="Arial" w:cs="Arial" w:eastAsia="Arial" w:hAnsi="Arial"/>
                <w:sz w:val="14"/>
                <w:szCs w:val="14"/>
                <w:color w:val="auto"/>
              </w:rPr>
              <w:t>outstanding as of June 30, 2022 and 27,366,746 shares issued and</w:t>
            </w: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outstanding as of December 31, 2021</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5"/>
                <w:szCs w:val="15"/>
                <w:color w:val="auto"/>
              </w:rPr>
            </w:pPr>
          </w:p>
        </w:tc>
      </w:tr>
      <w:tr>
        <w:trPr>
          <w:trHeight w:val="143"/>
        </w:trPr>
        <w:tc>
          <w:tcPr>
            <w:tcW w:w="7860" w:type="dxa"/>
            <w:vAlign w:val="bottom"/>
          </w:tcPr>
          <w:p>
            <w:pPr>
              <w:ind w:left="200"/>
              <w:spacing w:after="0" w:line="143" w:lineRule="exact"/>
              <w:rPr>
                <w:sz w:val="20"/>
                <w:szCs w:val="20"/>
                <w:color w:val="auto"/>
              </w:rPr>
            </w:pPr>
            <w:r>
              <w:rPr>
                <w:rFonts w:ascii="Arial" w:cs="Arial" w:eastAsia="Arial" w:hAnsi="Arial"/>
                <w:sz w:val="14"/>
                <w:szCs w:val="14"/>
                <w:color w:val="auto"/>
              </w:rPr>
              <w:t>Preferred stock, $0.001 par value, 100,000,000 shares authorized, no shares issued</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860" w:type="dxa"/>
            <w:vAlign w:val="bottom"/>
          </w:tcPr>
          <w:p>
            <w:pPr>
              <w:ind w:left="280"/>
              <w:spacing w:after="0"/>
              <w:rPr>
                <w:sz w:val="20"/>
                <w:szCs w:val="20"/>
                <w:color w:val="auto"/>
              </w:rPr>
            </w:pPr>
            <w:r>
              <w:rPr>
                <w:rFonts w:ascii="Arial" w:cs="Arial" w:eastAsia="Arial" w:hAnsi="Arial"/>
                <w:sz w:val="14"/>
                <w:szCs w:val="14"/>
                <w:color w:val="auto"/>
              </w:rPr>
              <w:t>and outstanding</w:t>
            </w:r>
          </w:p>
        </w:tc>
        <w:tc>
          <w:tcPr>
            <w:tcW w:w="240" w:type="dxa"/>
            <w:vAlign w:val="bottom"/>
          </w:tcPr>
          <w:p>
            <w:pPr>
              <w:spacing w:after="0"/>
              <w:rPr>
                <w:sz w:val="15"/>
                <w:szCs w:val="15"/>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623,746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617,511</w:t>
            </w: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(183 )</w:t>
            </w:r>
          </w:p>
        </w:tc>
        <w:tc>
          <w:tcPr>
            <w:tcW w:w="22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(20 )</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(513,604 )</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(479,276 )</w:t>
            </w:r>
          </w:p>
        </w:tc>
      </w:tr>
      <w:tr>
        <w:trPr>
          <w:trHeight w:val="169"/>
        </w:trPr>
        <w:tc>
          <w:tcPr>
            <w:tcW w:w="786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109,986</w:t>
            </w: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138,242</w:t>
            </w:r>
          </w:p>
        </w:tc>
        <w:tc>
          <w:tcPr>
            <w:tcW w:w="100" w:type="dxa"/>
            <w:vAlign w:val="bottom"/>
            <w:tcBorders>
              <w:top w:val="single" w:sz="8" w:color="CFF0FC"/>
            </w:tcBorders>
          </w:tcPr>
          <w:p>
            <w:pPr>
              <w:spacing w:after="0"/>
              <w:rPr>
                <w:sz w:val="14"/>
                <w:szCs w:val="14"/>
                <w:color w:val="auto"/>
              </w:rPr>
            </w:pPr>
          </w:p>
        </w:tc>
      </w:tr>
      <w:tr>
        <w:trPr>
          <w:trHeight w:val="209"/>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166,714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-3065145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-3065145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-2382520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-2365375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-1453515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-1453515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-262255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ind w:left="5000"/>
        <w:spacing w:after="0"/>
        <w:rPr>
          <w:sz w:val="20"/>
          <w:szCs w:val="20"/>
          <w:color w:val="auto"/>
        </w:rPr>
      </w:pPr>
      <w:r>
        <w:rPr>
          <w:rFonts w:ascii="Arial" w:cs="Arial" w:eastAsia="Arial" w:hAnsi="Arial"/>
          <w:sz w:val="18"/>
          <w:szCs w:val="18"/>
          <w:b w:val="1"/>
          <w:bCs w:val="1"/>
          <w:color w:val="auto"/>
        </w:rPr>
        <w:t>RxSIGHT, INC.</w:t>
      </w:r>
    </w:p>
    <w:p>
      <w:pPr>
        <w:spacing w:after="0" w:line="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AND COMPREHENSIVE LOSS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9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11,360</w:t>
            </w: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4,897</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20,301</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8,381</w:t>
            </w:r>
          </w:p>
        </w:tc>
        <w:tc>
          <w:tcPr>
            <w:tcW w:w="100" w:type="dxa"/>
            <w:vAlign w:val="bottom"/>
            <w:shd w:val="clear" w:color="auto" w:fill="CFF0FC"/>
          </w:tcPr>
          <w:p>
            <w:pPr>
              <w:spacing w:after="0"/>
              <w:rPr>
                <w:sz w:val="14"/>
                <w:szCs w:val="14"/>
                <w:color w:val="auto"/>
              </w:rPr>
            </w:pPr>
          </w:p>
        </w:tc>
      </w:tr>
      <w:tr>
        <w:trPr>
          <w:trHeight w:val="175"/>
        </w:trPr>
        <w:tc>
          <w:tcPr>
            <w:tcW w:w="478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6,572</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5,709</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w:t>
            </w:r>
          </w:p>
        </w:tc>
        <w:tc>
          <w:tcPr>
            <w:tcW w:w="100" w:type="dxa"/>
            <w:vAlign w:val="bottom"/>
          </w:tcPr>
          <w:p>
            <w:pPr>
              <w:spacing w:after="0"/>
              <w:rPr>
                <w:sz w:val="15"/>
                <w:szCs w:val="15"/>
                <w:color w:val="auto"/>
              </w:rPr>
            </w:pPr>
          </w:p>
        </w:tc>
      </w:tr>
      <w:tr>
        <w:trPr>
          <w:trHeight w:val="169"/>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 (loss)</w:t>
            </w: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4,788</w:t>
            </w:r>
          </w:p>
        </w:tc>
        <w:tc>
          <w:tcPr>
            <w:tcW w:w="3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8,549</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4780" w:type="dxa"/>
            <w:vAlign w:val="bottom"/>
          </w:tcPr>
          <w:p>
            <w:pPr>
              <w:ind w:left="20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4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14,388</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6,502</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28,008</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12,113</w:t>
            </w:r>
          </w:p>
        </w:tc>
        <w:tc>
          <w:tcPr>
            <w:tcW w:w="100" w:type="dxa"/>
            <w:vAlign w:val="bottom"/>
            <w:shd w:val="clear" w:color="auto" w:fill="CFF0FC"/>
          </w:tcPr>
          <w:p>
            <w:pPr>
              <w:spacing w:after="0"/>
              <w:rPr>
                <w:sz w:val="15"/>
                <w:szCs w:val="15"/>
                <w:color w:val="auto"/>
              </w:rPr>
            </w:pPr>
          </w:p>
        </w:tc>
      </w:tr>
      <w:tr>
        <w:trPr>
          <w:trHeight w:val="175"/>
        </w:trPr>
        <w:tc>
          <w:tcPr>
            <w:tcW w:w="478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6,192</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6,563</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12,911</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13,206</w:t>
            </w:r>
          </w:p>
        </w:tc>
        <w:tc>
          <w:tcPr>
            <w:tcW w:w="100" w:type="dxa"/>
            <w:vAlign w:val="bottom"/>
          </w:tcPr>
          <w:p>
            <w:pPr>
              <w:spacing w:after="0"/>
              <w:rPr>
                <w:sz w:val="15"/>
                <w:szCs w:val="15"/>
                <w:color w:val="auto"/>
              </w:rPr>
            </w:pPr>
          </w:p>
        </w:tc>
      </w:tr>
      <w:tr>
        <w:trPr>
          <w:trHeight w:val="169"/>
        </w:trPr>
        <w:tc>
          <w:tcPr>
            <w:tcW w:w="47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20,580</w:t>
            </w:r>
          </w:p>
        </w:tc>
        <w:tc>
          <w:tcPr>
            <w:tcW w:w="3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13,065</w:t>
            </w:r>
          </w:p>
        </w:tc>
        <w:tc>
          <w:tcPr>
            <w:tcW w:w="2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40,919</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4780" w:type="dxa"/>
            <w:vAlign w:val="bottom"/>
          </w:tcPr>
          <w:p>
            <w:pPr>
              <w:ind w:left="56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4"/>
                <w:szCs w:val="14"/>
                <w:color w:val="auto"/>
              </w:rPr>
            </w:pPr>
          </w:p>
        </w:tc>
        <w:tc>
          <w:tcPr>
            <w:tcW w:w="1340" w:type="dxa"/>
            <w:vAlign w:val="bottom"/>
            <w:gridSpan w:val="2"/>
          </w:tcPr>
          <w:p>
            <w:pPr>
              <w:jc w:val="right"/>
              <w:ind w:right="208"/>
              <w:spacing w:after="0"/>
              <w:rPr>
                <w:sz w:val="20"/>
                <w:szCs w:val="20"/>
                <w:color w:val="auto"/>
              </w:rPr>
            </w:pPr>
            <w:r>
              <w:rPr>
                <w:rFonts w:ascii="Arial" w:cs="Arial" w:eastAsia="Arial" w:hAnsi="Arial"/>
                <w:sz w:val="14"/>
                <w:szCs w:val="14"/>
                <w:color w:val="auto"/>
              </w:rPr>
              <w:t>(15,792 )</w:t>
            </w:r>
          </w:p>
        </w:tc>
        <w:tc>
          <w:tcPr>
            <w:tcW w:w="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(13,877 )</w:t>
            </w:r>
          </w:p>
        </w:tc>
        <w:tc>
          <w:tcPr>
            <w:tcW w:w="34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(32,370 )</w:t>
            </w:r>
          </w:p>
        </w:tc>
        <w:tc>
          <w:tcPr>
            <w:tcW w:w="3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(25,012 )</w:t>
            </w:r>
          </w:p>
        </w:tc>
      </w:tr>
      <w:tr>
        <w:trPr>
          <w:trHeight w:val="175"/>
        </w:trPr>
        <w:tc>
          <w:tcPr>
            <w:tcW w:w="4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4780" w:type="dxa"/>
            <w:vAlign w:val="bottom"/>
          </w:tcPr>
          <w:p>
            <w:pPr>
              <w:ind w:left="380"/>
              <w:spacing w:after="0"/>
              <w:rPr>
                <w:sz w:val="20"/>
                <w:szCs w:val="20"/>
                <w:color w:val="auto"/>
              </w:rPr>
            </w:pPr>
            <w:r>
              <w:rPr>
                <w:rFonts w:ascii="Arial" w:cs="Arial" w:eastAsia="Arial" w:hAnsi="Arial"/>
                <w:sz w:val="14"/>
                <w:szCs w:val="14"/>
                <w:color w:val="auto"/>
              </w:rPr>
              <w:t>Change in fair value of warrants</w:t>
            </w:r>
          </w:p>
        </w:tc>
        <w:tc>
          <w:tcPr>
            <w:tcW w:w="300" w:type="dxa"/>
            <w:vAlign w:val="bottom"/>
          </w:tcPr>
          <w:p>
            <w:pPr>
              <w:spacing w:after="0"/>
              <w:rPr>
                <w:sz w:val="15"/>
                <w:szCs w:val="15"/>
                <w:color w:val="auto"/>
              </w:rPr>
            </w:pPr>
          </w:p>
        </w:tc>
        <w:tc>
          <w:tcPr>
            <w:tcW w:w="13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1,214</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5"/>
                <w:szCs w:val="15"/>
                <w:color w:val="auto"/>
              </w:rPr>
            </w:pPr>
          </w:p>
        </w:tc>
      </w:tr>
      <w:tr>
        <w:trPr>
          <w:trHeight w:val="176"/>
        </w:trPr>
        <w:tc>
          <w:tcPr>
            <w:tcW w:w="4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Expiration of warrant</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FF0FC"/>
          </w:tcPr>
          <w:p>
            <w:pPr>
              <w:spacing w:after="0"/>
              <w:rPr>
                <w:sz w:val="15"/>
                <w:szCs w:val="15"/>
                <w:color w:val="auto"/>
              </w:rPr>
            </w:pPr>
          </w:p>
        </w:tc>
      </w:tr>
      <w:tr>
        <w:trPr>
          <w:trHeight w:val="175"/>
        </w:trPr>
        <w:tc>
          <w:tcPr>
            <w:tcW w:w="478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340" w:type="dxa"/>
            <w:vAlign w:val="bottom"/>
            <w:gridSpan w:val="2"/>
          </w:tcPr>
          <w:p>
            <w:pPr>
              <w:jc w:val="right"/>
              <w:ind w:right="208"/>
              <w:spacing w:after="0"/>
              <w:rPr>
                <w:sz w:val="20"/>
                <w:szCs w:val="20"/>
                <w:color w:val="auto"/>
              </w:rPr>
            </w:pPr>
            <w:r>
              <w:rPr>
                <w:rFonts w:ascii="Arial" w:cs="Arial" w:eastAsia="Arial" w:hAnsi="Arial"/>
                <w:sz w:val="14"/>
                <w:szCs w:val="14"/>
                <w:color w:val="auto"/>
              </w:rPr>
              <w:t>(1,136 )</w:t>
            </w:r>
          </w:p>
        </w:tc>
        <w:tc>
          <w:tcPr>
            <w:tcW w:w="28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(826 )</w:t>
            </w:r>
          </w:p>
        </w:tc>
        <w:tc>
          <w:tcPr>
            <w:tcW w:w="340" w:type="dxa"/>
            <w:vAlign w:val="bottom"/>
          </w:tcPr>
          <w:p>
            <w:pPr>
              <w:spacing w:after="0"/>
              <w:rPr>
                <w:sz w:val="15"/>
                <w:szCs w:val="15"/>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(2,196 )</w:t>
            </w:r>
          </w:p>
        </w:tc>
        <w:tc>
          <w:tcPr>
            <w:tcW w:w="3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(1,524 )</w:t>
            </w:r>
          </w:p>
        </w:tc>
      </w:tr>
      <w:tr>
        <w:trPr>
          <w:trHeight w:val="176"/>
        </w:trPr>
        <w:tc>
          <w:tcPr>
            <w:tcW w:w="4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Interest and other income</w:t>
            </w: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780" w:type="dxa"/>
            <w:vAlign w:val="bottom"/>
          </w:tcPr>
          <w:p>
            <w:pPr>
              <w:ind w:left="200"/>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4"/>
                <w:szCs w:val="14"/>
                <w:color w:val="auto"/>
              </w:rPr>
            </w:pPr>
          </w:p>
        </w:tc>
        <w:tc>
          <w:tcPr>
            <w:tcW w:w="1340" w:type="dxa"/>
            <w:vAlign w:val="bottom"/>
            <w:gridSpan w:val="2"/>
          </w:tcPr>
          <w:p>
            <w:pPr>
              <w:jc w:val="right"/>
              <w:ind w:right="208"/>
              <w:spacing w:after="0"/>
              <w:rPr>
                <w:sz w:val="20"/>
                <w:szCs w:val="20"/>
                <w:color w:val="auto"/>
              </w:rPr>
            </w:pPr>
            <w:r>
              <w:rPr>
                <w:rFonts w:ascii="Arial" w:cs="Arial" w:eastAsia="Arial" w:hAnsi="Arial"/>
                <w:sz w:val="14"/>
                <w:szCs w:val="14"/>
                <w:color w:val="auto"/>
              </w:rPr>
              <w:t>(16,732 )</w:t>
            </w:r>
          </w:p>
        </w:tc>
        <w:tc>
          <w:tcPr>
            <w:tcW w:w="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(13,474 )</w:t>
            </w:r>
          </w:p>
        </w:tc>
        <w:tc>
          <w:tcPr>
            <w:tcW w:w="34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(34,324 )</w:t>
            </w:r>
          </w:p>
        </w:tc>
        <w:tc>
          <w:tcPr>
            <w:tcW w:w="3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(20,272 )</w:t>
            </w:r>
          </w:p>
        </w:tc>
      </w:tr>
      <w:tr>
        <w:trPr>
          <w:trHeight w:val="176"/>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780" w:type="dxa"/>
            <w:vAlign w:val="bottom"/>
          </w:tcPr>
          <w:p>
            <w:pPr>
              <w:ind w:left="560"/>
              <w:spacing w:after="0" w:line="155" w:lineRule="exact"/>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(16,732 )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(13,477 )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(34,328 )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(20,282 )</w:t>
            </w: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478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gain on short-term investments</w:t>
            </w:r>
          </w:p>
        </w:tc>
        <w:tc>
          <w:tcPr>
            <w:tcW w:w="3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(76 )</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(4 )</w:t>
            </w:r>
          </w:p>
        </w:tc>
        <w:tc>
          <w:tcPr>
            <w:tcW w:w="3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(150 )</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r>
      <w:tr>
        <w:trPr>
          <w:trHeight w:val="176"/>
        </w:trPr>
        <w:tc>
          <w:tcPr>
            <w:tcW w:w="4780" w:type="dxa"/>
            <w:vAlign w:val="bottom"/>
          </w:tcPr>
          <w:p>
            <w:pPr>
              <w:ind w:left="380"/>
              <w:spacing w:after="0"/>
              <w:rPr>
                <w:sz w:val="20"/>
                <w:szCs w:val="20"/>
                <w:color w:val="auto"/>
              </w:rPr>
            </w:pPr>
            <w:r>
              <w:rPr>
                <w:rFonts w:ascii="Arial" w:cs="Arial" w:eastAsia="Arial" w:hAnsi="Arial"/>
                <w:sz w:val="14"/>
                <w:szCs w:val="14"/>
                <w:color w:val="auto"/>
              </w:rPr>
              <w:t>Foreign currency translation (loss) gain</w:t>
            </w:r>
          </w:p>
        </w:tc>
        <w:tc>
          <w:tcPr>
            <w:tcW w:w="300" w:type="dxa"/>
            <w:vAlign w:val="bottom"/>
          </w:tcPr>
          <w:p>
            <w:pPr>
              <w:spacing w:after="0"/>
              <w:rPr>
                <w:sz w:val="15"/>
                <w:szCs w:val="15"/>
                <w:color w:val="auto"/>
              </w:rPr>
            </w:pPr>
          </w:p>
        </w:tc>
        <w:tc>
          <w:tcPr>
            <w:tcW w:w="1340" w:type="dxa"/>
            <w:vAlign w:val="bottom"/>
            <w:gridSpan w:val="2"/>
          </w:tcPr>
          <w:p>
            <w:pPr>
              <w:jc w:val="right"/>
              <w:ind w:right="208"/>
              <w:spacing w:after="0"/>
              <w:rPr>
                <w:sz w:val="20"/>
                <w:szCs w:val="20"/>
                <w:color w:val="auto"/>
              </w:rPr>
            </w:pPr>
            <w:r>
              <w:rPr>
                <w:rFonts w:ascii="Arial" w:cs="Arial" w:eastAsia="Arial" w:hAnsi="Arial"/>
                <w:sz w:val="14"/>
                <w:szCs w:val="14"/>
                <w:color w:val="auto"/>
              </w:rPr>
              <w:t>(9 )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(13 )</w:t>
            </w:r>
          </w:p>
        </w:tc>
        <w:tc>
          <w:tcPr>
            <w:tcW w:w="3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(3 )</w:t>
            </w:r>
          </w:p>
        </w:tc>
      </w:tr>
      <w:tr>
        <w:trPr>
          <w:trHeight w:val="169"/>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other comprehensive loss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340" w:type="dxa"/>
            <w:vAlign w:val="bottom"/>
            <w:tcBorders>
              <w:bottom w:val="single" w:sz="8" w:color="CFF0FC"/>
            </w:tcBorders>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47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(16,817 )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(13,480 )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(34,491 )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(20,282 )</w:t>
            </w: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80" w:type="dxa"/>
            <w:vAlign w:val="bottom"/>
            <w:shd w:val="clear" w:color="auto" w:fill="CFF0FC"/>
          </w:tcPr>
          <w:p>
            <w:pPr>
              <w:ind w:left="200"/>
              <w:spacing w:after="0" w:line="156" w:lineRule="exact"/>
              <w:rPr>
                <w:sz w:val="20"/>
                <w:szCs w:val="20"/>
                <w:color w:val="auto"/>
              </w:rPr>
            </w:pPr>
            <w:r>
              <w:rPr>
                <w:rFonts w:ascii="Arial" w:cs="Arial" w:eastAsia="Arial" w:hAnsi="Arial"/>
                <w:sz w:val="14"/>
                <w:szCs w:val="14"/>
                <w:color w:val="auto"/>
              </w:rPr>
              <w:t>Net loss per share:</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4780" w:type="dxa"/>
            <w:vAlign w:val="bottom"/>
          </w:tcPr>
          <w:p>
            <w:pPr>
              <w:ind w:left="380"/>
              <w:spacing w:after="0"/>
              <w:rPr>
                <w:sz w:val="20"/>
                <w:szCs w:val="20"/>
                <w:color w:val="auto"/>
              </w:rPr>
            </w:pPr>
            <w:r>
              <w:rPr>
                <w:rFonts w:ascii="Arial" w:cs="Arial" w:eastAsia="Arial" w:hAnsi="Arial"/>
                <w:sz w:val="14"/>
                <w:szCs w:val="14"/>
                <w:color w:val="auto"/>
              </w:rPr>
              <w:t>Attributable to Series G common stock, basic and 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(0.32 )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(0.48 )</w:t>
            </w:r>
          </w:p>
        </w:tc>
      </w:tr>
      <w:tr>
        <w:trPr>
          <w:trHeight w:val="176"/>
        </w:trPr>
        <w:tc>
          <w:tcPr>
            <w:tcW w:w="4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basic</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(0.61 )</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(3.28 )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(1.25 )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(5.00 )</w:t>
            </w:r>
          </w:p>
        </w:tc>
      </w:tr>
      <w:tr>
        <w:trPr>
          <w:trHeight w:val="175"/>
        </w:trPr>
        <w:tc>
          <w:tcPr>
            <w:tcW w:w="4780" w:type="dxa"/>
            <w:vAlign w:val="bottom"/>
          </w:tcPr>
          <w:p>
            <w:pPr>
              <w:ind w:left="380"/>
              <w:spacing w:after="0"/>
              <w:rPr>
                <w:sz w:val="20"/>
                <w:szCs w:val="20"/>
                <w:color w:val="auto"/>
              </w:rPr>
            </w:pPr>
            <w:r>
              <w:rPr>
                <w:rFonts w:ascii="Arial" w:cs="Arial" w:eastAsia="Arial" w:hAnsi="Arial"/>
                <w:sz w:val="14"/>
                <w:szCs w:val="14"/>
                <w:color w:val="auto"/>
              </w:rPr>
              <w:t>Attributable to common stock, 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8"/>
              <w:spacing w:after="0"/>
              <w:rPr>
                <w:sz w:val="20"/>
                <w:szCs w:val="20"/>
                <w:color w:val="auto"/>
              </w:rPr>
            </w:pPr>
            <w:r>
              <w:rPr>
                <w:rFonts w:ascii="Arial" w:cs="Arial" w:eastAsia="Arial" w:hAnsi="Arial"/>
                <w:sz w:val="14"/>
                <w:szCs w:val="14"/>
                <w:color w:val="auto"/>
              </w:rPr>
              <w:t>(0.61 )</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(3.53 )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(1.25 )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(5.23 )</w:t>
            </w:r>
          </w:p>
        </w:tc>
      </w:tr>
      <w:tr>
        <w:trPr>
          <w:trHeight w:val="176"/>
        </w:trPr>
        <w:tc>
          <w:tcPr>
            <w:tcW w:w="4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shares used in computing net loss per share:</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780" w:type="dxa"/>
            <w:vAlign w:val="bottom"/>
          </w:tcPr>
          <w:p>
            <w:pPr>
              <w:ind w:left="380"/>
              <w:spacing w:after="0"/>
              <w:rPr>
                <w:sz w:val="20"/>
                <w:szCs w:val="20"/>
                <w:color w:val="auto"/>
              </w:rPr>
            </w:pPr>
            <w:r>
              <w:rPr>
                <w:rFonts w:ascii="Arial" w:cs="Arial" w:eastAsia="Arial" w:hAnsi="Arial"/>
                <w:sz w:val="14"/>
                <w:szCs w:val="14"/>
                <w:color w:val="auto"/>
              </w:rPr>
              <w:t>Attributable to Series G common stock, basic and diluted</w:t>
            </w:r>
          </w:p>
        </w:tc>
        <w:tc>
          <w:tcPr>
            <w:tcW w:w="300" w:type="dxa"/>
            <w:vAlign w:val="bottom"/>
          </w:tcPr>
          <w:p>
            <w:pPr>
              <w:spacing w:after="0"/>
              <w:rPr>
                <w:sz w:val="15"/>
                <w:szCs w:val="15"/>
                <w:color w:val="auto"/>
              </w:rPr>
            </w:pPr>
          </w:p>
        </w:tc>
        <w:tc>
          <w:tcPr>
            <w:tcW w:w="13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r>
      <w:tr>
        <w:trPr>
          <w:trHeight w:val="175"/>
        </w:trPr>
        <w:tc>
          <w:tcPr>
            <w:tcW w:w="4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basic</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27,559,908</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4,106,403</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27,493,130</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4,052,920</w:t>
            </w:r>
          </w:p>
        </w:tc>
        <w:tc>
          <w:tcPr>
            <w:tcW w:w="100" w:type="dxa"/>
            <w:vAlign w:val="bottom"/>
            <w:shd w:val="clear" w:color="auto" w:fill="CFF0FC"/>
          </w:tcPr>
          <w:p>
            <w:pPr>
              <w:spacing w:after="0"/>
              <w:rPr>
                <w:sz w:val="15"/>
                <w:szCs w:val="15"/>
                <w:color w:val="auto"/>
              </w:rPr>
            </w:pPr>
          </w:p>
        </w:tc>
      </w:tr>
      <w:tr>
        <w:trPr>
          <w:trHeight w:val="182"/>
        </w:trPr>
        <w:tc>
          <w:tcPr>
            <w:tcW w:w="4780" w:type="dxa"/>
            <w:vAlign w:val="bottom"/>
          </w:tcPr>
          <w:p>
            <w:pPr>
              <w:ind w:left="380"/>
              <w:spacing w:after="0"/>
              <w:rPr>
                <w:sz w:val="20"/>
                <w:szCs w:val="20"/>
                <w:color w:val="auto"/>
              </w:rPr>
            </w:pPr>
            <w:r>
              <w:rPr>
                <w:rFonts w:ascii="Arial" w:cs="Arial" w:eastAsia="Arial" w:hAnsi="Arial"/>
                <w:sz w:val="14"/>
                <w:szCs w:val="14"/>
                <w:color w:val="auto"/>
              </w:rPr>
              <w:t>Attributable to common stock, diluted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27,559,908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4,166,439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27,493,130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4,113,249</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-3121025</wp:posOffset>
            </wp:positionV>
            <wp:extent cx="7747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-3121025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-3121025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-3121025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-2658110</wp:posOffset>
            </wp:positionV>
            <wp:extent cx="774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-2658110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-2658110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-2658110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-1981200</wp:posOffset>
            </wp:positionV>
            <wp:extent cx="774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-1981200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-1981200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-1981200</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-1749425</wp:posOffset>
            </wp:positionV>
            <wp:extent cx="774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-1749425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-1749425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-1749425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-1038225</wp:posOffset>
            </wp:positionV>
            <wp:extent cx="7747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-1038225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-1038225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-1038225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RxSIGHT,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2"/>
                <w:szCs w:val="12"/>
                <w:b w:val="1"/>
                <w:bCs w:val="1"/>
                <w:color w:val="auto"/>
              </w:rPr>
              <w:t>Six Months Ended June 30, 2022</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388"/>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8"/>
                <w:szCs w:val="18"/>
                <w:color w:val="auto"/>
              </w:rPr>
            </w:pPr>
          </w:p>
        </w:tc>
        <w:tc>
          <w:tcPr>
            <w:tcW w:w="146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2200" w:type="dxa"/>
            <w:vAlign w:val="bottom"/>
            <w:gridSpan w:val="4"/>
            <w:vMerge w:val="restart"/>
          </w:tcPr>
          <w:p>
            <w:pPr>
              <w:jc w:val="right"/>
              <w:ind w:right="507"/>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68"/>
              <w:spacing w:after="0"/>
              <w:rPr>
                <w:sz w:val="20"/>
                <w:szCs w:val="20"/>
                <w:color w:val="auto"/>
              </w:rPr>
            </w:pPr>
            <w:r>
              <w:rPr>
                <w:rFonts w:ascii="Arial" w:cs="Arial" w:eastAsia="Arial" w:hAnsi="Arial"/>
                <w:sz w:val="16"/>
                <w:szCs w:val="16"/>
                <w:b w:val="1"/>
                <w:bCs w:val="1"/>
                <w:color w:val="auto"/>
                <w:w w:val="88"/>
              </w:rPr>
              <w:t>comprehensive</w:t>
            </w:r>
          </w:p>
        </w:tc>
        <w:tc>
          <w:tcPr>
            <w:tcW w:w="120" w:type="dxa"/>
            <w:vAlign w:val="bottom"/>
          </w:tcPr>
          <w:p>
            <w:pPr>
              <w:spacing w:after="0"/>
              <w:rPr>
                <w:sz w:val="12"/>
                <w:szCs w:val="12"/>
                <w:color w:val="auto"/>
              </w:rPr>
            </w:pPr>
          </w:p>
        </w:tc>
        <w:tc>
          <w:tcPr>
            <w:tcW w:w="13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80" w:type="dxa"/>
            <w:vAlign w:val="bottom"/>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360" w:type="dxa"/>
            <w:vAlign w:val="bottom"/>
            <w:gridSpan w:val="2"/>
          </w:tcPr>
          <w:p>
            <w:pPr>
              <w:jc w:val="right"/>
              <w:ind w:right="580"/>
              <w:spacing w:after="0" w:line="183" w:lineRule="exact"/>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740" w:type="dxa"/>
            <w:vAlign w:val="bottom"/>
          </w:tcPr>
          <w:p>
            <w:pPr>
              <w:jc w:val="right"/>
              <w:ind w:right="67"/>
              <w:spacing w:after="0" w:line="183" w:lineRule="exact"/>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540"/>
              <w:spacing w:after="0" w:line="183" w:lineRule="exact"/>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5"/>
                <w:szCs w:val="15"/>
                <w:color w:val="auto"/>
              </w:rPr>
            </w:pPr>
          </w:p>
        </w:tc>
        <w:tc>
          <w:tcPr>
            <w:tcW w:w="1460" w:type="dxa"/>
            <w:vAlign w:val="bottom"/>
            <w:gridSpan w:val="2"/>
          </w:tcPr>
          <w:p>
            <w:pPr>
              <w:jc w:val="center"/>
              <w:ind w:right="288"/>
              <w:spacing w:after="0" w:line="183" w:lineRule="exact"/>
              <w:rPr>
                <w:sz w:val="20"/>
                <w:szCs w:val="20"/>
                <w:color w:val="auto"/>
              </w:rPr>
            </w:pPr>
            <w:r>
              <w:rPr>
                <w:rFonts w:ascii="Arial" w:cs="Arial" w:eastAsia="Arial" w:hAnsi="Arial"/>
                <w:sz w:val="16"/>
                <w:szCs w:val="16"/>
                <w:b w:val="1"/>
                <w:bCs w:val="1"/>
                <w:color w:val="auto"/>
                <w:w w:val="81"/>
              </w:rPr>
              <w:t>loss</w:t>
            </w:r>
          </w:p>
        </w:tc>
        <w:tc>
          <w:tcPr>
            <w:tcW w:w="120" w:type="dxa"/>
            <w:vAlign w:val="bottom"/>
          </w:tcPr>
          <w:p>
            <w:pPr>
              <w:spacing w:after="0"/>
              <w:rPr>
                <w:sz w:val="15"/>
                <w:szCs w:val="15"/>
                <w:color w:val="auto"/>
              </w:rPr>
            </w:pPr>
          </w:p>
        </w:tc>
        <w:tc>
          <w:tcPr>
            <w:tcW w:w="1320" w:type="dxa"/>
            <w:vAlign w:val="bottom"/>
            <w:gridSpan w:val="3"/>
          </w:tcPr>
          <w:p>
            <w:pPr>
              <w:jc w:val="center"/>
              <w:ind w:right="360"/>
              <w:spacing w:after="0" w:line="183" w:lineRule="exact"/>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5"/>
                <w:szCs w:val="15"/>
                <w:color w:val="auto"/>
              </w:rPr>
            </w:pPr>
          </w:p>
        </w:tc>
        <w:tc>
          <w:tcPr>
            <w:tcW w:w="1140" w:type="dxa"/>
            <w:vAlign w:val="bottom"/>
            <w:gridSpan w:val="2"/>
          </w:tcPr>
          <w:p>
            <w:pPr>
              <w:jc w:val="right"/>
              <w:ind w:right="460"/>
              <w:spacing w:after="0" w:line="183"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9"/>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27,366,746</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617,511</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(479,276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138,242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rPr>
              <w:t>Shares issued for the exercise of stock options</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80" w:type="dxa"/>
            <w:vAlign w:val="bottom"/>
          </w:tcPr>
          <w:p>
            <w:pPr>
              <w:ind w:left="60"/>
              <w:spacing w:after="0"/>
              <w:rPr>
                <w:sz w:val="20"/>
                <w:szCs w:val="20"/>
                <w:color w:val="auto"/>
              </w:rPr>
            </w:pPr>
            <w:r>
              <w:rPr>
                <w:rFonts w:ascii="Arial" w:cs="Arial" w:eastAsia="Arial" w:hAnsi="Arial"/>
                <w:sz w:val="14"/>
                <w:szCs w:val="14"/>
                <w:color w:val="auto"/>
              </w:rPr>
              <w:t>and 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145,922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redeemed for employee tax withholdings</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(26,983 )</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(362 )</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(362 )</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Unrealized loss on short-term investments</w:t>
            </w: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and cash equivalents, net of tax</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108"/>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(17,596 )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(17,596 )</w:t>
            </w: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110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tcBorders>
              <w:bottom w:val="single" w:sz="8" w:color="auto"/>
            </w:tcBorders>
            <w:shd w:val="clear" w:color="auto" w:fill="CFF0FC"/>
          </w:tcPr>
          <w:p>
            <w:pPr>
              <w:spacing w:after="0" w:line="20" w:lineRule="exact"/>
              <w:rPr>
                <w:sz w:val="1"/>
                <w:szCs w:val="1"/>
                <w:color w:val="auto"/>
              </w:rPr>
            </w:pPr>
          </w:p>
        </w:tc>
        <w:tc>
          <w:tcPr>
            <w:tcW w:w="74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1000" w:type="dxa"/>
            <w:vAlign w:val="bottom"/>
            <w:tcBorders>
              <w:bottom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122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1100" w:type="dxa"/>
            <w:vAlign w:val="bottom"/>
          </w:tcPr>
          <w:p>
            <w:pPr>
              <w:jc w:val="right"/>
              <w:spacing w:after="0"/>
              <w:rPr>
                <w:sz w:val="20"/>
                <w:szCs w:val="20"/>
                <w:color w:val="auto"/>
              </w:rPr>
            </w:pPr>
            <w:r>
              <w:rPr>
                <w:rFonts w:ascii="Arial" w:cs="Arial" w:eastAsia="Arial" w:hAnsi="Arial"/>
                <w:sz w:val="14"/>
                <w:szCs w:val="14"/>
                <w:color w:val="auto"/>
              </w:rPr>
              <w:t>27,485,685</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620,106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(496,872 )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for the exercise of stock options</w:t>
            </w: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and vesting of 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99,743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Shares issued for the 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46,051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rPr>
              <w:t>Unrealized loss on short-term investments</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80" w:type="dxa"/>
            <w:vAlign w:val="bottom"/>
          </w:tcPr>
          <w:p>
            <w:pPr>
              <w:ind w:left="60"/>
              <w:spacing w:after="0"/>
              <w:rPr>
                <w:sz w:val="20"/>
                <w:szCs w:val="20"/>
                <w:color w:val="auto"/>
              </w:rPr>
            </w:pPr>
            <w:r>
              <w:rPr>
                <w:rFonts w:ascii="Arial" w:cs="Arial" w:eastAsia="Arial" w:hAnsi="Arial"/>
                <w:sz w:val="14"/>
                <w:szCs w:val="14"/>
                <w:color w:val="auto"/>
              </w:rPr>
              <w:t>and cash equivalents, net of tax</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108"/>
              <w:spacing w:after="0"/>
              <w:rPr>
                <w:sz w:val="20"/>
                <w:szCs w:val="20"/>
                <w:color w:val="auto"/>
              </w:rPr>
            </w:pPr>
            <w:r>
              <w:rPr>
                <w:rFonts w:ascii="Arial" w:cs="Arial" w:eastAsia="Arial" w:hAnsi="Arial"/>
                <w:sz w:val="14"/>
                <w:szCs w:val="14"/>
                <w:color w:val="auto"/>
              </w:rPr>
              <w:t>(76 )</w:t>
            </w:r>
          </w:p>
        </w:tc>
        <w:tc>
          <w:tcPr>
            <w:tcW w:w="12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(16,732 )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(16,732 )</w:t>
            </w:r>
          </w:p>
        </w:tc>
        <w:tc>
          <w:tcPr>
            <w:tcW w:w="0" w:type="dxa"/>
            <w:vAlign w:val="bottom"/>
          </w:tcPr>
          <w:p>
            <w:pPr>
              <w:spacing w:after="0"/>
              <w:rPr>
                <w:sz w:val="1"/>
                <w:szCs w:val="1"/>
                <w:color w:val="auto"/>
              </w:rPr>
            </w:pPr>
          </w:p>
        </w:tc>
      </w:tr>
      <w:tr>
        <w:trPr>
          <w:trHeight w:val="203"/>
        </w:trPr>
        <w:tc>
          <w:tcPr>
            <w:tcW w:w="3180" w:type="dxa"/>
            <w:vAlign w:val="bottom"/>
            <w:tcBorders>
              <w:top w:val="single" w:sz="8" w:color="CFF0FC"/>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June 30, 2022</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27,631,479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623,746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w:t>
            </w:r>
          </w:p>
        </w:tc>
        <w:tc>
          <w:tcPr>
            <w:tcW w:w="240" w:type="dxa"/>
            <w:vAlign w:val="bottom"/>
            <w:tcBorders>
              <w:top w:val="single" w:sz="8" w:color="CFF0FC"/>
              <w:bottom w:val="single" w:sz="8" w:color="CFF0FC"/>
            </w:tcBorders>
            <w:shd w:val="clear" w:color="auto" w:fill="CFF0FC"/>
          </w:tcPr>
          <w:p>
            <w:pPr>
              <w:jc w:val="right"/>
              <w:ind w:right="108"/>
              <w:spacing w:after="0" w:line="149"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(513,604</w:t>
            </w:r>
          </w:p>
        </w:tc>
        <w:tc>
          <w:tcPr>
            <w:tcW w:w="12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109,986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-1136650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-1136650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-145415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-145415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b w:val="1"/>
          <w:bCs w:val="1"/>
          <w:color w:val="auto"/>
        </w:rPr>
        <w:t>RXSIGHT,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REDEEMABLE COMMON STOCK, STOCK OPTIONS, CONVERTIBLE PREFERRED STOCK AND STOCKHOLDERS’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EQUITY (DEFICIT)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Six Months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1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4"/>
            <w:vMerge w:val="restart"/>
          </w:tcPr>
          <w:p>
            <w:pPr>
              <w:jc w:val="right"/>
              <w:ind w:right="306"/>
              <w:spacing w:after="0"/>
              <w:rPr>
                <w:sz w:val="20"/>
                <w:szCs w:val="20"/>
                <w:color w:val="auto"/>
              </w:rPr>
            </w:pPr>
            <w:r>
              <w:rPr>
                <w:rFonts w:ascii="Arial" w:cs="Arial" w:eastAsia="Arial" w:hAnsi="Arial"/>
                <w:sz w:val="11"/>
                <w:szCs w:val="11"/>
                <w:b w:val="1"/>
                <w:bCs w:val="1"/>
                <w:color w:val="auto"/>
              </w:rPr>
              <w:t>Convertible</w:t>
            </w:r>
          </w:p>
        </w:tc>
        <w:tc>
          <w:tcPr>
            <w:tcW w:w="220" w:type="dxa"/>
            <w:vAlign w:val="bottom"/>
            <w:tcBorders>
              <w:top w:val="single" w:sz="8" w:color="auto"/>
              <w:right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78"/>
              </w:rPr>
              <w:t>Notes</w:t>
            </w:r>
          </w:p>
        </w:tc>
        <w:tc>
          <w:tcPr>
            <w:tcW w:w="8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5"/>
              </w:rPr>
              <w:t>receivable</w:t>
            </w: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87"/>
              </w:rPr>
              <w:t>Notes receivable for</w:t>
            </w:r>
          </w:p>
        </w:tc>
        <w:tc>
          <w:tcPr>
            <w:tcW w:w="7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Redeemab</w:t>
            </w: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0"/>
              </w:rPr>
              <w:t>Additiona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340"/>
              <w:spacing w:after="0" w:line="109" w:lineRule="exact"/>
              <w:rPr>
                <w:sz w:val="20"/>
                <w:szCs w:val="20"/>
                <w:color w:val="auto"/>
              </w:rPr>
            </w:pPr>
            <w:r>
              <w:rPr>
                <w:rFonts w:ascii="Arial" w:cs="Arial" w:eastAsia="Arial" w:hAnsi="Arial"/>
                <w:sz w:val="11"/>
                <w:szCs w:val="11"/>
                <w:b w:val="1"/>
                <w:bCs w:val="1"/>
                <w:color w:val="auto"/>
                <w:w w:val="81"/>
              </w:rPr>
              <w:t>for</w:t>
            </w:r>
          </w:p>
        </w:tc>
        <w:tc>
          <w:tcPr>
            <w:tcW w:w="140" w:type="dxa"/>
            <w:vAlign w:val="bottom"/>
          </w:tcPr>
          <w:p>
            <w:pPr>
              <w:spacing w:after="0"/>
              <w:rPr>
                <w:sz w:val="9"/>
                <w:szCs w:val="9"/>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4"/>
              </w:rPr>
              <w:t>other</w:t>
            </w: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Accumula</w:t>
            </w:r>
          </w:p>
        </w:tc>
        <w:tc>
          <w:tcPr>
            <w:tcW w:w="100" w:type="dxa"/>
            <w:vAlign w:val="bottom"/>
          </w:tcPr>
          <w:p>
            <w:pPr>
              <w:spacing w:after="0"/>
              <w:rPr>
                <w:sz w:val="9"/>
                <w:szCs w:val="9"/>
                <w:color w:val="auto"/>
              </w:rPr>
            </w:pPr>
          </w:p>
        </w:tc>
        <w:tc>
          <w:tcPr>
            <w:tcW w:w="5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28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86"/>
              </w:rPr>
              <w:t>Redeemable common stock</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260" w:type="dxa"/>
            <w:vAlign w:val="bottom"/>
            <w:gridSpan w:val="4"/>
            <w:vMerge w:val="restart"/>
          </w:tcPr>
          <w:p>
            <w:pPr>
              <w:jc w:val="right"/>
              <w:ind w:right="226"/>
              <w:spacing w:after="0"/>
              <w:rPr>
                <w:sz w:val="20"/>
                <w:szCs w:val="20"/>
                <w:color w:val="auto"/>
              </w:rPr>
            </w:pPr>
            <w:r>
              <w:rPr>
                <w:rFonts w:ascii="Arial" w:cs="Arial" w:eastAsia="Arial" w:hAnsi="Arial"/>
                <w:sz w:val="11"/>
                <w:szCs w:val="11"/>
                <w:b w:val="1"/>
                <w:bCs w:val="1"/>
                <w:color w:val="auto"/>
              </w:rPr>
              <w:t>preferred stock</w:t>
            </w:r>
          </w:p>
        </w:tc>
        <w:tc>
          <w:tcPr>
            <w:tcW w:w="220" w:type="dxa"/>
            <w:vAlign w:val="bottom"/>
            <w:tcBorders>
              <w:right w:val="single" w:sz="8" w:color="auto"/>
            </w:tcBorders>
          </w:tcPr>
          <w:p>
            <w:pPr>
              <w:spacing w:after="0"/>
              <w:rPr>
                <w:sz w:val="9"/>
                <w:szCs w:val="9"/>
                <w:color w:val="auto"/>
              </w:rPr>
            </w:pPr>
          </w:p>
        </w:tc>
        <w:tc>
          <w:tcPr>
            <w:tcW w:w="98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w w:val="95"/>
              </w:rPr>
              <w:t>Common 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rPr>
              <w:t>l</w:t>
            </w:r>
          </w:p>
        </w:tc>
        <w:tc>
          <w:tcPr>
            <w:tcW w:w="200" w:type="dxa"/>
            <w:vAlign w:val="bottom"/>
          </w:tcPr>
          <w:p>
            <w:pPr>
              <w:spacing w:after="0"/>
              <w:rPr>
                <w:sz w:val="9"/>
                <w:szCs w:val="9"/>
                <w:color w:val="auto"/>
              </w:rPr>
            </w:pPr>
          </w:p>
        </w:tc>
        <w:tc>
          <w:tcPr>
            <w:tcW w:w="760" w:type="dxa"/>
            <w:vAlign w:val="bottom"/>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w w:val="87"/>
              </w:rPr>
              <w:t>common</w:t>
            </w: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6"/>
              </w:rPr>
              <w:t>stockholder</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2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8"/>
              </w:rPr>
              <w:t>redeemable</w:t>
            </w:r>
          </w:p>
        </w:tc>
        <w:tc>
          <w:tcPr>
            <w:tcW w:w="80" w:type="dxa"/>
            <w:vAlign w:val="bottom"/>
          </w:tcPr>
          <w:p>
            <w:pPr>
              <w:spacing w:after="0"/>
              <w:rPr>
                <w:sz w:val="11"/>
                <w:szCs w:val="11"/>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le</w:t>
            </w:r>
          </w:p>
        </w:tc>
        <w:tc>
          <w:tcPr>
            <w:tcW w:w="1260" w:type="dxa"/>
            <w:vAlign w:val="bottom"/>
            <w:tcBorders>
              <w:bottom w:val="single" w:sz="8" w:color="auto"/>
            </w:tcBorders>
            <w:gridSpan w:val="4"/>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98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paid-in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3"/>
              </w:rPr>
              <w:t>stock</w:t>
            </w:r>
          </w:p>
        </w:tc>
        <w:tc>
          <w:tcPr>
            <w:tcW w:w="8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4"/>
              </w:rPr>
              <w:t>comprehensive</w:t>
            </w:r>
          </w:p>
        </w:tc>
        <w:tc>
          <w:tcPr>
            <w:tcW w:w="80" w:type="dxa"/>
            <w:vAlign w:val="bottom"/>
          </w:tcPr>
          <w:p>
            <w:pPr>
              <w:spacing w:after="0"/>
              <w:rPr>
                <w:sz w:val="11"/>
                <w:szCs w:val="11"/>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ted</w:t>
            </w:r>
          </w:p>
        </w:tc>
        <w:tc>
          <w:tcPr>
            <w:tcW w:w="10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74"/>
              </w:rPr>
              <w:t>s'</w:t>
            </w: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40" w:type="dxa"/>
            <w:vAlign w:val="bottom"/>
            <w:vMerge w:val="restart"/>
          </w:tcPr>
          <w:p>
            <w:pPr>
              <w:spacing w:after="0"/>
              <w:rPr>
                <w:sz w:val="7"/>
                <w:szCs w:val="7"/>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84"/>
              </w:rPr>
              <w:t>common stock issued</w:t>
            </w:r>
          </w:p>
        </w:tc>
        <w:tc>
          <w:tcPr>
            <w:tcW w:w="2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320"/>
              <w:spacing w:after="0" w:line="88" w:lineRule="exact"/>
              <w:rPr>
                <w:sz w:val="20"/>
                <w:szCs w:val="20"/>
                <w:color w:val="auto"/>
              </w:rPr>
            </w:pPr>
            <w:r>
              <w:rPr>
                <w:rFonts w:ascii="Arial" w:cs="Arial" w:eastAsia="Arial" w:hAnsi="Arial"/>
                <w:sz w:val="10"/>
                <w:szCs w:val="10"/>
                <w:b w:val="1"/>
                <w:bCs w:val="1"/>
                <w:color w:val="auto"/>
                <w:w w:val="91"/>
              </w:rPr>
              <w:t>stock</w:t>
            </w: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Amount</w:t>
            </w:r>
          </w:p>
        </w:tc>
        <w:tc>
          <w:tcPr>
            <w:tcW w:w="220" w:type="dxa"/>
            <w:vAlign w:val="bottom"/>
            <w:tcBorders>
              <w:right w:val="single" w:sz="8" w:color="auto"/>
            </w:tcBorders>
          </w:tcPr>
          <w:p>
            <w:pPr>
              <w:spacing w:after="0"/>
              <w:rPr>
                <w:sz w:val="7"/>
                <w:szCs w:val="7"/>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7"/>
                <w:szCs w:val="7"/>
                <w:color w:val="auto"/>
              </w:rPr>
            </w:pPr>
          </w:p>
        </w:tc>
        <w:tc>
          <w:tcPr>
            <w:tcW w:w="34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w w:val="98"/>
              </w:rPr>
              <w:t>Amou</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1"/>
              </w:rPr>
              <w:t>capital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80"/>
              </w:rPr>
              <w:t>issued</w:t>
            </w:r>
          </w:p>
        </w:tc>
        <w:tc>
          <w:tcPr>
            <w:tcW w:w="22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w w:val="72"/>
              </w:rPr>
              <w:t>loss</w:t>
            </w: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w w:val="92"/>
              </w:rPr>
              <w:t>deficit</w:t>
            </w:r>
          </w:p>
        </w:tc>
        <w:tc>
          <w:tcPr>
            <w:tcW w:w="2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2"/>
              </w:rPr>
              <w:t>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5"/>
              </w:rPr>
              <w:t>options</w:t>
            </w:r>
          </w:p>
        </w:tc>
        <w:tc>
          <w:tcPr>
            <w:tcW w:w="22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w w:val="76"/>
              </w:rPr>
              <w:t>nt</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180" w:type="dxa"/>
            <w:vAlign w:val="bottom"/>
            <w:shd w:val="clear" w:color="auto" w:fill="CFF0FC"/>
          </w:tcPr>
          <w:p>
            <w:pPr>
              <w:ind w:left="20"/>
              <w:spacing w:after="0" w:line="96" w:lineRule="exact"/>
              <w:rPr>
                <w:sz w:val="20"/>
                <w:szCs w:val="20"/>
                <w:color w:val="auto"/>
              </w:rPr>
            </w:pPr>
            <w:r>
              <w:rPr>
                <w:rFonts w:ascii="Arial" w:cs="Arial" w:eastAsia="Arial" w:hAnsi="Arial"/>
                <w:sz w:val="11"/>
                <w:szCs w:val="11"/>
                <w:color w:val="auto"/>
              </w:rPr>
              <w:t>Balance at December</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3,813,450</w:t>
            </w:r>
          </w:p>
        </w:tc>
        <w:tc>
          <w:tcPr>
            <w:tcW w:w="24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80,780</w:t>
            </w:r>
          </w:p>
        </w:tc>
        <w:tc>
          <w:tcPr>
            <w:tcW w:w="1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(803 )</w:t>
            </w: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53,085</w:t>
            </w: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96" w:lineRule="exact"/>
              <w:rPr>
                <w:sz w:val="20"/>
                <w:szCs w:val="20"/>
                <w:color w:val="auto"/>
              </w:rPr>
            </w:pPr>
            <w:r>
              <w:rPr>
                <w:rFonts w:ascii="Arial" w:cs="Arial" w:eastAsia="Arial" w:hAnsi="Arial"/>
                <w:sz w:val="11"/>
                <w:szCs w:val="11"/>
                <w:color w:val="auto"/>
              </w:rPr>
              <w:t>14,376,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353,300</w:t>
            </w: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line="96" w:lineRule="exact"/>
              <w:rPr>
                <w:sz w:val="20"/>
                <w:szCs w:val="20"/>
                <w:color w:val="auto"/>
              </w:rPr>
            </w:pPr>
            <w:r>
              <w:rPr>
                <w:rFonts w:ascii="Arial" w:cs="Arial" w:eastAsia="Arial" w:hAnsi="Arial"/>
                <w:sz w:val="11"/>
                <w:szCs w:val="11"/>
                <w:color w:val="auto"/>
              </w:rPr>
              <w:t>(430,58</w:t>
            </w:r>
          </w:p>
        </w:tc>
        <w:tc>
          <w:tcPr>
            <w:tcW w:w="2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w w:val="99"/>
              </w:rPr>
              <w:t>(430,591 )</w:t>
            </w: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31, 2020</w:t>
            </w:r>
          </w:p>
        </w:tc>
        <w:tc>
          <w:tcPr>
            <w:tcW w:w="58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40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w:t>
            </w:r>
          </w:p>
        </w:tc>
        <w:tc>
          <w:tcPr>
            <w:tcW w:w="280" w:type="dxa"/>
            <w:vAlign w:val="bottom"/>
            <w:gridSpan w:val="2"/>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8 )</w:t>
            </w:r>
          </w:p>
        </w:tc>
        <w:tc>
          <w:tcPr>
            <w:tcW w:w="100" w:type="dxa"/>
            <w:vAlign w:val="bottom"/>
            <w:vMerge w:val="continue"/>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9" w:lineRule="exact"/>
              <w:rPr>
                <w:sz w:val="20"/>
                <w:szCs w:val="20"/>
                <w:color w:val="auto"/>
              </w:rPr>
            </w:pPr>
            <w:r>
              <w:rPr>
                <w:rFonts w:ascii="Arial" w:cs="Arial" w:eastAsia="Arial" w:hAnsi="Arial"/>
                <w:sz w:val="11"/>
                <w:szCs w:val="11"/>
                <w:color w:val="auto"/>
              </w:rPr>
              <w:t>Exercise of stock</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280,545</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6,922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(5,715 )</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color w:val="auto"/>
              </w:rPr>
              <w:t>options</w:t>
            </w: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Stock-based</w:t>
            </w:r>
          </w:p>
        </w:tc>
        <w:tc>
          <w:tcPr>
            <w:tcW w:w="5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compensation</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expense</w:t>
            </w:r>
          </w:p>
        </w:tc>
        <w:tc>
          <w:tcPr>
            <w:tcW w:w="8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9" w:lineRule="exact"/>
              <w:rPr>
                <w:sz w:val="20"/>
                <w:szCs w:val="20"/>
                <w:color w:val="auto"/>
              </w:rPr>
            </w:pPr>
            <w:r>
              <w:rPr>
                <w:rFonts w:ascii="Arial" w:cs="Arial" w:eastAsia="Arial" w:hAnsi="Arial"/>
                <w:sz w:val="11"/>
                <w:szCs w:val="11"/>
                <w:color w:val="auto"/>
              </w:rPr>
              <w:t>Unrealized gain on</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short-term</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color w:val="auto"/>
              </w:rPr>
              <w:t>equivalents, net of tax</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Foreign currency</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(4 )</w:t>
            </w:r>
          </w:p>
        </w:tc>
        <w:tc>
          <w:tcPr>
            <w:tcW w:w="8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translation adjustment</w:t>
            </w:r>
          </w:p>
        </w:tc>
        <w:tc>
          <w:tcPr>
            <w:tcW w:w="8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9" w:lineRule="exact"/>
              <w:rPr>
                <w:sz w:val="20"/>
                <w:szCs w:val="20"/>
                <w:color w:val="auto"/>
              </w:rPr>
            </w:pPr>
            <w:r>
              <w:rPr>
                <w:rFonts w:ascii="Arial" w:cs="Arial" w:eastAsia="Arial" w:hAnsi="Arial"/>
                <w:sz w:val="11"/>
                <w:szCs w:val="11"/>
                <w:color w:val="auto"/>
              </w:rPr>
              <w:t>Change in notes</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receivable for common</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rPr>
                <w:sz w:val="20"/>
                <w:szCs w:val="20"/>
                <w:color w:val="auto"/>
              </w:rPr>
            </w:pPr>
            <w:r>
              <w:rPr>
                <w:rFonts w:ascii="Arial" w:cs="Arial" w:eastAsia="Arial" w:hAnsi="Arial"/>
                <w:sz w:val="11"/>
                <w:szCs w:val="11"/>
                <w:color w:val="auto"/>
              </w:rPr>
              <w:t>stock issued</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3"/>
        </w:trPr>
        <w:tc>
          <w:tcPr>
            <w:tcW w:w="11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Reclassification of</w:t>
            </w:r>
          </w:p>
        </w:tc>
        <w:tc>
          <w:tcPr>
            <w:tcW w:w="5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4,093,995 shares of</w:t>
            </w: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redeemable common</w:t>
            </w: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stock to</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(4,093,99</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(87,70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4,093,995 shares of</w:t>
            </w:r>
          </w:p>
        </w:tc>
        <w:tc>
          <w:tcPr>
            <w:tcW w:w="5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817</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4,093,995</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87,698</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(817 )</w:t>
            </w:r>
          </w:p>
        </w:tc>
        <w:tc>
          <w:tcPr>
            <w:tcW w:w="14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86,885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5 )</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2 )</w:t>
            </w:r>
          </w:p>
        </w:tc>
        <w:tc>
          <w:tcPr>
            <w:tcW w:w="120" w:type="dxa"/>
            <w:vAlign w:val="bottom"/>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9" w:lineRule="exact"/>
              <w:rPr>
                <w:sz w:val="20"/>
                <w:szCs w:val="20"/>
                <w:color w:val="auto"/>
              </w:rPr>
            </w:pPr>
            <w:r>
              <w:rPr>
                <w:rFonts w:ascii="Arial" w:cs="Arial" w:eastAsia="Arial" w:hAnsi="Arial"/>
                <w:sz w:val="11"/>
                <w:szCs w:val="11"/>
                <w:color w:val="auto"/>
              </w:rPr>
              <w:t>Reclassification of</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redeemable common</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stock options to</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(47,370 )</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47,370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47,370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color w:val="auto"/>
              </w:rPr>
              <w:t>common stock options</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(6,805 )</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(6,805 )</w:t>
            </w:r>
          </w:p>
        </w:tc>
        <w:tc>
          <w:tcPr>
            <w:tcW w:w="0" w:type="dxa"/>
            <w:vAlign w:val="bottom"/>
          </w:tcPr>
          <w:p>
            <w:pPr>
              <w:spacing w:after="0"/>
              <w:rPr>
                <w:sz w:val="1"/>
                <w:szCs w:val="1"/>
                <w:color w:val="auto"/>
              </w:rPr>
            </w:pPr>
          </w:p>
        </w:tc>
      </w:tr>
      <w:tr>
        <w:trPr>
          <w:trHeight w:val="20"/>
        </w:trPr>
        <w:tc>
          <w:tcPr>
            <w:tcW w:w="1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180" w:type="dxa"/>
            <w:vAlign w:val="bottom"/>
          </w:tcPr>
          <w:p>
            <w:pPr>
              <w:ind w:left="20"/>
              <w:spacing w:after="0" w:line="92" w:lineRule="exact"/>
              <w:rPr>
                <w:sz w:val="20"/>
                <w:szCs w:val="20"/>
                <w:color w:val="auto"/>
              </w:rPr>
            </w:pPr>
            <w:r>
              <w:rPr>
                <w:rFonts w:ascii="Arial" w:cs="Arial" w:eastAsia="Arial" w:hAnsi="Arial"/>
                <w:sz w:val="10"/>
                <w:szCs w:val="10"/>
                <w:color w:val="auto"/>
              </w:rPr>
              <w:t>Balance at March 31,</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tcPr>
          <w:p>
            <w:pPr>
              <w:spacing w:after="0"/>
              <w:rPr>
                <w:sz w:val="7"/>
                <w:szCs w:val="7"/>
                <w:color w:val="auto"/>
              </w:rPr>
            </w:pPr>
          </w:p>
        </w:tc>
        <w:tc>
          <w:tcPr>
            <w:tcW w:w="520" w:type="dxa"/>
            <w:vAlign w:val="bottom"/>
          </w:tcPr>
          <w:p>
            <w:pPr>
              <w:jc w:val="right"/>
              <w:spacing w:after="0" w:line="92" w:lineRule="exact"/>
              <w:rPr>
                <w:sz w:val="20"/>
                <w:szCs w:val="20"/>
                <w:color w:val="auto"/>
              </w:rPr>
            </w:pPr>
            <w:r>
              <w:rPr>
                <w:rFonts w:ascii="Arial" w:cs="Arial" w:eastAsia="Arial" w:hAnsi="Arial"/>
                <w:sz w:val="10"/>
                <w:szCs w:val="10"/>
                <w:color w:val="auto"/>
              </w:rPr>
              <w:t>14,376,</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353,300</w:t>
            </w:r>
          </w:p>
        </w:tc>
        <w:tc>
          <w:tcPr>
            <w:tcW w:w="220" w:type="dxa"/>
            <w:vAlign w:val="bottom"/>
            <w:tcBorders>
              <w:right w:val="single" w:sz="8" w:color="auto"/>
            </w:tcBorders>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4,093,996</w:t>
            </w: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w w:val="95"/>
              </w:rPr>
              <w:t>136,307</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(817 )</w:t>
            </w:r>
          </w:p>
        </w:tc>
        <w:tc>
          <w:tcPr>
            <w:tcW w:w="140" w:type="dxa"/>
            <w:vAlign w:val="bottom"/>
          </w:tcPr>
          <w:p>
            <w:pPr>
              <w:spacing w:after="0"/>
              <w:rPr>
                <w:sz w:val="7"/>
                <w:szCs w:val="7"/>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420" w:type="dxa"/>
            <w:vAlign w:val="bottom"/>
          </w:tcPr>
          <w:p>
            <w:pPr>
              <w:jc w:val="right"/>
              <w:spacing w:after="0" w:line="92" w:lineRule="exact"/>
              <w:rPr>
                <w:sz w:val="20"/>
                <w:szCs w:val="20"/>
                <w:color w:val="auto"/>
              </w:rPr>
            </w:pPr>
            <w:r>
              <w:rPr>
                <w:rFonts w:ascii="Arial" w:cs="Arial" w:eastAsia="Arial" w:hAnsi="Arial"/>
                <w:sz w:val="10"/>
                <w:szCs w:val="10"/>
                <w:color w:val="auto"/>
              </w:rPr>
              <w:t>(437,39</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w w:val="99"/>
              </w:rPr>
              <w:t>(301,899 )</w:t>
            </w: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color w:val="auto"/>
              </w:rPr>
              <w:t>2021</w:t>
            </w:r>
          </w:p>
        </w:tc>
        <w:tc>
          <w:tcPr>
            <w:tcW w:w="5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3 )</w:t>
            </w: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Exercise of stock</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30,215</w:t>
            </w: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options</w:t>
            </w:r>
          </w:p>
        </w:tc>
        <w:tc>
          <w:tcPr>
            <w:tcW w:w="8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9" w:lineRule="exact"/>
              <w:rPr>
                <w:sz w:val="20"/>
                <w:szCs w:val="20"/>
                <w:color w:val="auto"/>
              </w:rPr>
            </w:pPr>
            <w:r>
              <w:rPr>
                <w:rFonts w:ascii="Arial" w:cs="Arial" w:eastAsia="Arial" w:hAnsi="Arial"/>
                <w:sz w:val="11"/>
                <w:szCs w:val="11"/>
                <w:color w:val="auto"/>
              </w:rPr>
              <w:t>Stock-based</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compensation</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1,406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1,406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color w:val="auto"/>
              </w:rPr>
              <w:t>expense</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Change in notes</w:t>
            </w:r>
          </w:p>
        </w:tc>
        <w:tc>
          <w:tcPr>
            <w:tcW w:w="5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receivable</w:t>
            </w: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for common stock</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issued</w:t>
            </w:r>
          </w:p>
        </w:tc>
        <w:tc>
          <w:tcPr>
            <w:tcW w:w="8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9" w:lineRule="exact"/>
              <w:rPr>
                <w:sz w:val="20"/>
                <w:szCs w:val="20"/>
                <w:color w:val="auto"/>
              </w:rPr>
            </w:pPr>
            <w:r>
              <w:rPr>
                <w:rFonts w:ascii="Arial" w:cs="Arial" w:eastAsia="Arial" w:hAnsi="Arial"/>
                <w:sz w:val="11"/>
                <w:szCs w:val="11"/>
                <w:color w:val="auto"/>
              </w:rPr>
              <w:t>Unrealized loss on</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short-term</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color w:val="auto"/>
              </w:rPr>
              <w:t>equivalents, net of tax</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Foreign currency</w:t>
            </w:r>
          </w:p>
        </w:tc>
        <w:tc>
          <w:tcPr>
            <w:tcW w:w="5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translation</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1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8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(13,477 )</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(13,477 )</w:t>
            </w:r>
          </w:p>
        </w:tc>
        <w:tc>
          <w:tcPr>
            <w:tcW w:w="0" w:type="dxa"/>
            <w:vAlign w:val="bottom"/>
          </w:tcPr>
          <w:p>
            <w:pPr>
              <w:spacing w:after="0"/>
              <w:rPr>
                <w:sz w:val="1"/>
                <w:szCs w:val="1"/>
                <w:color w:val="auto"/>
              </w:rPr>
            </w:pPr>
          </w:p>
        </w:tc>
      </w:tr>
      <w:tr>
        <w:trPr>
          <w:trHeight w:val="92"/>
        </w:trPr>
        <w:tc>
          <w:tcPr>
            <w:tcW w:w="118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Balance at June 30,</w:t>
            </w:r>
          </w:p>
        </w:tc>
        <w:tc>
          <w:tcPr>
            <w:tcW w:w="58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16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6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jc w:val="right"/>
              <w:spacing w:after="0" w:line="92" w:lineRule="exact"/>
              <w:rPr>
                <w:sz w:val="20"/>
                <w:szCs w:val="20"/>
                <w:color w:val="auto"/>
              </w:rPr>
            </w:pPr>
            <w:r>
              <w:rPr>
                <w:rFonts w:ascii="Arial" w:cs="Arial" w:eastAsia="Arial" w:hAnsi="Arial"/>
                <w:sz w:val="10"/>
                <w:szCs w:val="10"/>
                <w:color w:val="auto"/>
              </w:rPr>
              <w:t>14,376,</w:t>
            </w:r>
          </w:p>
        </w:tc>
        <w:tc>
          <w:tcPr>
            <w:tcW w:w="220" w:type="dxa"/>
            <w:vAlign w:val="bottom"/>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460" w:type="dxa"/>
            <w:vAlign w:val="bottom"/>
            <w:tcBorders>
              <w:top w:val="single" w:sz="8" w:color="auto"/>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56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2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60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20" w:type="dxa"/>
            <w:vAlign w:val="bottom"/>
            <w:tcBorders>
              <w:top w:val="single" w:sz="8" w:color="auto"/>
            </w:tcBorders>
            <w:shd w:val="clear" w:color="auto" w:fill="CFF0FC"/>
          </w:tcPr>
          <w:p>
            <w:pPr>
              <w:jc w:val="right"/>
              <w:spacing w:after="0" w:line="92" w:lineRule="exact"/>
              <w:rPr>
                <w:sz w:val="20"/>
                <w:szCs w:val="20"/>
                <w:color w:val="auto"/>
              </w:rPr>
            </w:pPr>
            <w:r>
              <w:rPr>
                <w:rFonts w:ascii="Arial" w:cs="Arial" w:eastAsia="Arial" w:hAnsi="Arial"/>
                <w:sz w:val="10"/>
                <w:szCs w:val="10"/>
                <w:color w:val="auto"/>
              </w:rPr>
              <w:t>(450,87</w:t>
            </w:r>
          </w:p>
        </w:tc>
        <w:tc>
          <w:tcPr>
            <w:tcW w:w="20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80" w:type="dxa"/>
            <w:vAlign w:val="bottom"/>
            <w:vMerge w:val="continue"/>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FF0FC"/>
          </w:tcPr>
          <w:p>
            <w:pPr>
              <w:spacing w:after="0"/>
              <w:rPr>
                <w:sz w:val="3"/>
                <w:szCs w:val="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FF0FC"/>
          </w:tcPr>
          <w:p>
            <w:pPr>
              <w:spacing w:after="0"/>
              <w:rPr>
                <w:sz w:val="3"/>
                <w:szCs w:val="3"/>
                <w:color w:val="auto"/>
              </w:rPr>
            </w:pP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FF0FC"/>
          </w:tcPr>
          <w:p>
            <w:pPr>
              <w:spacing w:after="0"/>
              <w:rPr>
                <w:sz w:val="3"/>
                <w:szCs w:val="3"/>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272</w:t>
            </w:r>
          </w:p>
        </w:tc>
        <w:tc>
          <w:tcPr>
            <w:tcW w:w="220" w:type="dxa"/>
            <w:vAlign w:val="bottom"/>
            <w:vMerge w:val="restart"/>
            <w:shd w:val="clear" w:color="auto" w:fill="CFF0FC"/>
          </w:tcPr>
          <w:p>
            <w:pPr>
              <w:spacing w:after="0"/>
              <w:rPr>
                <w:sz w:val="3"/>
                <w:szCs w:val="3"/>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353,300</w:t>
            </w:r>
          </w:p>
        </w:tc>
        <w:tc>
          <w:tcPr>
            <w:tcW w:w="220" w:type="dxa"/>
            <w:vAlign w:val="bottom"/>
            <w:tcBorders>
              <w:right w:val="single" w:sz="8" w:color="CFF0FC"/>
            </w:tcBorders>
            <w:vMerge w:val="restart"/>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4,124,211</w:t>
            </w:r>
          </w:p>
        </w:tc>
        <w:tc>
          <w:tcPr>
            <w:tcW w:w="200" w:type="dxa"/>
            <w:vAlign w:val="bottom"/>
            <w:vMerge w:val="restart"/>
            <w:shd w:val="clear" w:color="auto" w:fill="CFF0FC"/>
          </w:tcPr>
          <w:p>
            <w:pPr>
              <w:spacing w:after="0"/>
              <w:rPr>
                <w:sz w:val="3"/>
                <w:szCs w:val="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vMerge w:val="restart"/>
            <w:shd w:val="clear" w:color="auto" w:fill="CFF0FC"/>
          </w:tcPr>
          <w:p>
            <w:pPr>
              <w:spacing w:after="0"/>
              <w:rPr>
                <w:sz w:val="3"/>
                <w:szCs w:val="3"/>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5"/>
              </w:rPr>
              <w:t>137,838</w:t>
            </w:r>
          </w:p>
        </w:tc>
        <w:tc>
          <w:tcPr>
            <w:tcW w:w="200" w:type="dxa"/>
            <w:vAlign w:val="bottom"/>
            <w:vMerge w:val="restart"/>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(365 )</w:t>
            </w:r>
          </w:p>
        </w:tc>
        <w:tc>
          <w:tcPr>
            <w:tcW w:w="140" w:type="dxa"/>
            <w:vAlign w:val="bottom"/>
            <w:vMerge w:val="restart"/>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0 )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w w:val="99"/>
              </w:rPr>
              <w:t>(313,396 )</w:t>
            </w:r>
          </w:p>
        </w:tc>
        <w:tc>
          <w:tcPr>
            <w:tcW w:w="0" w:type="dxa"/>
            <w:vAlign w:val="bottom"/>
          </w:tcPr>
          <w:p>
            <w:pPr>
              <w:spacing w:after="0"/>
              <w:rPr>
                <w:sz w:val="1"/>
                <w:szCs w:val="1"/>
                <w:color w:val="auto"/>
              </w:rPr>
            </w:pPr>
          </w:p>
        </w:tc>
      </w:tr>
      <w:tr>
        <w:trPr>
          <w:trHeight w:val="124"/>
        </w:trPr>
        <w:tc>
          <w:tcPr>
            <w:tcW w:w="1180" w:type="dxa"/>
            <w:vAlign w:val="bottom"/>
            <w:shd w:val="clear" w:color="auto" w:fill="CFF0FC"/>
          </w:tcPr>
          <w:p>
            <w:pPr>
              <w:ind w:left="20"/>
              <w:spacing w:after="0" w:line="85" w:lineRule="exact"/>
              <w:rPr>
                <w:sz w:val="20"/>
                <w:szCs w:val="20"/>
                <w:color w:val="auto"/>
              </w:rPr>
            </w:pPr>
            <w:r>
              <w:rPr>
                <w:rFonts w:ascii="Arial" w:cs="Arial" w:eastAsia="Arial" w:hAnsi="Arial"/>
                <w:sz w:val="9"/>
                <w:szCs w:val="9"/>
                <w:color w:val="auto"/>
              </w:rPr>
              <w:t>2021</w:t>
            </w:r>
          </w:p>
        </w:tc>
        <w:tc>
          <w:tcPr>
            <w:tcW w:w="58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220" w:type="dxa"/>
            <w:vAlign w:val="bottom"/>
            <w:tcBorders>
              <w:right w:val="single" w:sz="8" w:color="CFF0FC"/>
            </w:tcBorders>
            <w:vMerge w:val="continue"/>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-1616710</wp:posOffset>
            </wp:positionV>
            <wp:extent cx="7747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-1616710</wp:posOffset>
            </wp:positionV>
            <wp:extent cx="768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-1616710</wp:posOffset>
            </wp:positionV>
            <wp:extent cx="768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-1616710</wp:posOffset>
            </wp:positionV>
            <wp:extent cx="768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-1616710</wp:posOffset>
            </wp:positionV>
            <wp:extent cx="7747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-1616710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-1616710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-1616710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-1616710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-1616710</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-1616710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-1616710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-1616710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-8255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RxSIGHT,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9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(34,328 )</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(20,282 )</w:t>
            </w:r>
          </w:p>
        </w:tc>
      </w:tr>
      <w:tr>
        <w:trPr>
          <w:trHeight w:val="175"/>
        </w:trPr>
        <w:tc>
          <w:tcPr>
            <w:tcW w:w="766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Depreciation and amortization</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1,944</w:t>
            </w:r>
          </w:p>
        </w:tc>
        <w:tc>
          <w:tcPr>
            <w:tcW w:w="100" w:type="dxa"/>
            <w:vAlign w:val="bottom"/>
            <w:shd w:val="clear" w:color="auto" w:fill="CFF0FC"/>
          </w:tcPr>
          <w:p>
            <w:pPr>
              <w:spacing w:after="0"/>
              <w:rPr>
                <w:sz w:val="15"/>
                <w:szCs w:val="15"/>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3"/>
                <w:szCs w:val="13"/>
                <w:color w:val="auto"/>
              </w:rPr>
              <w:t>Amortization of right-of-use lease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 and premium</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5"/>
                <w:szCs w:val="15"/>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3"/>
                <w:szCs w:val="13"/>
                <w:color w:val="auto"/>
              </w:rPr>
              <w:t>Change in fair value of warrants</w:t>
            </w:r>
          </w:p>
        </w:tc>
        <w:tc>
          <w:tcPr>
            <w:tcW w:w="1040" w:type="dxa"/>
            <w:vAlign w:val="bottom"/>
          </w:tcPr>
          <w:p>
            <w:pPr>
              <w:spacing w:after="0"/>
              <w:rPr>
                <w:sz w:val="15"/>
                <w:szCs w:val="15"/>
                <w:color w:val="auto"/>
              </w:rPr>
            </w:pPr>
          </w:p>
        </w:tc>
        <w:tc>
          <w:tcPr>
            <w:tcW w:w="8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(1,214 )</w:t>
            </w: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on expiration of warrant</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(5,018 )</w:t>
            </w:r>
          </w:p>
        </w:tc>
      </w:tr>
      <w:tr>
        <w:trPr>
          <w:trHeight w:val="176"/>
        </w:trPr>
        <w:tc>
          <w:tcPr>
            <w:tcW w:w="7660" w:type="dxa"/>
            <w:vAlign w:val="bottom"/>
          </w:tcPr>
          <w:p>
            <w:pPr>
              <w:ind w:left="200"/>
              <w:spacing w:after="0"/>
              <w:rPr>
                <w:sz w:val="20"/>
                <w:szCs w:val="20"/>
                <w:color w:val="auto"/>
              </w:rPr>
            </w:pPr>
            <w:r>
              <w:rPr>
                <w:rFonts w:ascii="Arial" w:cs="Arial" w:eastAsia="Arial" w:hAnsi="Arial"/>
                <w:sz w:val="13"/>
                <w:szCs w:val="13"/>
                <w:color w:val="auto"/>
              </w:rPr>
              <w:t>Amortization of discount on short-term investments</w:t>
            </w:r>
          </w:p>
        </w:tc>
        <w:tc>
          <w:tcPr>
            <w:tcW w:w="104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(231 )</w:t>
            </w:r>
          </w:p>
        </w:tc>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(15 )</w:t>
            </w: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5,553</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2,645</w:t>
            </w:r>
          </w:p>
        </w:tc>
        <w:tc>
          <w:tcPr>
            <w:tcW w:w="100" w:type="dxa"/>
            <w:vAlign w:val="bottom"/>
            <w:shd w:val="clear" w:color="auto" w:fill="CFF0FC"/>
          </w:tcPr>
          <w:p>
            <w:pPr>
              <w:spacing w:after="0"/>
              <w:rPr>
                <w:sz w:val="15"/>
                <w:szCs w:val="15"/>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3"/>
                <w:szCs w:val="13"/>
                <w:color w:val="auto"/>
              </w:rPr>
              <w:t>Provision for excess and obsolete inventory</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15"/>
                <w:szCs w:val="15"/>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operating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104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(2,022 )</w:t>
            </w:r>
          </w:p>
        </w:tc>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(1,071 )</w:t>
            </w:r>
          </w:p>
        </w:tc>
      </w:tr>
      <w:tr>
        <w:trPr>
          <w:trHeight w:val="176"/>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Inventories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(3,710 )</w:t>
            </w:r>
          </w:p>
        </w:tc>
        <w:tc>
          <w:tcPr>
            <w:tcW w:w="10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(2,004 )</w:t>
            </w:r>
          </w:p>
        </w:tc>
      </w:tr>
      <w:tr>
        <w:trPr>
          <w:trHeight w:val="175"/>
        </w:trPr>
        <w:tc>
          <w:tcPr>
            <w:tcW w:w="7660" w:type="dxa"/>
            <w:vAlign w:val="bottom"/>
          </w:tcPr>
          <w:p>
            <w:pPr>
              <w:ind w:left="380"/>
              <w:spacing w:after="0"/>
              <w:rPr>
                <w:sz w:val="20"/>
                <w:szCs w:val="20"/>
                <w:color w:val="auto"/>
              </w:rPr>
            </w:pPr>
            <w:r>
              <w:rPr>
                <w:rFonts w:ascii="Arial" w:cs="Arial" w:eastAsia="Arial" w:hAnsi="Arial"/>
                <w:sz w:val="13"/>
                <w:szCs w:val="13"/>
                <w:color w:val="auto"/>
              </w:rPr>
              <w:t>Prepaid and other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1,099</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(1,250 )</w:t>
            </w:r>
          </w:p>
        </w:tc>
      </w:tr>
      <w:tr>
        <w:trPr>
          <w:trHeight w:val="176"/>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1,348</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FF0FC"/>
          </w:tcPr>
          <w:p>
            <w:pPr>
              <w:spacing w:after="0"/>
              <w:rPr>
                <w:sz w:val="15"/>
                <w:szCs w:val="15"/>
                <w:color w:val="auto"/>
              </w:rPr>
            </w:pPr>
          </w:p>
        </w:tc>
      </w:tr>
      <w:tr>
        <w:trPr>
          <w:trHeight w:val="176"/>
        </w:trPr>
        <w:tc>
          <w:tcPr>
            <w:tcW w:w="7660" w:type="dxa"/>
            <w:vAlign w:val="bottom"/>
          </w:tcPr>
          <w:p>
            <w:pPr>
              <w:ind w:left="380"/>
              <w:spacing w:after="0"/>
              <w:rPr>
                <w:sz w:val="20"/>
                <w:szCs w:val="20"/>
                <w:color w:val="auto"/>
              </w:rPr>
            </w:pPr>
            <w:r>
              <w:rPr>
                <w:rFonts w:ascii="Arial" w:cs="Arial" w:eastAsia="Arial" w:hAnsi="Arial"/>
                <w:sz w:val="13"/>
                <w:szCs w:val="13"/>
                <w:color w:val="auto"/>
              </w:rPr>
              <w:t>Accrued expenses and other liabilities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5"/>
                <w:szCs w:val="15"/>
                <w:color w:val="auto"/>
              </w:rPr>
            </w:pPr>
          </w:p>
        </w:tc>
      </w:tr>
      <w:tr>
        <w:trPr>
          <w:trHeight w:val="169"/>
        </w:trPr>
        <w:tc>
          <w:tcPr>
            <w:tcW w:w="7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used in operating activities</w:t>
            </w:r>
          </w:p>
        </w:tc>
        <w:tc>
          <w:tcPr>
            <w:tcW w:w="10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(29,808</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(22,231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-5080</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Investing Activities:</w:t>
      </w:r>
    </w:p>
    <w:p>
      <w:pPr>
        <w:sectPr>
          <w:pgSz w:w="11900" w:h="16838" w:orient="portrait"/>
          <w:cols w:equalWidth="0" w:num="1">
            <w:col w:w="11240"/>
          </w:cols>
          <w:pgMar w:left="320" w:top="32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Purchase of property and equipment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Maturity of short-term investments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Purchases of short-term investments</w:t>
      </w:r>
    </w:p>
    <w:p>
      <w:pPr>
        <w:spacing w:after="0" w:line="40" w:lineRule="exact"/>
        <w:rPr>
          <w:sz w:val="20"/>
          <w:szCs w:val="20"/>
          <w:color w:val="auto"/>
        </w:rPr>
      </w:pPr>
    </w:p>
    <w:p>
      <w:pPr>
        <w:jc w:val="right"/>
        <w:ind w:right="4180"/>
        <w:spacing w:after="0"/>
        <w:rPr>
          <w:sz w:val="20"/>
          <w:szCs w:val="20"/>
          <w:color w:val="auto"/>
        </w:rPr>
      </w:pPr>
      <w:r>
        <w:rPr>
          <w:rFonts w:ascii="Arial" w:cs="Arial" w:eastAsia="Arial" w:hAnsi="Arial"/>
          <w:sz w:val="13"/>
          <w:szCs w:val="13"/>
          <w:color w:val="auto"/>
        </w:rPr>
        <w:t>Net cash provided by investing activities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(1,451 )</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(1,321 )</w:t>
            </w:r>
          </w:p>
        </w:tc>
      </w:tr>
      <w:tr>
        <w:trPr>
          <w:trHeight w:val="175"/>
        </w:trPr>
        <w:tc>
          <w:tcPr>
            <w:tcW w:w="1600" w:type="dxa"/>
            <w:vAlign w:val="bottom"/>
          </w:tcPr>
          <w:p>
            <w:pPr>
              <w:jc w:val="right"/>
              <w:spacing w:after="0"/>
              <w:rPr>
                <w:sz w:val="20"/>
                <w:szCs w:val="20"/>
                <w:color w:val="auto"/>
              </w:rPr>
            </w:pPr>
            <w:r>
              <w:rPr>
                <w:rFonts w:ascii="Arial" w:cs="Arial" w:eastAsia="Arial" w:hAnsi="Arial"/>
                <w:sz w:val="14"/>
                <w:szCs w:val="14"/>
                <w:color w:val="auto"/>
              </w:rPr>
              <w:t>135,000</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40,000</w:t>
            </w:r>
          </w:p>
        </w:tc>
        <w:tc>
          <w:tcPr>
            <w:tcW w:w="60" w:type="dxa"/>
            <w:vAlign w:val="bottom"/>
          </w:tcPr>
          <w:p>
            <w:pPr>
              <w:spacing w:after="0"/>
              <w:rPr>
                <w:sz w:val="15"/>
                <w:szCs w:val="15"/>
                <w:color w:val="auto"/>
              </w:rPr>
            </w:pPr>
          </w:p>
        </w:tc>
      </w:tr>
      <w:tr>
        <w:trPr>
          <w:trHeight w:val="181"/>
        </w:trPr>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(104,564 )</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(4,999 )</w:t>
            </w:r>
          </w:p>
        </w:tc>
      </w:tr>
      <w:tr>
        <w:trPr>
          <w:trHeight w:val="176"/>
        </w:trPr>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28,985</w:t>
            </w:r>
          </w:p>
        </w:tc>
        <w:tc>
          <w:tcPr>
            <w:tcW w:w="28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33,680</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-457835</wp:posOffset>
            </wp:positionV>
            <wp:extent cx="713232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-234950</wp:posOffset>
            </wp:positionV>
            <wp:extent cx="713232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wp:posOffset>
            </wp:positionV>
            <wp:extent cx="22028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6940" w:space="720"/>
            <w:col w:w="3580"/>
          </w:cols>
          <w:pgMar w:left="320" w:top="324"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11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7660" w:type="dxa"/>
            <w:vAlign w:val="bottom"/>
          </w:tcPr>
          <w:p>
            <w:pPr>
              <w:ind w:left="20"/>
              <w:spacing w:after="0"/>
              <w:rPr>
                <w:sz w:val="20"/>
                <w:szCs w:val="20"/>
                <w:color w:val="auto"/>
              </w:rPr>
            </w:pPr>
            <w:r>
              <w:rPr>
                <w:rFonts w:ascii="Arial" w:cs="Arial" w:eastAsia="Arial" w:hAnsi="Arial"/>
                <w:sz w:val="13"/>
                <w:szCs w:val="13"/>
                <w:color w:val="auto"/>
              </w:rPr>
              <w:t>Proceeds from term loan</w:t>
            </w:r>
          </w:p>
        </w:tc>
        <w:tc>
          <w:tcPr>
            <w:tcW w:w="6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of debt issuance costs</w:t>
            </w:r>
          </w:p>
        </w:tc>
        <w:tc>
          <w:tcPr>
            <w:tcW w:w="6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(142 )</w:t>
            </w:r>
          </w:p>
        </w:tc>
        <w:tc>
          <w:tcPr>
            <w:tcW w:w="6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3"/>
                <w:szCs w:val="13"/>
                <w:color w:val="auto"/>
              </w:rPr>
              <w:t>Payments for employee taxes related to stock compensation</w:t>
            </w:r>
          </w:p>
        </w:tc>
        <w:tc>
          <w:tcPr>
            <w:tcW w:w="6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(362 )</w:t>
            </w: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Principal payments on finance lease liabilities</w:t>
            </w:r>
          </w:p>
        </w:tc>
        <w:tc>
          <w:tcPr>
            <w:tcW w:w="6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(60 )</w:t>
            </w:r>
          </w:p>
        </w:tc>
        <w:tc>
          <w:tcPr>
            <w:tcW w:w="6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6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(242 )</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notes receivables for redeemable common stock issued</w:t>
            </w:r>
          </w:p>
        </w:tc>
        <w:tc>
          <w:tcPr>
            <w:tcW w:w="6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2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provided by financing activities</w:t>
            </w:r>
          </w:p>
        </w:tc>
        <w:tc>
          <w:tcPr>
            <w:tcW w:w="6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w:t>
            </w:r>
          </w:p>
        </w:tc>
        <w:tc>
          <w:tcPr>
            <w:tcW w:w="2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16,391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Effect of foreign exchange rate on cash, cash equivalents and restricted cash</w:t>
            </w:r>
          </w:p>
        </w:tc>
        <w:tc>
          <w:tcPr>
            <w:tcW w:w="6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(14 )</w:t>
            </w:r>
          </w:p>
        </w:tc>
        <w:tc>
          <w:tcPr>
            <w:tcW w:w="64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6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(357 )</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 beginning of period</w:t>
            </w: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25,172</w:t>
            </w:r>
          </w:p>
        </w:tc>
        <w:tc>
          <w:tcPr>
            <w:tcW w:w="2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Cash, cash equivalents and restricted cash - end of period</w:t>
            </w:r>
          </w:p>
        </w:tc>
        <w:tc>
          <w:tcPr>
            <w:tcW w:w="640" w:type="dxa"/>
            <w:vAlign w:val="bottom"/>
            <w:tcBorders>
              <w:bottom w:val="single" w:sz="8" w:color="auto"/>
            </w:tcBorders>
            <w:shd w:val="clear" w:color="auto" w:fill="CFF0FC"/>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24,815</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3"/>
                <w:szCs w:val="13"/>
                <w:color w:val="auto"/>
              </w:rPr>
              <w:t>Operating cash flows from operating leases</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1,023</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income taxes</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3"/>
                <w:szCs w:val="13"/>
                <w:color w:val="auto"/>
              </w:rPr>
              <w:t>Cash paid for interest on financing leases</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interest on term loan</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 obtained in exchange for lease obligations:</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3"/>
                <w:szCs w:val="13"/>
                <w:color w:val="auto"/>
              </w:rPr>
              <w:t>Operating lease</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1,090</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Finance lease</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3"/>
                <w:szCs w:val="13"/>
                <w:color w:val="auto"/>
              </w:rPr>
              <w:t>Lease obligations recorded for right-of-use assets:</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lease</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3"/>
                <w:szCs w:val="13"/>
                <w:color w:val="auto"/>
              </w:rPr>
              <w:t>Finance lease</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766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Acquisition of property and equipment included in accounts payable and accrued expenses</w:t>
            </w:r>
          </w:p>
        </w:tc>
        <w:tc>
          <w:tcPr>
            <w:tcW w:w="64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and other current liabilities</w:t>
            </w:r>
          </w:p>
        </w:tc>
        <w:tc>
          <w:tcPr>
            <w:tcW w:w="640" w:type="dxa"/>
            <w:vAlign w:val="bottom"/>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3"/>
                <w:szCs w:val="13"/>
                <w:color w:val="auto"/>
              </w:rPr>
              <w:t>Deferred offering costs included in accrued expenses</w:t>
            </w:r>
          </w:p>
        </w:tc>
        <w:tc>
          <w:tcPr>
            <w:tcW w:w="6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(1,233 )</w:t>
            </w: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Payment-in-kind interest income added to principal of notes receivable</w:t>
            </w:r>
          </w:p>
        </w:tc>
        <w:tc>
          <w:tcPr>
            <w:tcW w:w="6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660" w:type="dxa"/>
            <w:vAlign w:val="bottom"/>
          </w:tcPr>
          <w:p>
            <w:pPr>
              <w:ind w:left="200"/>
              <w:spacing w:after="0" w:line="124" w:lineRule="exact"/>
              <w:rPr>
                <w:sz w:val="20"/>
                <w:szCs w:val="20"/>
                <w:color w:val="auto"/>
              </w:rPr>
            </w:pPr>
            <w:r>
              <w:rPr>
                <w:rFonts w:ascii="Arial" w:cs="Arial" w:eastAsia="Arial" w:hAnsi="Arial"/>
                <w:sz w:val="13"/>
                <w:szCs w:val="13"/>
                <w:color w:val="auto"/>
              </w:rPr>
              <w:t>Reclassification of 4,093,995 shares of redeemable common stock to 4,093,995</w:t>
            </w:r>
          </w:p>
        </w:tc>
        <w:tc>
          <w:tcPr>
            <w:tcW w:w="640" w:type="dxa"/>
            <w:vAlign w:val="bottom"/>
          </w:tcPr>
          <w:p>
            <w:pPr>
              <w:spacing w:after="0"/>
              <w:rPr>
                <w:sz w:val="10"/>
                <w:szCs w:val="10"/>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87,702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60" w:type="dxa"/>
            <w:vAlign w:val="bottom"/>
          </w:tcPr>
          <w:p>
            <w:pPr>
              <w:ind w:left="260"/>
              <w:spacing w:after="0"/>
              <w:rPr>
                <w:sz w:val="20"/>
                <w:szCs w:val="20"/>
                <w:color w:val="auto"/>
              </w:rPr>
            </w:pPr>
            <w:r>
              <w:rPr>
                <w:rFonts w:ascii="Arial" w:cs="Arial" w:eastAsia="Arial" w:hAnsi="Arial"/>
                <w:sz w:val="13"/>
                <w:szCs w:val="13"/>
                <w:color w:val="auto"/>
              </w:rPr>
              <w:t>shares of common stock</w:t>
            </w:r>
          </w:p>
        </w:tc>
        <w:tc>
          <w:tcPr>
            <w:tcW w:w="6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Reclassification of redeemable common stock options to common stock options</w:t>
            </w:r>
          </w:p>
        </w:tc>
        <w:tc>
          <w:tcPr>
            <w:tcW w:w="6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-2645410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-2185035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-2167890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RxSIGHT,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right="220" w:firstLine="374"/>
        <w:spacing w:after="0" w:line="243" w:lineRule="auto"/>
        <w:rPr>
          <w:sz w:val="20"/>
          <w:szCs w:val="20"/>
          <w:color w:val="auto"/>
        </w:rPr>
      </w:pPr>
      <w:r>
        <w:rPr>
          <w:rFonts w:ascii="Arial" w:cs="Arial" w:eastAsia="Arial" w:hAnsi="Arial"/>
          <w:sz w:val="18"/>
          <w:szCs w:val="18"/>
          <w:color w:val="auto"/>
        </w:rPr>
        <w:t>RxSight®, Inc. (the “Company”) is a Delaware corporation headquartered in Aliso Viejo, California with one wholly owned subsidiary located in Amsterdam, Netherlands. The wholly owned subsidiary has a registered branch in the United Kingdom and a wholly owned subsidiary located in Germany. The Company is engaged in the research and development, manufacture and sale of light adjustable intraocular lenses used in cataract surgery along with capital equipment used with the lenses.</w:t>
      </w:r>
    </w:p>
    <w:p>
      <w:pPr>
        <w:spacing w:after="0" w:line="107"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Company’s products, which include the light adjustable lens (“LAL”®)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LAL is a premium intraocular lens (“IOL”) which is partially reimbursable under Medicare. The Company competes with other IOLs in the premium market in the U.S. and Europe.</w:t>
      </w:r>
    </w:p>
    <w:p>
      <w:pPr>
        <w:spacing w:after="0" w:line="122" w:lineRule="exact"/>
        <w:rPr>
          <w:sz w:val="20"/>
          <w:szCs w:val="20"/>
          <w:color w:val="auto"/>
        </w:rPr>
      </w:pPr>
    </w:p>
    <w:p>
      <w:pPr>
        <w:ind w:right="260" w:firstLine="374"/>
        <w:spacing w:after="0" w:line="291" w:lineRule="auto"/>
        <w:rPr>
          <w:sz w:val="20"/>
          <w:szCs w:val="20"/>
          <w:color w:val="auto"/>
        </w:rPr>
      </w:pPr>
      <w:r>
        <w:rPr>
          <w:rFonts w:ascii="Arial" w:cs="Arial" w:eastAsia="Arial" w:hAnsi="Arial"/>
          <w:sz w:val="17"/>
          <w:szCs w:val="17"/>
          <w:color w:val="auto"/>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color w:val="auto"/>
        </w:rPr>
        <w:t>The Company’s condensed consolidated financial statements have been prepared in accordance with accounting principles generally accepted in the United States of America (“GAAP”) for interim financial information and pursuant to Form 10-Q and Article 8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2021 balance sheet data was derived from audited financial statements; however, the accompanying notes to the condensed consolidated financial statements do not include all of the annual disclosures required under GAAP and should be read in conjunction with the Company’s 2021 Annual Report on Form 10-K filed with the SEC on March 8, 2022. The operating results presented in these unaudited condensed consolidated financial statements are not necessarily indicative of the results that may be expected for any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w:t>
      </w: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w:t>
      </w:r>
      <w:r>
        <w:rPr>
          <w:rFonts w:ascii="Arial" w:cs="Arial" w:eastAsia="Arial" w:hAnsi="Arial"/>
          <w:sz w:val="18"/>
          <w:szCs w:val="18"/>
          <w:i w:val="1"/>
          <w:iCs w:val="1"/>
          <w:color w:val="auto"/>
        </w:rPr>
        <w:t>) and Reverse Stock Split</w:t>
      </w:r>
    </w:p>
    <w:p>
      <w:pPr>
        <w:spacing w:after="0" w:line="104" w:lineRule="exact"/>
        <w:rPr>
          <w:sz w:val="20"/>
          <w:szCs w:val="20"/>
          <w:color w:val="auto"/>
        </w:rPr>
      </w:pPr>
    </w:p>
    <w:p>
      <w:pPr>
        <w:ind w:right="80" w:firstLine="374"/>
        <w:spacing w:after="0" w:line="253" w:lineRule="auto"/>
        <w:rPr>
          <w:sz w:val="20"/>
          <w:szCs w:val="20"/>
          <w:color w:val="auto"/>
        </w:rPr>
      </w:pPr>
      <w:r>
        <w:rPr>
          <w:rFonts w:ascii="Arial" w:cs="Arial" w:eastAsia="Arial" w:hAnsi="Arial"/>
          <w:sz w:val="17"/>
          <w:szCs w:val="17"/>
          <w:color w:val="auto"/>
        </w:rPr>
        <w:t>On July 22, 2021, the Company’s Board of Directors (“Board”) approved an amendment to the Company’s certificate of incorporation to effect a reverse split of shares of the Company’s common stock, excluding Series G and Series W common stock, and convertible preferred stock on a 1-for-10.33 basis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condensed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July 29, 2021, the Company completed its IPO which resulted in the issuance and sale of 8,248,549 shares of its common stock at a price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$16.00 per share. The aggregate net proceeds from the offering, which included 898,549 common shares sold upon the partial exercise of the underwriters’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after deducting underwriting discounts and commissions of $9.2 million and other offering costs of $3.2 million, were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$119.6 million. On July 29, 2021, the Company amended and restated its certificate of incorporation and bylaws which provide for, among other things,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Company’s authorized capital stock to consist of</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right="160"/>
        <w:spacing w:after="0" w:line="324" w:lineRule="auto"/>
        <w:rPr>
          <w:sz w:val="20"/>
          <w:szCs w:val="20"/>
          <w:color w:val="auto"/>
        </w:rPr>
      </w:pPr>
      <w:r>
        <w:rPr>
          <w:rFonts w:ascii="Arial" w:cs="Arial" w:eastAsia="Arial" w:hAnsi="Arial"/>
          <w:sz w:val="16"/>
          <w:szCs w:val="16"/>
          <w:color w:val="auto"/>
        </w:rPr>
        <w:t>900,000,000 shares of common stock, par value $0.001 per share, and 100,000,000 shares of convertible preferred stock, par value $0.001 per share. The amended and restated certificate of incorporation defines the voting rights, dividends, liquidation rights and preferences of each class of stock.</w:t>
      </w:r>
    </w:p>
    <w:p>
      <w:pPr>
        <w:spacing w:after="0" w:line="57"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Immediately prior to the completion of the IPO, (i) 14,376,272 outstanding shares of the Company's convertible preferred stock were converted into an aggregate of 14,725,309 shares of common stock and (ii) 225,945 warrants to purchase Series H convertible preferred stock were exercised and converted into 100,261 shares of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Position</w:t>
      </w:r>
    </w:p>
    <w:p>
      <w:pPr>
        <w:spacing w:after="0" w:line="117" w:lineRule="exact"/>
        <w:rPr>
          <w:sz w:val="20"/>
          <w:szCs w:val="20"/>
          <w:color w:val="auto"/>
        </w:rPr>
      </w:pPr>
    </w:p>
    <w:p>
      <w:pPr>
        <w:ind w:right="520" w:firstLine="374"/>
        <w:spacing w:after="0" w:line="261" w:lineRule="auto"/>
        <w:rPr>
          <w:sz w:val="20"/>
          <w:szCs w:val="20"/>
          <w:color w:val="auto"/>
        </w:rPr>
      </w:pPr>
      <w:r>
        <w:rPr>
          <w:rFonts w:ascii="Arial" w:cs="Arial" w:eastAsia="Arial" w:hAnsi="Arial"/>
          <w:sz w:val="18"/>
          <w:szCs w:val="18"/>
          <w:color w:val="auto"/>
        </w:rPr>
        <w:t>As of June 30, 2022 and December 31, 2021 the Company had cash, cash equivalents and short-term investments of $128.6 million and $159.3 million, respectively.</w:t>
      </w:r>
    </w:p>
    <w:p>
      <w:pPr>
        <w:spacing w:after="0" w:line="103" w:lineRule="exact"/>
        <w:rPr>
          <w:sz w:val="20"/>
          <w:szCs w:val="20"/>
          <w:color w:val="auto"/>
        </w:rPr>
      </w:pPr>
    </w:p>
    <w:p>
      <w:pPr>
        <w:ind w:firstLine="374"/>
        <w:spacing w:after="0" w:line="274" w:lineRule="auto"/>
        <w:rPr>
          <w:sz w:val="20"/>
          <w:szCs w:val="20"/>
          <w:color w:val="auto"/>
        </w:rPr>
      </w:pPr>
      <w:r>
        <w:rPr>
          <w:rFonts w:ascii="Arial" w:cs="Arial" w:eastAsia="Arial" w:hAnsi="Arial"/>
          <w:sz w:val="16"/>
          <w:szCs w:val="16"/>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June 30, 2022 and 2021 the Company incurred losses from operations of $15.8 million and $13.9 million, respectively. For the six months ended June 30, 2022 and 2021, the Company incurred losses from operations of $32.4 million and $25.0 million, respectively. Due to the Company’s continuing research and development activities and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6" w:lineRule="exact"/>
        <w:rPr>
          <w:sz w:val="20"/>
          <w:szCs w:val="20"/>
          <w:color w:val="auto"/>
        </w:rPr>
      </w:pPr>
    </w:p>
    <w:p>
      <w:pPr>
        <w:ind w:right="80" w:firstLine="374"/>
        <w:spacing w:after="0" w:line="268" w:lineRule="auto"/>
        <w:rPr>
          <w:sz w:val="20"/>
          <w:szCs w:val="20"/>
          <w:color w:val="auto"/>
        </w:rPr>
      </w:pPr>
      <w:r>
        <w:rPr>
          <w:rFonts w:ascii="Arial" w:cs="Arial" w:eastAsia="Arial" w:hAnsi="Arial"/>
          <w:sz w:val="16"/>
          <w:szCs w:val="16"/>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though the Company expects to continue to incur operating losses and negative cash flows. The Company plans to continue to fund its losses from operations using its cash, cash equivalents and short-term investments as of June 30, 2022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ind w:right="200" w:firstLine="374"/>
        <w:spacing w:after="0" w:line="248" w:lineRule="auto"/>
        <w:rPr>
          <w:sz w:val="20"/>
          <w:szCs w:val="20"/>
          <w:color w:val="auto"/>
        </w:rPr>
      </w:pPr>
      <w:r>
        <w:rPr>
          <w:rFonts w:ascii="Arial" w:cs="Arial" w:eastAsia="Arial" w:hAnsi="Arial"/>
          <w:sz w:val="18"/>
          <w:szCs w:val="18"/>
          <w:color w:val="auto"/>
        </w:rPr>
        <w:t>There have been no significant changes to the accounting policies during the six months ended June 30, 2022, as compared to the significant accounting policies described in Note 2 of the “Notes to Consolidated Financial Statements” in the Company’s audited consolidated financial statements included in its Annual Report on Form 10-K filed with the SEC on March 8,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right="60" w:firstLine="374"/>
        <w:spacing w:after="0" w:line="253" w:lineRule="auto"/>
        <w:rPr>
          <w:sz w:val="20"/>
          <w:szCs w:val="20"/>
          <w:color w:val="auto"/>
        </w:rPr>
      </w:pPr>
      <w:r>
        <w:rPr>
          <w:rFonts w:ascii="Arial" w:cs="Arial" w:eastAsia="Arial" w:hAnsi="Arial"/>
          <w:sz w:val="17"/>
          <w:szCs w:val="17"/>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investment has been in a continuous loss position for over 12 months;</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to maturity of investments;</w:t>
      </w:r>
    </w:p>
    <w:p>
      <w:pPr>
        <w:spacing w:after="0" w:line="144"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 and ability to hold the investment to maturity and if it is not more likely than not that the Company will be required to sell the investment before recovery of the amortized cost basis;</w:t>
      </w:r>
    </w:p>
    <w:p>
      <w:pPr>
        <w:spacing w:after="0" w:line="102"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credit rating, financial condition and near-term prospects of the issuer; and</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type of investments made.</w:t>
      </w:r>
    </w:p>
    <w:p>
      <w:pPr>
        <w:spacing w:after="0" w:line="117" w:lineRule="exact"/>
        <w:rPr>
          <w:sz w:val="20"/>
          <w:szCs w:val="20"/>
          <w:color w:val="auto"/>
        </w:rPr>
      </w:pPr>
    </w:p>
    <w:p>
      <w:pPr>
        <w:ind w:right="780" w:firstLine="374"/>
        <w:spacing w:after="0" w:line="261" w:lineRule="auto"/>
        <w:rPr>
          <w:sz w:val="20"/>
          <w:szCs w:val="20"/>
          <w:color w:val="auto"/>
        </w:rPr>
      </w:pPr>
      <w:r>
        <w:rPr>
          <w:rFonts w:ascii="Arial" w:cs="Arial" w:eastAsia="Arial" w:hAnsi="Arial"/>
          <w:sz w:val="18"/>
          <w:szCs w:val="18"/>
          <w:color w:val="auto"/>
        </w:rPr>
        <w:t>The Company had $160,000 and $9,000 of unrealized losses related to short-term investments as of June 30, 2022 and December 31, 2021,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4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22" w:lineRule="exact"/>
        <w:rPr>
          <w:sz w:val="20"/>
          <w:szCs w:val="20"/>
          <w:color w:val="auto"/>
        </w:rPr>
      </w:pPr>
    </w:p>
    <w:p>
      <w:pPr>
        <w:ind w:right="160" w:firstLine="374"/>
        <w:spacing w:after="0" w:line="243" w:lineRule="auto"/>
        <w:rPr>
          <w:sz w:val="20"/>
          <w:szCs w:val="20"/>
          <w:color w:val="auto"/>
        </w:rPr>
      </w:pPr>
      <w:r>
        <w:rPr>
          <w:rFonts w:ascii="Arial" w:cs="Arial" w:eastAsia="Arial" w:hAnsi="Arial"/>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107" w:lineRule="exact"/>
        <w:rPr>
          <w:sz w:val="20"/>
          <w:szCs w:val="20"/>
          <w:color w:val="auto"/>
        </w:rPr>
      </w:pPr>
    </w:p>
    <w:p>
      <w:pPr>
        <w:jc w:val="both"/>
        <w:ind w:right="180" w:firstLine="374"/>
        <w:spacing w:after="0" w:line="248" w:lineRule="auto"/>
        <w:rPr>
          <w:sz w:val="20"/>
          <w:szCs w:val="20"/>
          <w:color w:val="auto"/>
        </w:rPr>
      </w:pPr>
      <w:r>
        <w:rPr>
          <w:rFonts w:ascii="Arial" w:cs="Arial" w:eastAsia="Arial" w:hAnsi="Arial"/>
          <w:sz w:val="18"/>
          <w:szCs w:val="18"/>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uncertainty of market acceptance of the Company's products, product liability and the need to obtain additional financing.</w:t>
      </w:r>
    </w:p>
    <w:p>
      <w:pPr>
        <w:spacing w:after="0" w:line="144"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The Company is subject to the risks related to the global pandemic associated with COVID-19, including local, state, federal and other world-wide mandates imposed to reduce the spread of the virus which could interrupt or reduce the number of cataract surgeries, limit access to ambulatory surgery centers, doctors’ offices and manufacturing facilities, and the expansion of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The Company has a diverse customer base and as of June 30, 2022 and December 31, 2021 the Company had no customers who individually accounted for more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June 30, 2022 or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80" w:firstLine="374"/>
        <w:spacing w:after="0" w:line="257"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108"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that are accessible at the measurement date for identical unrestricted assets or liabilities.</w:t>
      </w:r>
    </w:p>
    <w:p>
      <w:pPr>
        <w:spacing w:after="0" w:line="90"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22" w:lineRule="exact"/>
        <w:rPr>
          <w:sz w:val="20"/>
          <w:szCs w:val="20"/>
          <w:color w:val="auto"/>
        </w:rPr>
      </w:pPr>
    </w:p>
    <w:p>
      <w:pPr>
        <w:ind w:right="100" w:firstLine="374"/>
        <w:spacing w:after="0" w:line="284" w:lineRule="auto"/>
        <w:rPr>
          <w:sz w:val="20"/>
          <w:szCs w:val="20"/>
          <w:color w:val="auto"/>
        </w:rPr>
      </w:pPr>
      <w:r>
        <w:rPr>
          <w:rFonts w:ascii="Arial" w:cs="Arial" w:eastAsia="Arial" w:hAnsi="Arial"/>
          <w:sz w:val="16"/>
          <w:szCs w:val="16"/>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88"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120" w:firstLine="374"/>
        <w:spacing w:after="0" w:line="243" w:lineRule="auto"/>
        <w:rPr>
          <w:sz w:val="20"/>
          <w:szCs w:val="20"/>
          <w:color w:val="auto"/>
        </w:rPr>
      </w:pPr>
      <w:r>
        <w:rPr>
          <w:rFonts w:ascii="Arial" w:cs="Arial" w:eastAsia="Arial" w:hAnsi="Arial"/>
          <w:sz w:val="18"/>
          <w:szCs w:val="18"/>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ind w:right="20" w:firstLine="374"/>
        <w:spacing w:after="0" w:line="269"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144" w:lineRule="exact"/>
        <w:rPr>
          <w:sz w:val="20"/>
          <w:szCs w:val="20"/>
          <w:color w:val="auto"/>
        </w:rPr>
      </w:pPr>
    </w:p>
    <w:p>
      <w:pPr>
        <w:ind w:firstLine="374"/>
        <w:spacing w:after="0" w:line="271" w:lineRule="auto"/>
        <w:rPr>
          <w:sz w:val="20"/>
          <w:szCs w:val="20"/>
          <w:color w:val="auto"/>
        </w:rPr>
      </w:pPr>
      <w:r>
        <w:rPr>
          <w:rFonts w:ascii="Arial" w:cs="Arial" w:eastAsia="Arial" w:hAnsi="Arial"/>
          <w:sz w:val="16"/>
          <w:szCs w:val="16"/>
          <w:color w:val="auto"/>
        </w:rPr>
        <w:t>The Company computes basic net loss per share for common stock using the two-class method required for companies with participating securities based upon the weighted-average number of common shares outstanding during the period. Diluted net loss per share assumes the conversion, exercise or issuance of all potential common stock equivalents, unless the effect of inclusion would be anti-dilutive. For purposes of this calculation, common stock equivalents include the Company’s stock options, warrants and the shares issuable upon the conversion of the preferred stock. For stock options and preferred stock, the calculation of diluted loss per share requires an adjustment for the additional share of undistributed earnings. For warrants that are recorded as a liability in the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the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 w:name="page15"/>
    <w:bookmarkEnd w:id="14"/>
    <w:p>
      <w:pPr>
        <w:ind w:right="700" w:firstLine="374"/>
        <w:spacing w:after="0" w:line="261" w:lineRule="auto"/>
        <w:rPr>
          <w:sz w:val="20"/>
          <w:szCs w:val="20"/>
          <w:color w:val="auto"/>
        </w:rPr>
      </w:pPr>
      <w:r>
        <w:rPr>
          <w:rFonts w:ascii="Arial" w:cs="Arial" w:eastAsia="Arial" w:hAnsi="Arial"/>
          <w:sz w:val="18"/>
          <w:szCs w:val="18"/>
          <w:color w:val="auto"/>
        </w:rPr>
        <w:t>The following tables show the computation of basic and diluted net loss per share for the three and six months ended June 30, 2022 and 2021 (amounts in thousands, except share and per share amounts):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gridSpan w:val="6"/>
          </w:tcPr>
          <w:p>
            <w:pPr>
              <w:jc w:val="right"/>
              <w:ind w:right="701"/>
              <w:spacing w:after="0"/>
              <w:rPr>
                <w:sz w:val="20"/>
                <w:szCs w:val="20"/>
                <w:color w:val="auto"/>
              </w:rPr>
            </w:pPr>
            <w:r>
              <w:rPr>
                <w:rFonts w:ascii="Arial" w:cs="Arial" w:eastAsia="Arial" w:hAnsi="Arial"/>
                <w:sz w:val="18"/>
                <w:szCs w:val="18"/>
                <w:b w:val="1"/>
                <w:bCs w:val="1"/>
                <w:color w:val="auto"/>
                <w:w w:val="99"/>
              </w:rPr>
              <w:t>Three Months Ended June 30,</w:t>
            </w:r>
          </w:p>
        </w:tc>
        <w:tc>
          <w:tcPr>
            <w:tcW w:w="360" w:type="dxa"/>
            <w:vAlign w:val="bottom"/>
          </w:tcPr>
          <w:p>
            <w:pPr>
              <w:spacing w:after="0"/>
              <w:rPr>
                <w:sz w:val="19"/>
                <w:szCs w:val="19"/>
                <w:color w:val="auto"/>
              </w:rPr>
            </w:pPr>
          </w:p>
        </w:tc>
        <w:tc>
          <w:tcPr>
            <w:tcW w:w="316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 attributable to stockholders, basic</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(16,732 )</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(13,477 )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(34,328 )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(20,282 )</w:t>
            </w:r>
          </w:p>
        </w:tc>
        <w:tc>
          <w:tcPr>
            <w:tcW w:w="0" w:type="dxa"/>
            <w:vAlign w:val="bottom"/>
          </w:tcPr>
          <w:p>
            <w:pPr>
              <w:spacing w:after="0"/>
              <w:rPr>
                <w:sz w:val="1"/>
                <w:szCs w:val="1"/>
                <w:color w:val="auto"/>
              </w:rPr>
            </w:pPr>
          </w:p>
        </w:tc>
      </w:tr>
      <w:tr>
        <w:trPr>
          <w:trHeight w:val="203"/>
        </w:trPr>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Preferred stock warrants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1,214</w:t>
            </w:r>
          </w:p>
        </w:tc>
        <w:tc>
          <w:tcPr>
            <w:tcW w:w="2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200"/>
              <w:spacing w:after="0" w:line="142" w:lineRule="exact"/>
              <w:rPr>
                <w:sz w:val="20"/>
                <w:szCs w:val="20"/>
                <w:color w:val="auto"/>
              </w:rPr>
            </w:pPr>
            <w:r>
              <w:rPr>
                <w:rFonts w:ascii="Arial" w:cs="Arial" w:eastAsia="Arial" w:hAnsi="Arial"/>
                <w:sz w:val="16"/>
                <w:szCs w:val="16"/>
                <w:color w:val="auto"/>
              </w:rPr>
              <w:t>Net loss available to stockholders,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(16,732 )</w:t>
            </w:r>
          </w:p>
        </w:tc>
        <w:tc>
          <w:tcPr>
            <w:tcW w:w="140" w:type="dxa"/>
            <w:vAlign w:val="bottom"/>
          </w:tcPr>
          <w:p>
            <w:pPr>
              <w:spacing w:after="0"/>
              <w:rPr>
                <w:sz w:val="12"/>
                <w:szCs w:val="12"/>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64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(14,691 )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(34,328 )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(21,496 )</w:t>
            </w:r>
          </w:p>
        </w:tc>
        <w:tc>
          <w:tcPr>
            <w:tcW w:w="0" w:type="dxa"/>
            <w:vAlign w:val="bottom"/>
          </w:tcPr>
          <w:p>
            <w:pPr>
              <w:spacing w:after="0"/>
              <w:rPr>
                <w:sz w:val="1"/>
                <w:szCs w:val="1"/>
                <w:color w:val="auto"/>
              </w:rPr>
            </w:pPr>
          </w:p>
        </w:tc>
      </w:tr>
      <w:tr>
        <w:trPr>
          <w:trHeight w:val="203"/>
        </w:trPr>
        <w:tc>
          <w:tcPr>
            <w:tcW w:w="4080" w:type="dxa"/>
            <w:vAlign w:val="bottom"/>
          </w:tcPr>
          <w:p>
            <w:pPr>
              <w:ind w:left="340"/>
              <w:spacing w:after="0" w:line="202" w:lineRule="exact"/>
              <w:rPr>
                <w:sz w:val="20"/>
                <w:szCs w:val="20"/>
                <w:color w:val="auto"/>
              </w:rPr>
            </w:pPr>
            <w:r>
              <w:rPr>
                <w:rFonts w:ascii="Arial" w:cs="Arial" w:eastAsia="Arial" w:hAnsi="Arial"/>
                <w:sz w:val="18"/>
                <w:szCs w:val="18"/>
                <w:color w:val="auto"/>
              </w:rPr>
              <w:t>diluted</w:t>
            </w:r>
          </w:p>
        </w:tc>
        <w:tc>
          <w:tcPr>
            <w:tcW w:w="30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outstanding, basic</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27,559,908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4,106,403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27,493,130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4,052,920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80"/>
              <w:spacing w:after="0" w:line="202" w:lineRule="exact"/>
              <w:rPr>
                <w:sz w:val="20"/>
                <w:szCs w:val="20"/>
                <w:color w:val="auto"/>
              </w:rPr>
            </w:pPr>
            <w:r>
              <w:rPr>
                <w:rFonts w:ascii="Arial" w:cs="Arial" w:eastAsia="Arial" w:hAnsi="Arial"/>
                <w:sz w:val="18"/>
                <w:szCs w:val="18"/>
                <w:color w:val="auto"/>
              </w:rPr>
              <w:t>Preferred stock warrants</w:t>
            </w:r>
          </w:p>
        </w:tc>
        <w:tc>
          <w:tcPr>
            <w:tcW w:w="300" w:type="dxa"/>
            <w:vAlign w:val="bottom"/>
          </w:tcPr>
          <w:p>
            <w:pPr>
              <w:spacing w:after="0"/>
              <w:rPr>
                <w:sz w:val="17"/>
                <w:szCs w:val="17"/>
                <w:color w:val="auto"/>
              </w:rPr>
            </w:pP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60,036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Weighted-average shares, diluted</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27,559,908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4,166,439</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27,493,130</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4,113,249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96" w:lineRule="exact"/>
              <w:rPr>
                <w:sz w:val="20"/>
                <w:szCs w:val="20"/>
                <w:color w:val="auto"/>
              </w:rPr>
            </w:pPr>
            <w:r>
              <w:rPr>
                <w:rFonts w:ascii="Arial" w:cs="Arial" w:eastAsia="Arial" w:hAnsi="Arial"/>
                <w:sz w:val="18"/>
                <w:szCs w:val="18"/>
                <w:color w:val="auto"/>
              </w:rPr>
              <w:t>Basic net loss per share</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(0.61 )</w:t>
            </w:r>
          </w:p>
        </w:tc>
        <w:tc>
          <w:tcPr>
            <w:tcW w:w="140" w:type="dxa"/>
            <w:vAlign w:val="bottom"/>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(3.28 )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(1.25 )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(0.61 )</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(3.53 )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(1.25 )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(5.23 )</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Series G Common Stock</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 available to stockholder, basic</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(0.32 )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(0.48 )</w:t>
            </w:r>
          </w:p>
        </w:tc>
        <w:tc>
          <w:tcPr>
            <w:tcW w:w="0" w:type="dxa"/>
            <w:vAlign w:val="bottom"/>
          </w:tcPr>
          <w:p>
            <w:pPr>
              <w:spacing w:after="0"/>
              <w:rPr>
                <w:sz w:val="1"/>
                <w:szCs w:val="1"/>
                <w:color w:val="auto"/>
              </w:rPr>
            </w:pPr>
          </w:p>
        </w:tc>
      </w:tr>
      <w:tr>
        <w:trPr>
          <w:trHeight w:val="203"/>
        </w:trPr>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Preferred stock warrants</w:t>
            </w:r>
          </w:p>
        </w:tc>
        <w:tc>
          <w:tcPr>
            <w:tcW w:w="3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080" w:type="dxa"/>
            <w:vAlign w:val="bottom"/>
          </w:tcPr>
          <w:p>
            <w:pPr>
              <w:ind w:left="200"/>
              <w:spacing w:after="0" w:line="182" w:lineRule="exact"/>
              <w:rPr>
                <w:sz w:val="20"/>
                <w:szCs w:val="20"/>
                <w:color w:val="auto"/>
              </w:rPr>
            </w:pPr>
            <w:r>
              <w:rPr>
                <w:rFonts w:ascii="Arial" w:cs="Arial" w:eastAsia="Arial" w:hAnsi="Arial"/>
                <w:sz w:val="18"/>
                <w:szCs w:val="18"/>
                <w:color w:val="auto"/>
              </w:rPr>
              <w:t>Net loss attributable to stockholder, diluted</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(0.32</w:t>
            </w:r>
          </w:p>
        </w:tc>
        <w:tc>
          <w:tcPr>
            <w:tcW w:w="240" w:type="dxa"/>
            <w:vAlign w:val="bottom"/>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(0.48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0"/>
              <w:spacing w:after="0" w:line="162" w:lineRule="exact"/>
              <w:rPr>
                <w:sz w:val="20"/>
                <w:szCs w:val="20"/>
                <w:color w:val="auto"/>
              </w:rPr>
            </w:pPr>
            <w:r>
              <w:rPr>
                <w:rFonts w:ascii="Arial" w:cs="Arial" w:eastAsia="Arial" w:hAnsi="Arial"/>
                <w:sz w:val="18"/>
                <w:szCs w:val="18"/>
                <w:color w:val="auto"/>
                <w:w w:val="98"/>
              </w:rPr>
              <w:t>Weighted-average shares outstanding, basic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loss per share</w:t>
            </w:r>
          </w:p>
        </w:tc>
        <w:tc>
          <w:tcPr>
            <w:tcW w:w="3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(0.32 )</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(0.48 )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Diluted net loss per share</w:t>
            </w:r>
          </w:p>
        </w:tc>
        <w:tc>
          <w:tcPr>
            <w:tcW w:w="30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1"/>
              <w:spacing w:after="0"/>
              <w:rPr>
                <w:sz w:val="20"/>
                <w:szCs w:val="20"/>
                <w:color w:val="auto"/>
              </w:rPr>
            </w:pPr>
            <w:r>
              <w:rPr>
                <w:rFonts w:ascii="Arial" w:cs="Arial" w:eastAsia="Arial" w:hAnsi="Arial"/>
                <w:sz w:val="18"/>
                <w:szCs w:val="18"/>
                <w:color w:val="auto"/>
              </w:rPr>
              <w:t>(0.32 )</w:t>
            </w:r>
          </w:p>
        </w:tc>
        <w:tc>
          <w:tcPr>
            <w:tcW w:w="3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-2721610</wp:posOffset>
            </wp:positionV>
            <wp:extent cx="102235"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235" cy="26543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-2721610</wp:posOffset>
            </wp:positionV>
            <wp:extent cx="93980" cy="265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-2721610</wp:posOffset>
            </wp:positionV>
            <wp:extent cx="93980"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-2721610</wp:posOffset>
            </wp:positionV>
            <wp:extent cx="93980" cy="265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-1814195</wp:posOffset>
            </wp:positionV>
            <wp:extent cx="768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-1814195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-1814195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-1814195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-792480</wp:posOffset>
            </wp:positionV>
            <wp:extent cx="10223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-792480</wp:posOffset>
            </wp:positionV>
            <wp:extent cx="9398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-792480</wp:posOffset>
            </wp:positionV>
            <wp:extent cx="939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-792480</wp:posOffset>
            </wp:positionV>
            <wp:extent cx="939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46" w:lineRule="exact"/>
        <w:rPr>
          <w:sz w:val="20"/>
          <w:szCs w:val="20"/>
          <w:color w:val="auto"/>
        </w:rPr>
      </w:pPr>
    </w:p>
    <w:p>
      <w:pPr>
        <w:ind w:right="480" w:firstLine="374"/>
        <w:spacing w:after="0" w:line="324" w:lineRule="auto"/>
        <w:rPr>
          <w:sz w:val="20"/>
          <w:szCs w:val="20"/>
          <w:color w:val="auto"/>
        </w:rPr>
      </w:pPr>
      <w:r>
        <w:rPr>
          <w:rFonts w:ascii="Arial" w:cs="Arial" w:eastAsia="Arial" w:hAnsi="Arial"/>
          <w:sz w:val="16"/>
          <w:szCs w:val="16"/>
          <w:color w:val="auto"/>
        </w:rPr>
        <w:t>The following outstanding potentially dilutive securities were excluded from the calculation of diluted net loss per share attributable to common stockholders because their impact under the “treasury stock method” and “if-converted method” was anti-dilutive for the periods presented: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18"/>
                <w:szCs w:val="18"/>
                <w:color w:val="auto"/>
              </w:rPr>
            </w:pPr>
          </w:p>
        </w:tc>
        <w:tc>
          <w:tcPr>
            <w:tcW w:w="3220" w:type="dxa"/>
            <w:vAlign w:val="bottom"/>
            <w:gridSpan w:val="3"/>
          </w:tcPr>
          <w:p>
            <w:pPr>
              <w:ind w:left="56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b w:val="1"/>
                <w:bCs w:val="1"/>
                <w:color w:val="auto"/>
              </w:rPr>
              <w:t>2022</w:t>
            </w:r>
          </w:p>
        </w:tc>
        <w:tc>
          <w:tcPr>
            <w:tcW w:w="19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720" w:type="dxa"/>
            <w:vAlign w:val="bottom"/>
            <w:gridSpan w:val="2"/>
          </w:tcPr>
          <w:p>
            <w:pPr>
              <w:ind w:left="800"/>
              <w:spacing w:after="0"/>
              <w:rPr>
                <w:sz w:val="20"/>
                <w:szCs w:val="20"/>
                <w:color w:val="auto"/>
              </w:rPr>
            </w:pPr>
            <w:r>
              <w:rPr>
                <w:rFonts w:ascii="Arial" w:cs="Arial" w:eastAsia="Arial" w:hAnsi="Arial"/>
                <w:sz w:val="18"/>
                <w:szCs w:val="18"/>
                <w:b w:val="1"/>
                <w:bCs w:val="1"/>
                <w:color w:val="auto"/>
              </w:rPr>
              <w:t>2022</w:t>
            </w:r>
          </w:p>
        </w:tc>
        <w:tc>
          <w:tcPr>
            <w:tcW w:w="17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Convertible preferred stock</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14,850,993</w:t>
            </w:r>
          </w:p>
        </w:tc>
        <w:tc>
          <w:tcPr>
            <w:tcW w:w="2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14,850,993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0"/>
              <w:spacing w:after="0" w:line="162" w:lineRule="exact"/>
              <w:rPr>
                <w:sz w:val="20"/>
                <w:szCs w:val="20"/>
                <w:color w:val="auto"/>
              </w:rPr>
            </w:pPr>
            <w:r>
              <w:rPr>
                <w:rFonts w:ascii="Arial" w:cs="Arial" w:eastAsia="Arial" w:hAnsi="Arial"/>
                <w:sz w:val="18"/>
                <w:szCs w:val="18"/>
                <w:color w:val="auto"/>
                <w:w w:val="97"/>
              </w:rPr>
              <w:t>Stock options issued and outstanding under the Calhoun</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line="176" w:lineRule="exact"/>
              <w:rPr>
                <w:sz w:val="20"/>
                <w:szCs w:val="20"/>
                <w:color w:val="auto"/>
              </w:rPr>
            </w:pPr>
            <w:r>
              <w:rPr>
                <w:rFonts w:ascii="Arial" w:cs="Arial" w:eastAsia="Arial" w:hAnsi="Arial"/>
                <w:sz w:val="18"/>
                <w:szCs w:val="18"/>
                <w:color w:val="auto"/>
              </w:rPr>
              <w:t>Vision, Inc. 2006 Stock Plan, Calhoun Vision, Inc. 2015</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1,942,092</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4,610,950</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1,973,913</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4,368,665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w w:val="97"/>
              </w:rPr>
              <w:t>Equity Incentive Plan and the 2021 Equity Incentive Plan</w:t>
            </w:r>
          </w:p>
        </w:tc>
        <w:tc>
          <w:tcPr>
            <w:tcW w:w="1100" w:type="dxa"/>
            <w:vAlign w:val="bottom"/>
            <w:vMerge w:val="continue"/>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stock units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65,825</w:t>
            </w:r>
          </w:p>
        </w:tc>
        <w:tc>
          <w:tcPr>
            <w:tcW w:w="2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48,188</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0"/>
              <w:spacing w:after="0" w:line="162" w:lineRule="exact"/>
              <w:rPr>
                <w:sz w:val="20"/>
                <w:szCs w:val="20"/>
                <w:color w:val="auto"/>
              </w:rPr>
            </w:pPr>
            <w:r>
              <w:rPr>
                <w:rFonts w:ascii="Arial" w:cs="Arial" w:eastAsia="Arial" w:hAnsi="Arial"/>
                <w:sz w:val="18"/>
                <w:szCs w:val="18"/>
                <w:color w:val="auto"/>
              </w:rPr>
              <w:t>Stock issuable in offering period under the Employee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48,373</w:t>
            </w:r>
          </w:p>
        </w:tc>
        <w:tc>
          <w:tcPr>
            <w:tcW w:w="2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47,496</w:t>
            </w: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Arial" w:cs="Arial" w:eastAsia="Arial" w:hAnsi="Arial"/>
                <w:sz w:val="18"/>
                <w:szCs w:val="18"/>
                <w:color w:val="auto"/>
              </w:rPr>
              <w:t>Stock Purchase Plan</w:t>
            </w:r>
          </w:p>
        </w:tc>
        <w:tc>
          <w:tcPr>
            <w:tcW w:w="1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The Company’s revenue is generated from the sale of LALs used in cataract surgery along with a specifically designed machine for delivering light to the eye, the LDD, to adjust the lens post-surgery, as needed. Revenue is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right="420"/>
        <w:spacing w:after="0" w:line="261" w:lineRule="auto"/>
        <w:rPr>
          <w:sz w:val="20"/>
          <w:szCs w:val="20"/>
          <w:color w:val="auto"/>
        </w:rPr>
      </w:pPr>
      <w:r>
        <w:rPr>
          <w:rFonts w:ascii="Arial" w:cs="Arial" w:eastAsia="Arial" w:hAnsi="Arial"/>
          <w:sz w:val="18"/>
          <w:szCs w:val="18"/>
          <w:color w:val="auto"/>
        </w:rPr>
        <w:t>recognized from sales of products in the U.S. and Europe. Customers are primarily comprised of ambulatory surgery centers, hospitals, and physician private practices.</w:t>
      </w:r>
    </w:p>
    <w:p>
      <w:pPr>
        <w:spacing w:after="0" w:line="103" w:lineRule="exact"/>
        <w:rPr>
          <w:sz w:val="20"/>
          <w:szCs w:val="20"/>
          <w:color w:val="auto"/>
        </w:rPr>
      </w:pPr>
    </w:p>
    <w:p>
      <w:pPr>
        <w:ind w:firstLine="374"/>
        <w:spacing w:after="0" w:line="271" w:lineRule="auto"/>
        <w:rPr>
          <w:sz w:val="20"/>
          <w:szCs w:val="20"/>
          <w:color w:val="auto"/>
        </w:rPr>
      </w:pPr>
      <w:r>
        <w:rPr>
          <w:rFonts w:ascii="Arial" w:cs="Arial" w:eastAsia="Arial" w:hAnsi="Arial"/>
          <w:sz w:val="16"/>
          <w:szCs w:val="16"/>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ind w:right="40" w:firstLine="8"/>
        <w:spacing w:after="0" w:line="251"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02" w:lineRule="exact"/>
        <w:rPr>
          <w:sz w:val="20"/>
          <w:szCs w:val="20"/>
          <w:color w:val="auto"/>
        </w:rPr>
      </w:pPr>
    </w:p>
    <w:p>
      <w:pPr>
        <w:ind w:firstLine="374"/>
        <w:spacing w:after="0" w:line="267"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11"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from sales is recognized for LALs upon customer notification that the LALs have been implanted in a patient. For the three and six months ended June 30, 2022 and 2021, credits related to returns and rebates on list prices were not significant.</w:t>
      </w:r>
    </w:p>
    <w:p>
      <w:pPr>
        <w:spacing w:after="0" w:line="114"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6" w:name="page17"/>
    <w:bookmarkEnd w:id="16"/>
    <w:p>
      <w:pPr>
        <w:ind w:left="380"/>
        <w:spacing w:after="0"/>
        <w:rPr>
          <w:sz w:val="20"/>
          <w:szCs w:val="20"/>
          <w:color w:val="auto"/>
        </w:rPr>
      </w:pPr>
      <w:r>
        <w:rPr>
          <w:rFonts w:ascii="Arial" w:cs="Arial" w:eastAsia="Arial" w:hAnsi="Arial"/>
          <w:sz w:val="17"/>
          <w:szCs w:val="17"/>
          <w:color w:val="auto"/>
        </w:rPr>
        <w:t>For the three and six months ended June 30, 2022 and 2021, revenue from contracts with customers consisted of the following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17"/>
                <w:szCs w:val="17"/>
                <w:color w:val="auto"/>
              </w:rPr>
            </w:pPr>
          </w:p>
        </w:tc>
      </w:tr>
      <w:tr>
        <w:trPr>
          <w:trHeight w:val="221"/>
        </w:trPr>
        <w:tc>
          <w:tcPr>
            <w:tcW w:w="40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4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LDD (including training)</w:t>
            </w:r>
          </w:p>
        </w:tc>
        <w:tc>
          <w:tcPr>
            <w:tcW w:w="1100" w:type="dxa"/>
            <w:vAlign w:val="bottom"/>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5,683</w:t>
            </w:r>
          </w:p>
        </w:tc>
        <w:tc>
          <w:tcPr>
            <w:tcW w:w="1160" w:type="dxa"/>
            <w:vAlign w:val="bottom"/>
            <w:gridSpan w:val="2"/>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2,965</w:t>
            </w:r>
          </w:p>
        </w:tc>
        <w:tc>
          <w:tcPr>
            <w:tcW w:w="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10,253</w:t>
            </w:r>
          </w:p>
        </w:tc>
        <w:tc>
          <w:tcPr>
            <w:tcW w:w="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4,802</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LAL</w:t>
            </w:r>
          </w:p>
        </w:tc>
        <w:tc>
          <w:tcPr>
            <w:tcW w:w="1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5,349</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1,792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9,453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3,321</w:t>
            </w:r>
          </w:p>
        </w:tc>
        <w:tc>
          <w:tcPr>
            <w:tcW w:w="100" w:type="dxa"/>
            <w:vAlign w:val="bottom"/>
          </w:tcPr>
          <w:p>
            <w:pPr>
              <w:spacing w:after="0"/>
              <w:rPr>
                <w:sz w:val="17"/>
                <w:szCs w:val="17"/>
                <w:color w:val="auto"/>
              </w:rPr>
            </w:pPr>
          </w:p>
        </w:tc>
      </w:tr>
      <w:tr>
        <w:trPr>
          <w:trHeight w:val="203"/>
        </w:trPr>
        <w:tc>
          <w:tcPr>
            <w:tcW w:w="40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Service warranty, service contracts, and accessories</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w:t>
            </w: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595</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1100" w:type="dxa"/>
            <w:vAlign w:val="bottom"/>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11,360</w:t>
            </w:r>
          </w:p>
        </w:tc>
        <w:tc>
          <w:tcPr>
            <w:tcW w:w="116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4,897</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20,301</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8,381</w:t>
            </w:r>
          </w:p>
        </w:tc>
        <w:tc>
          <w:tcPr>
            <w:tcW w:w="100" w:type="dxa"/>
            <w:vAlign w:val="bottom"/>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-159385</wp:posOffset>
            </wp:positionV>
            <wp:extent cx="774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-159385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ind w:right="100" w:firstLine="374"/>
        <w:spacing w:after="0" w:line="248" w:lineRule="auto"/>
        <w:rPr>
          <w:sz w:val="20"/>
          <w:szCs w:val="20"/>
          <w:color w:val="auto"/>
        </w:rPr>
      </w:pPr>
      <w:r>
        <w:rPr>
          <w:rFonts w:ascii="Arial" w:cs="Arial" w:eastAsia="Arial" w:hAnsi="Arial"/>
          <w:sz w:val="18"/>
          <w:szCs w:val="18"/>
          <w:color w:val="auto"/>
        </w:rPr>
        <w:t>As of June 30, 2022 and December 31, 2021, the Company recognized contract liabilities on its condensed consolidated balance sheets of $738,000 and $540,000 respectively, related to the service agreement performance obligation. Revenue for service agreements is recognized ratably over the term of each contract.</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represents the contract liabilities from sales activity for the six months ended June 30, 2022 and 2021, respectively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0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398"/>
        </w:trPr>
        <w:tc>
          <w:tcPr>
            <w:tcW w:w="60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24"/>
                <w:szCs w:val="24"/>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Additions during the period</w:t>
            </w:r>
          </w:p>
        </w:tc>
        <w:tc>
          <w:tcPr>
            <w:tcW w:w="60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741</w:t>
            </w: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Revenue recognized during the period</w:t>
            </w:r>
          </w:p>
        </w:tc>
        <w:tc>
          <w:tcPr>
            <w:tcW w:w="600" w:type="dxa"/>
            <w:vAlign w:val="bottom"/>
          </w:tcPr>
          <w:p>
            <w:pPr>
              <w:spacing w:after="0"/>
              <w:rPr>
                <w:sz w:val="17"/>
                <w:szCs w:val="17"/>
                <w:color w:val="auto"/>
              </w:rPr>
            </w:pPr>
          </w:p>
        </w:tc>
        <w:tc>
          <w:tcPr>
            <w:tcW w:w="2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(543 )</w:t>
            </w:r>
          </w:p>
        </w:tc>
        <w:tc>
          <w:tcPr>
            <w:tcW w:w="70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(237 )</w:t>
            </w:r>
          </w:p>
        </w:tc>
      </w:tr>
      <w:tr>
        <w:trPr>
          <w:trHeight w:val="236"/>
        </w:trPr>
        <w:tc>
          <w:tcPr>
            <w:tcW w:w="6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600" w:type="dxa"/>
            <w:vAlign w:val="bottom"/>
            <w:tcBorders>
              <w:top w:val="single" w:sz="8" w:color="auto"/>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738</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ind w:right="180" w:firstLine="374"/>
        <w:spacing w:after="0" w:line="270" w:lineRule="auto"/>
        <w:rPr>
          <w:sz w:val="20"/>
          <w:szCs w:val="20"/>
          <w:color w:val="auto"/>
        </w:rPr>
      </w:pPr>
      <w:r>
        <w:rPr>
          <w:rFonts w:ascii="Arial" w:cs="Arial" w:eastAsia="Arial" w:hAnsi="Arial"/>
          <w:sz w:val="17"/>
          <w:szCs w:val="17"/>
          <w:color w:val="auto"/>
        </w:rPr>
        <w:t>For three and six months ended June 30, 2022 and 2021, the Company had no customers who individually accounted for more than 10% of revenue. For the three months ended June 30, 2021, the Company had one customer who individually accounted for approximately 13% of revenue. For the six months ended June 30, 2021, the Company had no customer who individually accounted for 10% or more of revenue.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58"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The Company has three stock-based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spacing w:after="0" w:line="96"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The purpose of the 2021 Plan and 2021 ESPP is to provide a means by which eligible participants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101"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Stock option awards are generally granted with an exercise price of no less than 100% of estimated fair market value on the date of grant. Time based awards generally vest over four years as follows, subject to the optionee’s continuing service: one fourth of the total number of shares vest and become exercisable on the one-year anniversary; 1/48th of the total number of shares subject to the option vest and become exercisable on each monthly anniversary thereafter for the remaining three years.</w:t>
      </w:r>
    </w:p>
    <w:p>
      <w:pPr>
        <w:spacing w:after="0" w:line="120" w:lineRule="exact"/>
        <w:rPr>
          <w:sz w:val="20"/>
          <w:szCs w:val="20"/>
          <w:color w:val="auto"/>
        </w:rPr>
      </w:pPr>
    </w:p>
    <w:p>
      <w:pPr>
        <w:ind w:right="20" w:firstLine="374"/>
        <w:spacing w:after="0" w:line="271" w:lineRule="auto"/>
        <w:rPr>
          <w:sz w:val="20"/>
          <w:szCs w:val="20"/>
          <w:color w:val="auto"/>
        </w:rPr>
      </w:pPr>
      <w:r>
        <w:rPr>
          <w:rFonts w:ascii="Arial" w:cs="Arial" w:eastAsia="Arial" w:hAnsi="Arial"/>
          <w:sz w:val="16"/>
          <w:szCs w:val="16"/>
          <w:color w:val="auto"/>
        </w:rPr>
        <w:t>Prior to the Company's shares being traded on the Nasdaq Global Market, the fair value of the Company’s common stock was determined by the Company’s Board at the time of each option grant by considering a number of objective and subjective factors. The factors included, but were not limited to: (i) third-party valuations of the Company’s common stock; (ii) the Company’s stage of development; (iii) the status of research and development efforts;</w:t>
      </w:r>
    </w:p>
    <w:p>
      <w:pPr>
        <w:ind w:right="780" w:firstLine="8"/>
        <w:spacing w:after="0" w:line="243"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preferences and privileges of the Company’s convertible preferred stock relative to those of the Company’s common stock; (v) the Company’s operating results and financial condition, including the</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jc w:val="both"/>
        <w:ind w:right="60"/>
        <w:spacing w:after="0" w:line="248" w:lineRule="auto"/>
        <w:rPr>
          <w:sz w:val="20"/>
          <w:szCs w:val="20"/>
          <w:color w:val="auto"/>
        </w:rPr>
      </w:pPr>
      <w:r>
        <w:rPr>
          <w:rFonts w:ascii="Arial" w:cs="Arial" w:eastAsia="Arial" w:hAnsi="Arial"/>
          <w:sz w:val="18"/>
          <w:szCs w:val="18"/>
          <w:color w:val="auto"/>
        </w:rPr>
        <w:t>Company’s levels of available capital resources; (vi) equity market conditions affecting comparable public companies; (vii) general U.S. market conditions and (viii) the lack of marketability of the Company’s common stock. After completion of the Company’s IPO in July 2021, the fair value of common stock is based on the closing price of the Company’s common stock as reported on the Nasdaq Global Market.</w:t>
      </w:r>
    </w:p>
    <w:p>
      <w:pPr>
        <w:spacing w:after="0" w:line="114" w:lineRule="exact"/>
        <w:rPr>
          <w:sz w:val="20"/>
          <w:szCs w:val="20"/>
          <w:color w:val="auto"/>
        </w:rPr>
      </w:pPr>
    </w:p>
    <w:p>
      <w:pPr>
        <w:ind w:right="760" w:firstLine="374"/>
        <w:spacing w:after="0" w:line="324" w:lineRule="auto"/>
        <w:rPr>
          <w:sz w:val="20"/>
          <w:szCs w:val="20"/>
          <w:color w:val="auto"/>
        </w:rPr>
      </w:pPr>
      <w:r>
        <w:rPr>
          <w:rFonts w:ascii="Arial" w:cs="Arial" w:eastAsia="Arial" w:hAnsi="Arial"/>
          <w:sz w:val="16"/>
          <w:szCs w:val="16"/>
          <w:color w:val="auto"/>
        </w:rPr>
        <w:t>In determining the fair value of the stock options granted, the Company uses the Black-Scholes option-pricing model and requires the use of assumptions about a number of variables as discussed below. Each of these inputs is subjective and generally requires significant judgment.</w:t>
      </w:r>
    </w:p>
    <w:p>
      <w:pPr>
        <w:spacing w:after="0" w:line="124"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simplified method (based on the mid-point between the vesting date and the end of the contractual term) to determine the expected term.</w:t>
      </w:r>
    </w:p>
    <w:p>
      <w:pPr>
        <w:spacing w:after="0" w:line="190" w:lineRule="exact"/>
        <w:rPr>
          <w:sz w:val="20"/>
          <w:szCs w:val="20"/>
          <w:color w:val="auto"/>
        </w:rPr>
      </w:pPr>
    </w:p>
    <w:p>
      <w:pPr>
        <w:ind w:left="660" w:right="220"/>
        <w:spacing w:after="0" w:line="274"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—Prior to the completion of the Company</w:t>
      </w:r>
      <w:r>
        <w:rPr>
          <w:rFonts w:ascii="Arial" w:cs="Arial" w:eastAsia="Arial" w:hAnsi="Arial"/>
          <w:sz w:val="20"/>
          <w:szCs w:val="20"/>
          <w:color w:val="auto"/>
        </w:rPr>
        <w:t>’</w:t>
      </w:r>
      <w:r>
        <w:rPr>
          <w:rFonts w:ascii="Arial" w:cs="Arial" w:eastAsia="Arial" w:hAnsi="Arial"/>
          <w:sz w:val="17"/>
          <w:szCs w:val="17"/>
          <w:color w:val="auto"/>
        </w:rPr>
        <w:t>s IPO, when the Company was privately held and did not have any trading history</w:t>
      </w:r>
      <w:r>
        <w:rPr>
          <w:rFonts w:ascii="Arial" w:cs="Arial" w:eastAsia="Arial" w:hAnsi="Arial"/>
          <w:sz w:val="17"/>
          <w:szCs w:val="17"/>
          <w:i w:val="1"/>
          <w:iCs w:val="1"/>
          <w:color w:val="auto"/>
        </w:rPr>
        <w:t xml:space="preserve"> </w:t>
      </w:r>
      <w:r>
        <w:rPr>
          <w:rFonts w:ascii="Arial" w:cs="Arial" w:eastAsia="Arial" w:hAnsi="Arial"/>
          <w:sz w:val="17"/>
          <w:szCs w:val="17"/>
          <w:color w:val="auto"/>
        </w:rPr>
        <w:t>for its common stock, the expected volatility was 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75" w:lineRule="exact"/>
        <w:rPr>
          <w:sz w:val="20"/>
          <w:szCs w:val="20"/>
          <w:color w:val="auto"/>
        </w:rPr>
      </w:pPr>
    </w:p>
    <w:p>
      <w:pPr>
        <w:ind w:left="640" w:right="80"/>
        <w:spacing w:after="0" w:line="291"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used is based on the published U.S. Department of Treasury interest rates in effect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grant for zero coupon U.S. Treasury notes with maturities approximating each grant’s expected term.</w:t>
      </w:r>
    </w:p>
    <w:p>
      <w:pPr>
        <w:spacing w:after="0" w:line="147" w:lineRule="exact"/>
        <w:rPr>
          <w:sz w:val="20"/>
          <w:szCs w:val="20"/>
          <w:color w:val="auto"/>
        </w:rPr>
      </w:pPr>
    </w:p>
    <w:p>
      <w:pPr>
        <w:ind w:left="640" w:right="120"/>
        <w:spacing w:after="0" w:line="261"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right="60" w:firstLine="374"/>
        <w:spacing w:after="0" w:line="248"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ASUs not listed below were assessed and determined not to be applicable or are expected to have minimal impact on the Company’s consolidated financial statements.</w:t>
      </w:r>
    </w:p>
    <w:p>
      <w:pPr>
        <w:spacing w:after="0" w:line="11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 xml:space="preserve">In June 2020, the FASB issued ASU No.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t>
      </w:r>
      <w:r>
        <w:rPr>
          <w:rFonts w:ascii="Arial" w:cs="Arial" w:eastAsia="Arial" w:hAnsi="Arial"/>
          <w:sz w:val="17"/>
          <w:szCs w:val="17"/>
          <w:i w:val="1"/>
          <w:iCs w:val="1"/>
          <w:color w:val="auto"/>
        </w:rPr>
        <w:t>“</w:t>
      </w:r>
      <w:r>
        <w:rPr>
          <w:rFonts w:ascii="Arial" w:cs="Arial" w:eastAsia="Arial" w:hAnsi="Arial"/>
          <w:sz w:val="17"/>
          <w:szCs w:val="17"/>
          <w:color w:val="auto"/>
        </w:rPr>
        <w:t>ASU No. 2020-06”)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The Company adopted ASU 2020-06 effective January 1, 2022 using the modified retrospective method and the adoption did not have a material impact on the Company’s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right="640"/>
        <w:spacing w:after="0" w:line="261" w:lineRule="auto"/>
        <w:rPr>
          <w:sz w:val="20"/>
          <w:szCs w:val="20"/>
          <w:color w:val="auto"/>
        </w:rPr>
      </w:pPr>
      <w:r>
        <w:rPr>
          <w:rFonts w:ascii="Arial" w:cs="Arial" w:eastAsia="Arial" w:hAnsi="Arial"/>
          <w:sz w:val="18"/>
          <w:szCs w:val="18"/>
          <w:color w:val="auto"/>
        </w:rPr>
        <w:t>revised accounting standards on the relevant effective dates on which adoption of such standards is required for other public companies that are not emerging growth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108"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Short-term investments consist of U.S. Treasury bills and are available-for-sale. The following tables show the Company's short-term investments as of June 30, 2022 and December 31, 2021 (in thousands):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As of June 30, 2022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r>
      <w:tr>
        <w:trPr>
          <w:trHeight w:val="196"/>
        </w:trPr>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380"/>
              <w:spacing w:after="0" w:line="196" w:lineRule="exact"/>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3"/>
          </w:tcPr>
          <w:p>
            <w:pPr>
              <w:ind w:left="180"/>
              <w:spacing w:after="0" w:line="196" w:lineRule="exact"/>
              <w:rPr>
                <w:sz w:val="20"/>
                <w:szCs w:val="20"/>
                <w:color w:val="auto"/>
              </w:rPr>
            </w:pPr>
            <w:r>
              <w:rPr>
                <w:rFonts w:ascii="Arial" w:cs="Arial" w:eastAsia="Arial" w:hAnsi="Arial"/>
                <w:sz w:val="18"/>
                <w:szCs w:val="18"/>
                <w:b w:val="1"/>
                <w:bCs w:val="1"/>
                <w:color w:val="auto"/>
              </w:rPr>
              <w:t>Unrealized Loss,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w w:val="97"/>
              </w:rPr>
              <w:t>Estimated Fair Value</w:t>
            </w:r>
          </w:p>
        </w:tc>
      </w:tr>
      <w:tr>
        <w:trPr>
          <w:trHeight w:val="196"/>
        </w:trPr>
        <w:tc>
          <w:tcPr>
            <w:tcW w:w="3700" w:type="dxa"/>
            <w:vAlign w:val="bottom"/>
          </w:tcPr>
          <w:p>
            <w:pPr>
              <w:spacing w:after="0" w:line="182" w:lineRule="exact"/>
              <w:rPr>
                <w:sz w:val="20"/>
                <w:szCs w:val="20"/>
                <w:color w:val="auto"/>
              </w:rPr>
            </w:pPr>
            <w:r>
              <w:rPr>
                <w:rFonts w:ascii="Arial" w:cs="Arial" w:eastAsia="Arial" w:hAnsi="Arial"/>
                <w:sz w:val="18"/>
                <w:szCs w:val="18"/>
                <w:color w:val="auto"/>
              </w:rPr>
              <w:t>U.S. Treasury securities</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104,776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tcPr>
          <w:p>
            <w:pPr>
              <w:ind w:left="1860"/>
              <w:spacing w:after="0" w:line="182" w:lineRule="exact"/>
              <w:rPr>
                <w:sz w:val="20"/>
                <w:szCs w:val="20"/>
                <w:color w:val="auto"/>
              </w:rPr>
            </w:pPr>
            <w:r>
              <w:rPr>
                <w:rFonts w:ascii="Arial" w:cs="Arial" w:eastAsia="Arial" w:hAnsi="Arial"/>
                <w:sz w:val="18"/>
                <w:szCs w:val="18"/>
                <w:color w:val="auto"/>
                <w:w w:val="88"/>
              </w:rPr>
              <w:t>(160</w:t>
            </w:r>
          </w:p>
        </w:tc>
        <w:tc>
          <w:tcPr>
            <w:tcW w:w="280" w:type="dxa"/>
            <w:vAlign w:val="bottom"/>
            <w:gridSpan w:val="2"/>
          </w:tcPr>
          <w:p>
            <w:pPr>
              <w:jc w:val="right"/>
              <w:ind w:right="121"/>
              <w:spacing w:after="0" w:line="17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104,616</w:t>
            </w: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86"/>
        </w:trPr>
        <w:tc>
          <w:tcPr>
            <w:tcW w:w="3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96"/>
        </w:trPr>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480"/>
              <w:spacing w:after="0" w:line="196" w:lineRule="exact"/>
              <w:rPr>
                <w:sz w:val="20"/>
                <w:szCs w:val="20"/>
                <w:color w:val="auto"/>
              </w:rPr>
            </w:pPr>
            <w:r>
              <w:rPr>
                <w:rFonts w:ascii="Arial" w:cs="Arial" w:eastAsia="Arial" w:hAnsi="Arial"/>
                <w:sz w:val="18"/>
                <w:szCs w:val="18"/>
                <w:b w:val="1"/>
                <w:bCs w:val="1"/>
                <w:color w:val="auto"/>
                <w:w w:val="96"/>
              </w:rPr>
              <w:t>Amortized Cost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3"/>
          </w:tcPr>
          <w:p>
            <w:pPr>
              <w:ind w:left="140"/>
              <w:spacing w:after="0" w:line="196" w:lineRule="exact"/>
              <w:rPr>
                <w:sz w:val="20"/>
                <w:szCs w:val="20"/>
                <w:color w:val="auto"/>
              </w:rPr>
            </w:pPr>
            <w:r>
              <w:rPr>
                <w:rFonts w:ascii="Arial" w:cs="Arial" w:eastAsia="Arial" w:hAnsi="Arial"/>
                <w:sz w:val="18"/>
                <w:szCs w:val="18"/>
                <w:b w:val="1"/>
                <w:bCs w:val="1"/>
                <w:color w:val="auto"/>
              </w:rPr>
              <w:t>Unrealized Loss,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w w:val="98"/>
              </w:rPr>
              <w:t>Estimated Fair Value</w:t>
            </w:r>
          </w:p>
        </w:tc>
      </w:tr>
      <w:tr>
        <w:trPr>
          <w:trHeight w:val="196"/>
        </w:trPr>
        <w:tc>
          <w:tcPr>
            <w:tcW w:w="3700" w:type="dxa"/>
            <w:vAlign w:val="bottom"/>
          </w:tcPr>
          <w:p>
            <w:pPr>
              <w:spacing w:after="0" w:line="182" w:lineRule="exact"/>
              <w:rPr>
                <w:sz w:val="20"/>
                <w:szCs w:val="20"/>
                <w:color w:val="auto"/>
              </w:rPr>
            </w:pPr>
            <w:r>
              <w:rPr>
                <w:rFonts w:ascii="Arial" w:cs="Arial" w:eastAsia="Arial" w:hAnsi="Arial"/>
                <w:sz w:val="18"/>
                <w:szCs w:val="18"/>
                <w:color w:val="auto"/>
              </w:rPr>
              <w:t>U.S. Treasury securities</w:t>
            </w:r>
          </w:p>
        </w:tc>
        <w:tc>
          <w:tcPr>
            <w:tcW w:w="280" w:type="dxa"/>
            <w:vAlign w:val="bottom"/>
            <w:tcBorders>
              <w:top w:val="single" w:sz="8" w:color="auto"/>
              <w:bottom w:val="single" w:sz="8" w:color="auto"/>
            </w:tcBorders>
            <w:gridSpan w:val="2"/>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134,980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ind w:left="2080"/>
              <w:spacing w:after="0" w:line="182" w:lineRule="exact"/>
              <w:rPr>
                <w:sz w:val="20"/>
                <w:szCs w:val="20"/>
                <w:color w:val="auto"/>
              </w:rPr>
            </w:pPr>
            <w:r>
              <w:rPr>
                <w:rFonts w:ascii="Arial" w:cs="Arial" w:eastAsia="Arial" w:hAnsi="Arial"/>
                <w:sz w:val="18"/>
                <w:szCs w:val="18"/>
                <w:color w:val="auto"/>
                <w:w w:val="87"/>
              </w:rPr>
              <w:t>(9</w:t>
            </w:r>
          </w:p>
        </w:tc>
        <w:tc>
          <w:tcPr>
            <w:tcW w:w="240" w:type="dxa"/>
            <w:vAlign w:val="bottom"/>
          </w:tcPr>
          <w:p>
            <w:pPr>
              <w:jc w:val="right"/>
              <w:ind w:right="101"/>
              <w:spacing w:after="0" w:line="176" w:lineRule="exact"/>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134,971</w:t>
            </w: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80" w:firstLine="374"/>
        <w:spacing w:after="0" w:line="248" w:lineRule="auto"/>
        <w:rPr>
          <w:sz w:val="20"/>
          <w:szCs w:val="20"/>
          <w:color w:val="auto"/>
        </w:rPr>
      </w:pPr>
      <w:r>
        <w:rPr>
          <w:rFonts w:ascii="Arial" w:cs="Arial" w:eastAsia="Arial" w:hAnsi="Arial"/>
          <w:sz w:val="18"/>
          <w:szCs w:val="18"/>
          <w:color w:val="auto"/>
        </w:rPr>
        <w:t>All available-for-sale securities held as of June 30, 2022 and December 31, 2021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(in thousands):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35"/>
        </w:trPr>
        <w:tc>
          <w:tcPr>
            <w:tcW w:w="7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r>
      <w:tr>
        <w:trPr>
          <w:trHeight w:val="221"/>
        </w:trPr>
        <w:tc>
          <w:tcPr>
            <w:tcW w:w="7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Finished goods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4,656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4,451</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4,650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2,828</w:t>
            </w:r>
          </w:p>
        </w:tc>
        <w:tc>
          <w:tcPr>
            <w:tcW w:w="10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Work-in-process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2,431</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11,737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8,147</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reserve for excess and obsolete inventory</w:t>
            </w:r>
          </w:p>
        </w:tc>
        <w:tc>
          <w:tcPr>
            <w:tcW w:w="2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(115 )</w:t>
            </w:r>
          </w:p>
        </w:tc>
        <w:tc>
          <w:tcPr>
            <w:tcW w:w="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(115 )</w:t>
            </w:r>
          </w:p>
        </w:tc>
      </w:tr>
      <w:tr>
        <w:trPr>
          <w:trHeight w:val="196"/>
        </w:trPr>
        <w:tc>
          <w:tcPr>
            <w:tcW w:w="75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11,622</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8,032</w:t>
            </w:r>
          </w:p>
        </w:tc>
        <w:tc>
          <w:tcPr>
            <w:tcW w:w="100" w:type="dxa"/>
            <w:vAlign w:val="bottom"/>
            <w:tcBorders>
              <w:top w:val="single" w:sz="8" w:color="CFF0FC"/>
            </w:tcBorders>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-424815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ind w:right="140" w:firstLine="374"/>
        <w:spacing w:after="0" w:line="261" w:lineRule="auto"/>
        <w:rPr>
          <w:sz w:val="20"/>
          <w:szCs w:val="20"/>
          <w:color w:val="auto"/>
        </w:rPr>
      </w:pPr>
      <w:r>
        <w:rPr>
          <w:rFonts w:ascii="Arial" w:cs="Arial" w:eastAsia="Arial" w:hAnsi="Arial"/>
          <w:sz w:val="18"/>
          <w:szCs w:val="18"/>
          <w:color w:val="auto"/>
        </w:rPr>
        <w:t>At June 30, 2022 and December 31, 2021, finished goods included $2.2 million and $1.8 million of inventory held on consignment at customer sites,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ind w:right="20" w:firstLine="374"/>
        <w:spacing w:after="0" w:line="261" w:lineRule="auto"/>
        <w:rPr>
          <w:sz w:val="20"/>
          <w:szCs w:val="20"/>
          <w:color w:val="auto"/>
        </w:rPr>
      </w:pPr>
      <w:r>
        <w:rPr>
          <w:rFonts w:ascii="Arial" w:cs="Arial" w:eastAsia="Arial" w:hAnsi="Arial"/>
          <w:sz w:val="18"/>
          <w:szCs w:val="18"/>
          <w:color w:val="auto"/>
        </w:rPr>
        <w:t>The table and disclosures below (in thousands) present the Company’s assets and liabilities measured at fair value on a recurring basis and indicate the fair value hierarchy of the valuation techniques utilized by the Company to determine such fair value.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June 30, 2022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500"/>
              <w:spacing w:after="0" w:line="196" w:lineRule="exact"/>
              <w:rPr>
                <w:sz w:val="20"/>
                <w:szCs w:val="20"/>
                <w:color w:val="auto"/>
              </w:rPr>
            </w:pPr>
            <w:r>
              <w:rPr>
                <w:rFonts w:ascii="Arial" w:cs="Arial" w:eastAsia="Arial" w:hAnsi="Arial"/>
                <w:sz w:val="18"/>
                <w:szCs w:val="18"/>
                <w:b w:val="1"/>
                <w:bCs w:val="1"/>
                <w:color w:val="auto"/>
                <w:w w:val="98"/>
              </w:rPr>
              <w:t>Level II</w:t>
            </w:r>
          </w:p>
        </w:tc>
        <w:tc>
          <w:tcPr>
            <w:tcW w:w="30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Money market securities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22,838</w:t>
            </w: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104,616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104,616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00"/>
              <w:spacing w:after="0" w:line="182" w:lineRule="exact"/>
              <w:rPr>
                <w:sz w:val="20"/>
                <w:szCs w:val="20"/>
                <w:color w:val="auto"/>
              </w:rPr>
            </w:pPr>
            <w:r>
              <w:rPr>
                <w:rFonts w:ascii="Arial" w:cs="Arial" w:eastAsia="Arial" w:hAnsi="Arial"/>
                <w:sz w:val="18"/>
                <w:szCs w:val="18"/>
                <w:color w:val="auto"/>
              </w:rPr>
              <w:t>Total assets at fair value</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22,838</w:t>
            </w:r>
          </w:p>
        </w:tc>
        <w:tc>
          <w:tcPr>
            <w:tcW w:w="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104,616</w:t>
            </w:r>
          </w:p>
        </w:tc>
        <w:tc>
          <w:tcPr>
            <w:tcW w:w="260" w:type="dxa"/>
            <w:vAlign w:val="bottom"/>
          </w:tcPr>
          <w:p>
            <w:pPr>
              <w:spacing w:after="0"/>
              <w:rPr>
                <w:sz w:val="17"/>
                <w:szCs w:val="17"/>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127,454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5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-776605</wp:posOffset>
            </wp:positionV>
            <wp:extent cx="7747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-776605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1"/>
        </w:trPr>
        <w:tc>
          <w:tcPr>
            <w:tcW w:w="6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As of December 31, 2021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Level II</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Money market securities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21,390</w:t>
            </w: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21,390</w:t>
            </w:r>
          </w:p>
        </w:tc>
        <w:tc>
          <w:tcPr>
            <w:tcW w:w="10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134,971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134,971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82" w:lineRule="exact"/>
              <w:rPr>
                <w:sz w:val="20"/>
                <w:szCs w:val="20"/>
                <w:color w:val="auto"/>
              </w:rPr>
            </w:pPr>
            <w:r>
              <w:rPr>
                <w:rFonts w:ascii="Arial" w:cs="Arial" w:eastAsia="Arial" w:hAnsi="Arial"/>
                <w:sz w:val="18"/>
                <w:szCs w:val="18"/>
                <w:color w:val="auto"/>
              </w:rPr>
              <w:t>Total assets at fair value</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21,390</w:t>
            </w:r>
          </w:p>
        </w:tc>
        <w:tc>
          <w:tcPr>
            <w:tcW w:w="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134,971</w:t>
            </w:r>
          </w:p>
        </w:tc>
        <w:tc>
          <w:tcPr>
            <w:tcW w:w="5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156,361</w:t>
            </w:r>
          </w:p>
        </w:tc>
        <w:tc>
          <w:tcPr>
            <w:tcW w:w="10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-159385</wp:posOffset>
            </wp:positionV>
            <wp:extent cx="7747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ind w:right="940" w:firstLine="374"/>
        <w:spacing w:after="0" w:line="261" w:lineRule="auto"/>
        <w:rPr>
          <w:sz w:val="20"/>
          <w:szCs w:val="20"/>
          <w:color w:val="auto"/>
        </w:rPr>
      </w:pPr>
      <w:r>
        <w:rPr>
          <w:rFonts w:ascii="Arial" w:cs="Arial" w:eastAsia="Arial" w:hAnsi="Arial"/>
          <w:sz w:val="18"/>
          <w:szCs w:val="18"/>
          <w:color w:val="auto"/>
        </w:rPr>
        <w:t>The Series W warrant expired unexercised on March 31, 2021 and the remaining fair value of $5.0 million was recorded in the condensed consolidated statement of operations and comprehensive loss for the six months ended June 30, 2021.</w:t>
      </w:r>
    </w:p>
    <w:p>
      <w:pPr>
        <w:spacing w:after="0" w:line="103" w:lineRule="exact"/>
        <w:rPr>
          <w:sz w:val="20"/>
          <w:szCs w:val="20"/>
          <w:color w:val="auto"/>
        </w:rPr>
      </w:pPr>
    </w:p>
    <w:p>
      <w:pPr>
        <w:ind w:right="20" w:firstLine="374"/>
        <w:spacing w:after="0" w:line="266" w:lineRule="auto"/>
        <w:rPr>
          <w:sz w:val="20"/>
          <w:szCs w:val="20"/>
          <w:color w:val="auto"/>
        </w:rPr>
      </w:pPr>
      <w:r>
        <w:rPr>
          <w:rFonts w:ascii="Arial" w:cs="Arial" w:eastAsia="Arial" w:hAnsi="Arial"/>
          <w:sz w:val="16"/>
          <w:szCs w:val="16"/>
          <w:color w:val="auto"/>
        </w:rPr>
        <w:t>The fair value of the preferred stock warrants was determined by management, with input and assistance from a third-party valuation specialist using a probability weighted expected return model/option pricing model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considered several future scenarios for the Company, each of which assumed a shareholder exit either through initial public offering, sale (“M&amp;A”) or dissolution. Based upon the current initial public offering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option pricing model's significant unobservable inputs included: (1) the assumed time until a liquidity event, (2) the risk-free interest rate over the period until the assumed liquidity event,</w:t>
      </w:r>
    </w:p>
    <w:p>
      <w:pPr>
        <w:spacing w:after="0" w:line="5" w:lineRule="exact"/>
        <w:rPr>
          <w:sz w:val="20"/>
          <w:szCs w:val="20"/>
          <w:color w:val="auto"/>
        </w:rPr>
      </w:pPr>
    </w:p>
    <w:p>
      <w:pPr>
        <w:ind w:right="100" w:firstLine="8"/>
        <w:spacing w:after="0" w:line="253"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 Upon completion of the Company's IPO in July 2021 all of the 14,376,272 issued and outstanding shares of Convertible Preferred Stock outstanding were converted to common stock and 225,945 warrants to purchase Series H convertible preferred stock were exercised and converted into 100,261 shares of common stock.</w:t>
      </w:r>
    </w:p>
    <w:p>
      <w:pPr>
        <w:spacing w:after="0" w:line="98" w:lineRule="exact"/>
        <w:rPr>
          <w:sz w:val="20"/>
          <w:szCs w:val="20"/>
          <w:color w:val="auto"/>
        </w:rPr>
      </w:pPr>
    </w:p>
    <w:p>
      <w:pPr>
        <w:ind w:right="440" w:firstLine="374"/>
        <w:spacing w:after="0" w:line="261" w:lineRule="auto"/>
        <w:rPr>
          <w:sz w:val="20"/>
          <w:szCs w:val="20"/>
          <w:color w:val="auto"/>
        </w:rPr>
      </w:pPr>
      <w:r>
        <w:rPr>
          <w:rFonts w:ascii="Arial" w:cs="Arial" w:eastAsia="Arial" w:hAnsi="Arial"/>
          <w:sz w:val="18"/>
          <w:szCs w:val="18"/>
          <w:color w:val="auto"/>
        </w:rPr>
        <w:t>The following table sets forth changes in the estimated fair values for the Company’s warrant liabilities measured using significant unobservable inputs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2340" w:type="dxa"/>
            <w:vAlign w:val="bottom"/>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580" w:type="dxa"/>
            <w:vAlign w:val="bottom"/>
          </w:tcPr>
          <w:p>
            <w:pPr>
              <w:spacing w:after="0"/>
              <w:rPr>
                <w:sz w:val="19"/>
                <w:szCs w:val="19"/>
                <w:color w:val="auto"/>
              </w:rPr>
            </w:pPr>
          </w:p>
        </w:tc>
        <w:tc>
          <w:tcPr>
            <w:tcW w:w="234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 2022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June 30, 2021</w:t>
            </w:r>
          </w:p>
        </w:tc>
      </w:tr>
      <w:tr>
        <w:trPr>
          <w:trHeight w:val="196"/>
        </w:trPr>
        <w:tc>
          <w:tcPr>
            <w:tcW w:w="5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of period</w:t>
            </w:r>
          </w:p>
        </w:tc>
        <w:tc>
          <w:tcPr>
            <w:tcW w:w="2340" w:type="dxa"/>
            <w:vAlign w:val="bottom"/>
            <w:tcBorders>
              <w:top w:val="single" w:sz="8" w:color="auto"/>
            </w:tcBorders>
            <w:shd w:val="clear" w:color="auto" w:fill="CFF0FC"/>
          </w:tcPr>
          <w:p>
            <w:pPr>
              <w:jc w:val="right"/>
              <w:ind w:right="215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ind w:left="26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8,846</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Expiration of common stock warrant</w:t>
            </w:r>
          </w:p>
        </w:tc>
        <w:tc>
          <w:tcPr>
            <w:tcW w:w="2340" w:type="dxa"/>
            <w:vAlign w:val="bottom"/>
          </w:tcPr>
          <w:p>
            <w:pPr>
              <w:spacing w:after="0"/>
              <w:rPr>
                <w:sz w:val="17"/>
                <w:szCs w:val="17"/>
                <w:color w:val="auto"/>
              </w:rPr>
            </w:pP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(5,018 )</w:t>
            </w: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preferred stock warrants</w:t>
            </w:r>
          </w:p>
        </w:tc>
        <w:tc>
          <w:tcPr>
            <w:tcW w:w="2340" w:type="dxa"/>
            <w:vAlign w:val="bottom"/>
            <w:shd w:val="clear" w:color="auto" w:fill="CFF0FC"/>
          </w:tcPr>
          <w:p>
            <w:pPr>
              <w:spacing w:after="0"/>
              <w:rPr>
                <w:sz w:val="17"/>
                <w:szCs w:val="17"/>
                <w:color w:val="auto"/>
              </w:rPr>
            </w:pPr>
          </w:p>
        </w:tc>
        <w:tc>
          <w:tcPr>
            <w:tcW w:w="4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(1,214 )</w:t>
            </w:r>
          </w:p>
        </w:tc>
      </w:tr>
      <w:tr>
        <w:trPr>
          <w:trHeight w:val="196"/>
        </w:trPr>
        <w:tc>
          <w:tcPr>
            <w:tcW w:w="55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End of period</w:t>
            </w:r>
          </w:p>
        </w:tc>
        <w:tc>
          <w:tcPr>
            <w:tcW w:w="2340" w:type="dxa"/>
            <w:vAlign w:val="bottom"/>
            <w:tcBorders>
              <w:top w:val="single" w:sz="8" w:color="auto"/>
              <w:bottom w:val="single" w:sz="8" w:color="auto"/>
            </w:tcBorders>
          </w:tcPr>
          <w:p>
            <w:pPr>
              <w:jc w:val="right"/>
              <w:ind w:right="21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60"/>
              <w:spacing w:after="0" w:line="182" w:lineRule="exact"/>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2,614</w:t>
            </w:r>
          </w:p>
        </w:tc>
        <w:tc>
          <w:tcPr>
            <w:tcW w:w="100" w:type="dxa"/>
            <w:vAlign w:val="bottom"/>
            <w:tcBorders>
              <w:top w:val="single" w:sz="8" w:color="CFF0FC"/>
            </w:tcBorders>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-159385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Term Loan</w:t>
      </w:r>
    </w:p>
    <w:p>
      <w:pPr>
        <w:spacing w:after="0" w:line="121" w:lineRule="exact"/>
        <w:rPr>
          <w:sz w:val="20"/>
          <w:szCs w:val="20"/>
          <w:color w:val="auto"/>
        </w:rPr>
      </w:pPr>
    </w:p>
    <w:p>
      <w:pPr>
        <w:ind w:right="200" w:firstLine="374"/>
        <w:spacing w:after="0"/>
        <w:rPr>
          <w:sz w:val="20"/>
          <w:szCs w:val="20"/>
          <w:color w:val="auto"/>
        </w:rPr>
      </w:pPr>
      <w:r>
        <w:rPr>
          <w:rFonts w:ascii="Arial" w:cs="Arial" w:eastAsia="Arial" w:hAnsi="Arial"/>
          <w:sz w:val="18"/>
          <w:szCs w:val="18"/>
          <w:color w:val="auto"/>
        </w:rPr>
        <w:t>In October 2020, the Company entered into a loan facility (“Term Loan”) with an initial draw of $25.0 million. Proceeds were used to help fund the Company’s ongoing operations. As part of the Term Loan, Oxford Finance LLC, (“Oxford Finance”) committed to providing further loans of up to $35.0 million to the Company at its election (or for one specific draw, upon the occurrence of a revenue milestone) during various draw periods in the future, provided the Company is not in default at the time of the additional loan draws. In March 2021, the Company drew an additional $5.0 million from the facility for the purpose of funding ongoing operations. In June 2021, the Company drew an additional $10.0 million from the facility for the purpose of funding ongoing operations.</w:t>
      </w:r>
    </w:p>
    <w:p>
      <w:pPr>
        <w:spacing w:after="0" w:line="108" w:lineRule="exact"/>
        <w:rPr>
          <w:sz w:val="20"/>
          <w:szCs w:val="20"/>
          <w:color w:val="auto"/>
        </w:rPr>
      </w:pPr>
    </w:p>
    <w:p>
      <w:pPr>
        <w:ind w:right="100" w:firstLine="374"/>
        <w:spacing w:after="0" w:line="262" w:lineRule="auto"/>
        <w:rPr>
          <w:sz w:val="20"/>
          <w:szCs w:val="20"/>
          <w:color w:val="auto"/>
        </w:rPr>
      </w:pPr>
      <w:r>
        <w:rPr>
          <w:rFonts w:ascii="Arial" w:cs="Arial" w:eastAsia="Arial" w:hAnsi="Arial"/>
          <w:sz w:val="17"/>
          <w:szCs w:val="17"/>
          <w:color w:val="auto"/>
        </w:rPr>
        <w:t>On May 3, 2022, the Company entered into a Second Amendment (“Second Amendment”) to the Term Loan (as amended through the Second Amendment, the (“Amended Term Loan”). The Amended Term Loan increased the loan and security agreement to $60.0 million, of which $40.0 million was fully funded as of May 3, 2022 from the original term loan. Under the Amended Term Loan, the Company may borrow an additional amount of up to $10.0 million through June 30, 2023, upon satisfaction of the applicable drawdown conditions and achieves sufficient</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ind w:right="140"/>
        <w:spacing w:after="0" w:line="238" w:lineRule="auto"/>
        <w:rPr>
          <w:sz w:val="20"/>
          <w:szCs w:val="20"/>
          <w:color w:val="auto"/>
        </w:rPr>
      </w:pPr>
      <w:r>
        <w:rPr>
          <w:rFonts w:ascii="Arial" w:cs="Arial" w:eastAsia="Arial" w:hAnsi="Arial"/>
          <w:sz w:val="18"/>
          <w:szCs w:val="18"/>
          <w:color w:val="auto"/>
        </w:rPr>
        <w:t>trailing twelve-month sales as provided in the agreement for the measurement period ending March 31, 2023. Subject to the terms and conditions of the Amended Term Loan, the Company may also borrow an additional amount of up to $10.0 million through September 30, 2023, upon satisfaction of the applicable drawdown conditions and achieves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 The Amended Term Loan extends the maturity date of the loan and security agreement, which was due to expire on October 1, 2025, to February 1, 2027. The Company refers to its $60.0 million Amended Term Loan as its credit facility. The Amended Term Loan was recorded as a debt modification.</w:t>
      </w:r>
    </w:p>
    <w:p>
      <w:pPr>
        <w:spacing w:after="0" w:line="126" w:lineRule="exact"/>
        <w:rPr>
          <w:sz w:val="20"/>
          <w:szCs w:val="20"/>
          <w:color w:val="auto"/>
        </w:rPr>
      </w:pPr>
    </w:p>
    <w:p>
      <w:pPr>
        <w:ind w:right="120" w:firstLine="374"/>
        <w:spacing w:after="0" w:line="259" w:lineRule="auto"/>
        <w:rPr>
          <w:sz w:val="20"/>
          <w:szCs w:val="20"/>
          <w:color w:val="auto"/>
        </w:rPr>
      </w:pPr>
      <w:r>
        <w:rPr>
          <w:rFonts w:ascii="Arial" w:cs="Arial" w:eastAsia="Arial" w:hAnsi="Arial"/>
          <w:sz w:val="17"/>
          <w:szCs w:val="17"/>
          <w:color w:val="auto"/>
        </w:rPr>
        <w:t>The Amended Term Loan is secured by substantially all of the Company's personal property other than its intellectual property, but includes any accounts receivable, other amounts owed and any proceeds of intellectual property. The Company also entered into a negative pledge arrangement with the collateral agent and lenders where the Company agreed not to encumber any of its intellectual property. The Amended Term Loan also includes certain customary representations and warranties, affirmative and negative covenants, and events of default, including a financial performance-to-plan covenant that requires the Company to achieve certain minimum net sales, measured on a trailing twelve-month basis.</w:t>
      </w:r>
    </w:p>
    <w:p>
      <w:pPr>
        <w:spacing w:after="0" w:line="93"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The Amended Term Loan requires 35 months of interest-only payments, followed by 22-months of principal and accrued interest payments. If the Company is in compliance with its performance-to-plan covenant through April 1, 2025 and has not provided an IP lien election notice before May 1, 2025, the interest-only period is extended by 12 months, and the amortization period is reduced to ten months. Payments are due on the first day of each month in arrears. All unpaid amounts under the Amended Term Loan mature on February 1, 2027. The Company may elect to prepay the loans under the credit facility at any time in full or in part; however, the Company may only elect to prepay the loans in part once, in an amount not less than $5.0 million. Any amounts prepaid may not be subsequently reborrowed. Under the Amended Term Loan, a final payment (“Final Payment”) will be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of the loans (or, in the case of a partial prepayment, the amount of principal to be prepaid), (b) if the Final Payment is due on or after November 1, 2022 through and including October 31, 2023, four percent (4.00%) of the original principal amount of the loans (or, in the case of a partial prepayment, the amount of principal to be prepaid), and</w:t>
      </w:r>
    </w:p>
    <w:p>
      <w:pPr>
        <w:spacing w:after="0" w:line="2" w:lineRule="exact"/>
        <w:rPr>
          <w:sz w:val="20"/>
          <w:szCs w:val="20"/>
          <w:color w:val="auto"/>
        </w:rPr>
      </w:pPr>
    </w:p>
    <w:p>
      <w:pPr>
        <w:ind w:right="220" w:firstLine="8"/>
        <w:spacing w:after="0" w:line="239"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Final Payment is due on or after November 1, 2023, five percent (5.00%) of the original principal amount of the loans (or, in the case of a partial prepayment, the amount of principal to be prepaid). The Final Payment is being accreted to the carrying value of the debt as a debt premium and interest expense over the life of the loan using the effective interest method.</w:t>
      </w:r>
    </w:p>
    <w:p>
      <w:pPr>
        <w:spacing w:after="0" w:line="122" w:lineRule="exact"/>
        <w:rPr>
          <w:sz w:val="20"/>
          <w:szCs w:val="20"/>
          <w:color w:val="auto"/>
        </w:rPr>
      </w:pPr>
    </w:p>
    <w:p>
      <w:pPr>
        <w:ind w:right="160" w:firstLine="374"/>
        <w:spacing w:after="0" w:line="262" w:lineRule="auto"/>
        <w:rPr>
          <w:sz w:val="20"/>
          <w:szCs w:val="20"/>
          <w:color w:val="auto"/>
        </w:rPr>
      </w:pPr>
      <w:r>
        <w:rPr>
          <w:rFonts w:ascii="Arial" w:cs="Arial" w:eastAsia="Arial" w:hAnsi="Arial"/>
          <w:sz w:val="17"/>
          <w:szCs w:val="17"/>
          <w:color w:val="auto"/>
        </w:rPr>
        <w:t>The Company paid $0.1 million in loan amendment fees and other closing costs that are directly attributable to execution of the Amended Term Loan transaction. These issuance costs are recorded as a discount to the carrying amount of the debt and are being amortized, along with the unaccreted portion of the Final Payment and unamortized debt issuance costs from the original Term Loan, to interest expense over the expected term of the debt using the effective interest method. The loans may be accelerated by Oxford Finance in the event of default.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June 30, 2022 and December 31, 2021, the Company was in compliance with all Amended Term Loan and Term Loan covenants, respectively.</w:t>
      </w:r>
    </w:p>
    <w:p>
      <w:pPr>
        <w:spacing w:after="0" w:line="154" w:lineRule="exact"/>
        <w:rPr>
          <w:sz w:val="20"/>
          <w:szCs w:val="20"/>
          <w:color w:val="auto"/>
        </w:rPr>
      </w:pPr>
    </w:p>
    <w:p>
      <w:pPr>
        <w:ind w:right="400" w:firstLine="374"/>
        <w:spacing w:after="0" w:line="261" w:lineRule="auto"/>
        <w:rPr>
          <w:sz w:val="20"/>
          <w:szCs w:val="20"/>
          <w:color w:val="auto"/>
        </w:rPr>
      </w:pPr>
      <w:r>
        <w:rPr>
          <w:rFonts w:ascii="Arial" w:cs="Arial" w:eastAsia="Arial" w:hAnsi="Arial"/>
          <w:sz w:val="18"/>
          <w:szCs w:val="18"/>
          <w:color w:val="auto"/>
        </w:rPr>
        <w:t>For the three and six months ended June 30, 2022 and 2021 the cash interest paid and effective interest rate on the Amended Term Loan and Term Loan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2680" w:type="dxa"/>
            <w:vAlign w:val="bottom"/>
            <w:gridSpan w:val="6"/>
            <w:vMerge w:val="restart"/>
          </w:tcPr>
          <w:p>
            <w:pPr>
              <w:jc w:val="right"/>
              <w:ind w:right="320"/>
              <w:spacing w:after="0"/>
              <w:rPr>
                <w:sz w:val="20"/>
                <w:szCs w:val="20"/>
                <w:color w:val="auto"/>
              </w:rPr>
            </w:pPr>
            <w:r>
              <w:rPr>
                <w:rFonts w:ascii="Arial" w:cs="Arial" w:eastAsia="Arial" w:hAnsi="Arial"/>
                <w:sz w:val="18"/>
                <w:szCs w:val="18"/>
                <w:b w:val="1"/>
                <w:bCs w:val="1"/>
                <w:color w:val="auto"/>
                <w:w w:val="91"/>
              </w:rPr>
              <w:t>Three Months Ended June 30,</w:t>
            </w:r>
          </w:p>
        </w:tc>
        <w:tc>
          <w:tcPr>
            <w:tcW w:w="28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3"/>
              </w:rPr>
              <w:t>For the Six Months Ended June</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17"/>
                <w:szCs w:val="17"/>
                <w:color w:val="auto"/>
              </w:rPr>
            </w:pPr>
          </w:p>
        </w:tc>
        <w:tc>
          <w:tcPr>
            <w:tcW w:w="2680" w:type="dxa"/>
            <w:vAlign w:val="bottom"/>
            <w:gridSpan w:val="6"/>
            <w:vMerge w:val="continue"/>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1090"/>
              <w:spacing w:after="0" w:line="198" w:lineRule="exact"/>
              <w:rPr>
                <w:sz w:val="20"/>
                <w:szCs w:val="20"/>
                <w:color w:val="auto"/>
              </w:rPr>
            </w:pPr>
            <w:r>
              <w:rPr>
                <w:rFonts w:ascii="Arial" w:cs="Arial" w:eastAsia="Arial" w:hAnsi="Arial"/>
                <w:sz w:val="18"/>
                <w:szCs w:val="18"/>
                <w:b w:val="1"/>
                <w:bCs w:val="1"/>
                <w:color w:val="auto"/>
                <w:w w:val="95"/>
              </w:rPr>
              <w:t>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ind w:left="380"/>
              <w:spacing w:after="0"/>
              <w:rPr>
                <w:sz w:val="20"/>
                <w:szCs w:val="20"/>
                <w:color w:val="auto"/>
              </w:rPr>
            </w:pPr>
            <w:r>
              <w:rPr>
                <w:rFonts w:ascii="Arial" w:cs="Arial" w:eastAsia="Arial" w:hAnsi="Arial"/>
                <w:sz w:val="18"/>
                <w:szCs w:val="18"/>
                <w:color w:val="auto"/>
              </w:rPr>
              <w:t>Cash interest paid</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9.86</w:t>
            </w:r>
          </w:p>
        </w:tc>
        <w:tc>
          <w:tcPr>
            <w:tcW w:w="3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9.25</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9.52</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7"/>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9.25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80"/>
              <w:spacing w:after="0" w:line="202" w:lineRule="exact"/>
              <w:rPr>
                <w:sz w:val="20"/>
                <w:szCs w:val="20"/>
                <w:color w:val="auto"/>
              </w:rPr>
            </w:pPr>
            <w:r>
              <w:rPr>
                <w:rFonts w:ascii="Arial" w:cs="Arial" w:eastAsia="Arial" w:hAnsi="Arial"/>
                <w:sz w:val="18"/>
                <w:szCs w:val="18"/>
                <w:color w:val="auto"/>
              </w:rPr>
              <w:t>Effective interest rate</w:t>
            </w:r>
          </w:p>
        </w:tc>
        <w:tc>
          <w:tcPr>
            <w:tcW w:w="14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11.50 %</w:t>
            </w:r>
          </w:p>
        </w:tc>
        <w:tc>
          <w:tcPr>
            <w:tcW w:w="12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10.90 %</w:t>
            </w:r>
          </w:p>
        </w:tc>
        <w:tc>
          <w:tcPr>
            <w:tcW w:w="12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11.05 %</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1" w:name="page22"/>
    <w:bookmarkEnd w:id="21"/>
    <w:p>
      <w:pPr>
        <w:ind w:left="380"/>
        <w:spacing w:after="0"/>
        <w:rPr>
          <w:sz w:val="20"/>
          <w:szCs w:val="20"/>
          <w:color w:val="auto"/>
        </w:rPr>
      </w:pPr>
      <w:r>
        <w:rPr>
          <w:rFonts w:ascii="Arial" w:cs="Arial" w:eastAsia="Arial" w:hAnsi="Arial"/>
          <w:sz w:val="18"/>
          <w:szCs w:val="18"/>
          <w:color w:val="auto"/>
        </w:rPr>
        <w:t>As of June 30, 2022 future principal payments due under the Amended Term Loan were as follows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2022 (remainder)</w:t>
            </w:r>
          </w:p>
        </w:tc>
        <w:tc>
          <w:tcPr>
            <w:tcW w:w="1620" w:type="dxa"/>
            <w:vAlign w:val="bottom"/>
            <w:shd w:val="clear" w:color="auto" w:fill="CFF0FC"/>
          </w:tcPr>
          <w:p>
            <w:pPr>
              <w:jc w:val="right"/>
              <w:ind w:right="1430"/>
              <w:spacing w:after="0" w:line="202" w:lineRule="exact"/>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2023</w:t>
            </w:r>
          </w:p>
        </w:tc>
        <w:tc>
          <w:tcPr>
            <w:tcW w:w="1620" w:type="dxa"/>
            <w:vAlign w:val="bottom"/>
          </w:tcPr>
          <w:p>
            <w:pPr>
              <w:spacing w:after="0"/>
              <w:rPr>
                <w:sz w:val="17"/>
                <w:szCs w:val="17"/>
                <w:color w:val="auto"/>
              </w:rPr>
            </w:pPr>
          </w:p>
        </w:tc>
        <w:tc>
          <w:tcPr>
            <w:tcW w:w="2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2024</w:t>
            </w:r>
          </w:p>
        </w:tc>
        <w:tc>
          <w:tcPr>
            <w:tcW w:w="162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2025</w:t>
            </w:r>
          </w:p>
        </w:tc>
        <w:tc>
          <w:tcPr>
            <w:tcW w:w="162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16,364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2026</w:t>
            </w:r>
          </w:p>
        </w:tc>
        <w:tc>
          <w:tcPr>
            <w:tcW w:w="162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2027</w:t>
            </w:r>
          </w:p>
        </w:tc>
        <w:tc>
          <w:tcPr>
            <w:tcW w:w="16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2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00"/>
              <w:spacing w:after="0" w:line="162" w:lineRule="exact"/>
              <w:rPr>
                <w:sz w:val="20"/>
                <w:szCs w:val="20"/>
                <w:color w:val="auto"/>
              </w:rPr>
            </w:pPr>
            <w:r>
              <w:rPr>
                <w:rFonts w:ascii="Arial" w:cs="Arial" w:eastAsia="Arial" w:hAnsi="Arial"/>
                <w:sz w:val="18"/>
                <w:szCs w:val="18"/>
                <w:color w:val="auto"/>
              </w:rPr>
              <w:t>Less: unamortized issuance costs</w:t>
            </w:r>
          </w:p>
        </w:tc>
        <w:tc>
          <w:tcPr>
            <w:tcW w:w="1620" w:type="dxa"/>
            <w:vAlign w:val="bottom"/>
          </w:tcPr>
          <w:p>
            <w:pPr>
              <w:spacing w:after="0"/>
              <w:rPr>
                <w:sz w:val="14"/>
                <w:szCs w:val="14"/>
                <w:color w:val="auto"/>
              </w:rPr>
            </w:pPr>
          </w:p>
        </w:tc>
        <w:tc>
          <w:tcPr>
            <w:tcW w:w="2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3"/>
        </w:trPr>
        <w:tc>
          <w:tcPr>
            <w:tcW w:w="7480" w:type="dxa"/>
            <w:vAlign w:val="bottom"/>
          </w:tcPr>
          <w:p>
            <w:pPr>
              <w:ind w:left="240"/>
              <w:spacing w:after="0" w:line="202" w:lineRule="exact"/>
              <w:rPr>
                <w:sz w:val="20"/>
                <w:szCs w:val="20"/>
                <w:color w:val="auto"/>
              </w:rPr>
            </w:pPr>
            <w:r>
              <w:rPr>
                <w:rFonts w:ascii="Arial" w:cs="Arial" w:eastAsia="Arial" w:hAnsi="Arial"/>
                <w:sz w:val="18"/>
                <w:szCs w:val="18"/>
                <w:color w:val="auto"/>
              </w:rPr>
              <w:t>and exit fee</w:t>
            </w:r>
          </w:p>
        </w:tc>
        <w:tc>
          <w:tcPr>
            <w:tcW w:w="162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Term loan, net</w:t>
            </w:r>
          </w:p>
        </w:tc>
        <w:tc>
          <w:tcPr>
            <w:tcW w:w="1620" w:type="dxa"/>
            <w:vAlign w:val="bottom"/>
            <w:tcBorders>
              <w:top w:val="single" w:sz="8" w:color="auto"/>
              <w:bottom w:val="single" w:sz="8" w:color="auto"/>
            </w:tcBorders>
            <w:shd w:val="clear" w:color="auto" w:fill="CFF0FC"/>
          </w:tcPr>
          <w:p>
            <w:pPr>
              <w:jc w:val="right"/>
              <w:ind w:right="143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 Expense</w:t>
      </w:r>
    </w:p>
    <w:p>
      <w:pPr>
        <w:spacing w:after="0" w:line="148"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The Company has three stock-based incentive compensation plans collectively referred to as the Equity Plans. The Company also has an employee stock purchase plan, the 2021 ESPP.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Plan</w:t>
      </w:r>
    </w:p>
    <w:p>
      <w:pPr>
        <w:spacing w:after="0" w:line="104"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The Company’s 2006 Stock Plan was originally adopted by the Company's Board and approved by the Company’s stockholders in 2006. The Company’s 2006 Plan was terminated in 2015 in connection with the adoption of the Company’s 2015 Plan and as a result no new awards may be issued under the 2006 Plan. However, the 2006 Plan will continue to govern the terms and conditions of the outstanding awards previously granted under the 2006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Plan</w:t>
      </w:r>
    </w:p>
    <w:p>
      <w:pPr>
        <w:spacing w:after="0" w:line="104"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The Company’s 2015 Plan was originally adopted by the Company’s Board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Plan</w:t>
      </w:r>
    </w:p>
    <w:p>
      <w:pPr>
        <w:spacing w:after="0" w:line="104"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On July 28, 2021, the Company’s 2021 Plan was adopted and approved by the Company’s Board and stockholders and became effective.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number of shares of the Company’s common stock available for issuance under the 2021 Plan is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being equal to 4,569,530 shares of common stock.</w:t>
      </w:r>
    </w:p>
    <w:p>
      <w:pPr>
        <w:spacing w:after="0" w:line="100"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the Company's common stock; (ii) 4% of the outstanding shares of common stock on the last day of the Company's immediately preceding fiscal year; or (iii) such lesser number of shares of the Company's common stock as the administrator may determine. The 2021 Plan is administered by the Company’s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2021 ESPP</w:t>
      </w:r>
    </w:p>
    <w:p>
      <w:pPr>
        <w:spacing w:after="0" w:line="131" w:lineRule="exact"/>
        <w:rPr>
          <w:sz w:val="20"/>
          <w:szCs w:val="20"/>
          <w:color w:val="auto"/>
        </w:rPr>
      </w:pPr>
    </w:p>
    <w:p>
      <w:pPr>
        <w:ind w:right="740" w:firstLine="374"/>
        <w:spacing w:after="0" w:line="261" w:lineRule="auto"/>
        <w:rPr>
          <w:sz w:val="20"/>
          <w:szCs w:val="20"/>
          <w:color w:val="auto"/>
        </w:rPr>
      </w:pPr>
      <w:r>
        <w:rPr>
          <w:rFonts w:ascii="Arial" w:cs="Arial" w:eastAsia="Arial" w:hAnsi="Arial"/>
          <w:sz w:val="18"/>
          <w:szCs w:val="18"/>
          <w:color w:val="auto"/>
        </w:rPr>
        <w:t>On July 28, 2021, the Company’s Board and stockholders adopted and approved the Company’s 2021 ESPP. There are 711,643 shares of the Company’s common stock available for issuance under the 2021 ESPP.</w:t>
      </w:r>
    </w:p>
    <w:p>
      <w:pPr>
        <w:spacing w:after="0" w:line="103" w:lineRule="exact"/>
        <w:rPr>
          <w:sz w:val="20"/>
          <w:szCs w:val="20"/>
          <w:color w:val="auto"/>
        </w:rPr>
      </w:pPr>
    </w:p>
    <w:p>
      <w:pPr>
        <w:ind w:right="160" w:firstLine="374"/>
        <w:spacing w:after="0" w:line="243" w:lineRule="auto"/>
        <w:rPr>
          <w:sz w:val="20"/>
          <w:szCs w:val="20"/>
          <w:color w:val="auto"/>
        </w:rPr>
      </w:pPr>
      <w:r>
        <w:rPr>
          <w:rFonts w:ascii="Arial" w:cs="Arial" w:eastAsia="Arial" w:hAnsi="Arial"/>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spacing w:after="0" w:line="120" w:lineRule="exact"/>
        <w:rPr>
          <w:sz w:val="20"/>
          <w:szCs w:val="20"/>
          <w:color w:val="auto"/>
        </w:rPr>
      </w:pPr>
    </w:p>
    <w:p>
      <w:pPr>
        <w:jc w:val="both"/>
        <w:ind w:right="60" w:firstLine="374"/>
        <w:spacing w:after="0" w:line="243" w:lineRule="auto"/>
        <w:rPr>
          <w:sz w:val="20"/>
          <w:szCs w:val="20"/>
          <w:color w:val="auto"/>
        </w:rPr>
      </w:pPr>
      <w:r>
        <w:rPr>
          <w:rFonts w:ascii="Arial" w:cs="Arial" w:eastAsia="Arial" w:hAnsi="Arial"/>
          <w:sz w:val="18"/>
          <w:szCs w:val="18"/>
          <w:color w:val="auto"/>
        </w:rPr>
        <w:t>The number of common shares reserved for issuance under the 2021 ESPP are increased automatically on the first day of each fiscal year beginning with the Company's 2022 fiscal year, by a number equal to the least of: (i) 1,452,081 shares; (ii) 1% of the outstanding shares of common stock on the last day of the Company's immediately preceding fiscal year; or (iii) such other amount as the administrator may determine. The 2021 ESPP is administered by the Board.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 pursuant to evergreen increases</w:t>
      </w:r>
    </w:p>
    <w:p>
      <w:pPr>
        <w:spacing w:after="0" w:line="158" w:lineRule="exact"/>
        <w:rPr>
          <w:sz w:val="20"/>
          <w:szCs w:val="20"/>
          <w:color w:val="auto"/>
        </w:rPr>
      </w:pPr>
    </w:p>
    <w:p>
      <w:pPr>
        <w:ind w:right="640" w:firstLine="374"/>
        <w:spacing w:after="0" w:line="261" w:lineRule="auto"/>
        <w:rPr>
          <w:sz w:val="20"/>
          <w:szCs w:val="20"/>
          <w:color w:val="auto"/>
        </w:rPr>
      </w:pPr>
      <w:r>
        <w:rPr>
          <w:rFonts w:ascii="Arial" w:cs="Arial" w:eastAsia="Arial" w:hAnsi="Arial"/>
          <w:sz w:val="18"/>
          <w:szCs w:val="18"/>
          <w:color w:val="auto"/>
        </w:rPr>
        <w:t>On March 8, 2022, the Company filed on a Form S-8 registration statement under the Securities Act to register the offer and sale of 1,094,670 additional shares of common stock under the 2021 Plan and 273,667 shares of common stock under the 2021 ESPP.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 Activities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activities for the six months ended June 30, 2022 is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left="365"/>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 Avg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365"/>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 Options</w:t>
            </w:r>
          </w:p>
        </w:tc>
        <w:tc>
          <w:tcPr>
            <w:tcW w:w="280" w:type="dxa"/>
            <w:vAlign w:val="bottom"/>
            <w:vMerge w:val="restart"/>
          </w:tcPr>
          <w:p>
            <w:pPr>
              <w:spacing w:after="0"/>
              <w:rPr>
                <w:sz w:val="12"/>
                <w:szCs w:val="12"/>
                <w:color w:val="auto"/>
              </w:rPr>
            </w:pPr>
          </w:p>
        </w:tc>
        <w:tc>
          <w:tcPr>
            <w:tcW w:w="1140" w:type="dxa"/>
            <w:vAlign w:val="bottom"/>
          </w:tcPr>
          <w:p>
            <w:pPr>
              <w:jc w:val="center"/>
              <w:ind w:left="365"/>
              <w:spacing w:after="0" w:line="149" w:lineRule="exact"/>
              <w:rPr>
                <w:sz w:val="20"/>
                <w:szCs w:val="20"/>
                <w:color w:val="auto"/>
              </w:rPr>
            </w:pPr>
            <w:r>
              <w:rPr>
                <w:rFonts w:ascii="Arial" w:cs="Arial" w:eastAsia="Arial" w:hAnsi="Arial"/>
                <w:sz w:val="14"/>
                <w:szCs w:val="14"/>
                <w:b w:val="1"/>
                <w:bCs w:val="1"/>
                <w:color w:val="auto"/>
                <w:w w:val="86"/>
              </w:rPr>
              <w:t>Exercise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4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860" w:type="dxa"/>
            <w:vAlign w:val="bottom"/>
            <w:shd w:val="clear" w:color="auto" w:fill="CFF0FC"/>
          </w:tcPr>
          <w:p>
            <w:pPr>
              <w:ind w:left="120"/>
              <w:spacing w:after="0" w:line="146" w:lineRule="exact"/>
              <w:rPr>
                <w:sz w:val="20"/>
                <w:szCs w:val="20"/>
                <w:color w:val="auto"/>
              </w:rPr>
            </w:pPr>
            <w:r>
              <w:rPr>
                <w:rFonts w:ascii="Arial" w:cs="Arial" w:eastAsia="Arial" w:hAnsi="Arial"/>
                <w:sz w:val="16"/>
                <w:szCs w:val="16"/>
                <w:color w:val="auto"/>
              </w:rPr>
              <w:t>Options outstanding as of</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5,754,005</w:t>
            </w:r>
          </w:p>
        </w:tc>
        <w:tc>
          <w:tcPr>
            <w:tcW w:w="28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965"/>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9"/>
              </w:rPr>
              <w:t>11.64</w:t>
            </w:r>
          </w:p>
        </w:tc>
        <w:tc>
          <w:tcPr>
            <w:tcW w:w="19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December 31, 2021</w:t>
            </w:r>
          </w:p>
        </w:tc>
        <w:tc>
          <w:tcPr>
            <w:tcW w:w="146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196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Issued</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782,557</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12.46</w:t>
            </w:r>
          </w:p>
        </w:tc>
        <w:tc>
          <w:tcPr>
            <w:tcW w:w="2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(140,826 )</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4.16</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(83,717 )</w:t>
            </w: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14.69</w:t>
            </w:r>
          </w:p>
        </w:tc>
        <w:tc>
          <w:tcPr>
            <w:tcW w:w="2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Expired</w:t>
            </w: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(88,909 )</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17.07</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860" w:type="dxa"/>
            <w:vAlign w:val="bottom"/>
            <w:shd w:val="clear" w:color="auto" w:fill="CFF0FC"/>
          </w:tcPr>
          <w:p>
            <w:pPr>
              <w:ind w:left="120"/>
              <w:spacing w:after="0" w:line="146" w:lineRule="exact"/>
              <w:rPr>
                <w:sz w:val="20"/>
                <w:szCs w:val="20"/>
                <w:color w:val="auto"/>
              </w:rPr>
            </w:pPr>
            <w:r>
              <w:rPr>
                <w:rFonts w:ascii="Arial" w:cs="Arial" w:eastAsia="Arial" w:hAnsi="Arial"/>
                <w:sz w:val="16"/>
                <w:szCs w:val="16"/>
                <w:color w:val="auto"/>
              </w:rPr>
              <w:t>Options outstanding as of</w:t>
            </w:r>
          </w:p>
        </w:tc>
        <w:tc>
          <w:tcPr>
            <w:tcW w:w="14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6,223,110</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9"/>
              </w:rPr>
              <w:t>11.80</w:t>
            </w:r>
          </w:p>
        </w:tc>
        <w:tc>
          <w:tcPr>
            <w:tcW w:w="19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860" w:type="dxa"/>
            <w:vAlign w:val="bottom"/>
            <w:tcBorders>
              <w:bottom w:val="single" w:sz="8" w:color="CFF0FC"/>
            </w:tcBorders>
            <w:shd w:val="clear" w:color="auto" w:fill="CFF0FC"/>
          </w:tcPr>
          <w:p>
            <w:pPr>
              <w:ind w:left="240"/>
              <w:spacing w:after="0" w:line="138" w:lineRule="exact"/>
              <w:rPr>
                <w:sz w:val="20"/>
                <w:szCs w:val="20"/>
                <w:color w:val="auto"/>
              </w:rPr>
            </w:pPr>
            <w:r>
              <w:rPr>
                <w:rFonts w:ascii="Arial" w:cs="Arial" w:eastAsia="Arial" w:hAnsi="Arial"/>
                <w:sz w:val="16"/>
                <w:szCs w:val="16"/>
                <w:color w:val="auto"/>
              </w:rPr>
              <w:t>June 30, 2022</w:t>
            </w:r>
          </w:p>
        </w:tc>
        <w:tc>
          <w:tcPr>
            <w:tcW w:w="146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vMerge w:val="continue"/>
            <w:shd w:val="clear" w:color="auto" w:fill="CFF0FC"/>
          </w:tcPr>
          <w:p>
            <w:pPr>
              <w:spacing w:after="0"/>
              <w:rPr>
                <w:sz w:val="17"/>
                <w:szCs w:val="17"/>
                <w:color w:val="auto"/>
              </w:rPr>
            </w:pPr>
          </w:p>
        </w:tc>
        <w:tc>
          <w:tcPr>
            <w:tcW w:w="1960" w:type="dxa"/>
            <w:vAlign w:val="bottom"/>
            <w:tcBorders>
              <w:bottom w:val="single" w:sz="8" w:color="CFF0FC"/>
            </w:tcBorders>
            <w:gridSpan w:val="2"/>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860" w:type="dxa"/>
            <w:vAlign w:val="bottom"/>
          </w:tcPr>
          <w:p>
            <w:pPr>
              <w:ind w:left="20"/>
              <w:spacing w:after="0" w:line="169" w:lineRule="exact"/>
              <w:rPr>
                <w:sz w:val="20"/>
                <w:szCs w:val="20"/>
                <w:color w:val="auto"/>
              </w:rPr>
            </w:pPr>
            <w:r>
              <w:rPr>
                <w:rFonts w:ascii="Arial" w:cs="Arial" w:eastAsia="Arial" w:hAnsi="Arial"/>
                <w:sz w:val="16"/>
                <w:szCs w:val="16"/>
                <w:color w:val="auto"/>
              </w:rPr>
              <w:t>Exercisable as of June 30, 2022</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3,515,831</w:t>
            </w:r>
          </w:p>
        </w:tc>
        <w:tc>
          <w:tcPr>
            <w:tcW w:w="280" w:type="dxa"/>
            <w:vAlign w:val="bottom"/>
          </w:tcPr>
          <w:p>
            <w:pPr>
              <w:spacing w:after="0"/>
              <w:rPr>
                <w:sz w:val="14"/>
                <w:szCs w:val="14"/>
                <w:color w:val="auto"/>
              </w:rPr>
            </w:pPr>
          </w:p>
        </w:tc>
        <w:tc>
          <w:tcPr>
            <w:tcW w:w="1140" w:type="dxa"/>
            <w:vAlign w:val="bottom"/>
          </w:tcPr>
          <w:p>
            <w:pPr>
              <w:jc w:val="right"/>
              <w:ind w:right="965"/>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69" w:lineRule="exact"/>
              <w:rPr>
                <w:sz w:val="20"/>
                <w:szCs w:val="20"/>
                <w:color w:val="auto"/>
              </w:rPr>
            </w:pPr>
            <w:r>
              <w:rPr>
                <w:rFonts w:ascii="Arial" w:cs="Arial" w:eastAsia="Arial" w:hAnsi="Arial"/>
                <w:sz w:val="16"/>
                <w:szCs w:val="16"/>
                <w:color w:val="auto"/>
                <w:w w:val="99"/>
              </w:rPr>
              <w:t>10.00</w:t>
            </w:r>
          </w:p>
        </w:tc>
        <w:tc>
          <w:tcPr>
            <w:tcW w:w="19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-153670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non-vested restricted stock unit activities for the six months ended June 30, 2022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center"/>
              <w:ind w:right="213"/>
              <w:spacing w:after="0"/>
              <w:rPr>
                <w:sz w:val="20"/>
                <w:szCs w:val="20"/>
                <w:color w:val="auto"/>
              </w:rPr>
            </w:pPr>
            <w:r>
              <w:rPr>
                <w:rFonts w:ascii="Arial" w:cs="Arial" w:eastAsia="Arial" w:hAnsi="Arial"/>
                <w:sz w:val="19"/>
                <w:szCs w:val="19"/>
                <w:b w:val="1"/>
                <w:bCs w:val="1"/>
                <w:color w:val="auto"/>
                <w:w w:val="88"/>
              </w:rPr>
              <w:t>Weighted</w:t>
            </w:r>
          </w:p>
        </w:tc>
        <w:tc>
          <w:tcPr>
            <w:tcW w:w="100" w:type="dxa"/>
            <w:vAlign w:val="bottom"/>
          </w:tcPr>
          <w:p>
            <w:pPr>
              <w:spacing w:after="0"/>
              <w:rPr>
                <w:sz w:val="19"/>
                <w:szCs w:val="19"/>
                <w:color w:val="auto"/>
              </w:rPr>
            </w:pPr>
          </w:p>
        </w:tc>
      </w:tr>
      <w:tr>
        <w:trPr>
          <w:trHeight w:val="216"/>
        </w:trPr>
        <w:tc>
          <w:tcPr>
            <w:tcW w:w="7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233"/>
              <w:spacing w:after="0" w:line="216" w:lineRule="exact"/>
              <w:rPr>
                <w:sz w:val="20"/>
                <w:szCs w:val="20"/>
                <w:color w:val="auto"/>
              </w:rPr>
            </w:pPr>
            <w:r>
              <w:rPr>
                <w:rFonts w:ascii="Arial" w:cs="Arial" w:eastAsia="Arial" w:hAnsi="Arial"/>
                <w:sz w:val="19"/>
                <w:szCs w:val="19"/>
                <w:b w:val="1"/>
                <w:bCs w:val="1"/>
                <w:color w:val="auto"/>
                <w:w w:val="87"/>
              </w:rPr>
              <w:t>Average</w:t>
            </w:r>
          </w:p>
        </w:tc>
        <w:tc>
          <w:tcPr>
            <w:tcW w:w="100" w:type="dxa"/>
            <w:vAlign w:val="bottom"/>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2140" w:type="dxa"/>
            <w:vAlign w:val="bottom"/>
            <w:gridSpan w:val="2"/>
          </w:tcPr>
          <w:p>
            <w:pPr>
              <w:jc w:val="right"/>
              <w:ind w:right="780"/>
              <w:spacing w:after="0" w:line="216" w:lineRule="exact"/>
              <w:rPr>
                <w:sz w:val="20"/>
                <w:szCs w:val="20"/>
                <w:color w:val="auto"/>
              </w:rPr>
            </w:pPr>
            <w:r>
              <w:rPr>
                <w:rFonts w:ascii="Arial" w:cs="Arial" w:eastAsia="Arial" w:hAnsi="Arial"/>
                <w:sz w:val="19"/>
                <w:szCs w:val="19"/>
                <w:b w:val="1"/>
                <w:bCs w:val="1"/>
                <w:color w:val="auto"/>
              </w:rPr>
              <w:t>Number of</w:t>
            </w:r>
          </w:p>
        </w:tc>
        <w:tc>
          <w:tcPr>
            <w:tcW w:w="300" w:type="dxa"/>
            <w:vAlign w:val="bottom"/>
          </w:tcPr>
          <w:p>
            <w:pPr>
              <w:spacing w:after="0"/>
              <w:rPr>
                <w:sz w:val="18"/>
                <w:szCs w:val="18"/>
                <w:color w:val="auto"/>
              </w:rPr>
            </w:pPr>
          </w:p>
        </w:tc>
        <w:tc>
          <w:tcPr>
            <w:tcW w:w="1620" w:type="dxa"/>
            <w:vAlign w:val="bottom"/>
          </w:tcPr>
          <w:p>
            <w:pPr>
              <w:jc w:val="center"/>
              <w:ind w:right="213"/>
              <w:spacing w:after="0" w:line="216" w:lineRule="exact"/>
              <w:rPr>
                <w:sz w:val="20"/>
                <w:szCs w:val="20"/>
                <w:color w:val="auto"/>
              </w:rPr>
            </w:pPr>
            <w:r>
              <w:rPr>
                <w:rFonts w:ascii="Arial" w:cs="Arial" w:eastAsia="Arial" w:hAnsi="Arial"/>
                <w:sz w:val="19"/>
                <w:szCs w:val="19"/>
                <w:b w:val="1"/>
                <w:bCs w:val="1"/>
                <w:color w:val="auto"/>
                <w:w w:val="94"/>
              </w:rPr>
              <w:t>Grant Date</w:t>
            </w:r>
          </w:p>
        </w:tc>
        <w:tc>
          <w:tcPr>
            <w:tcW w:w="100" w:type="dxa"/>
            <w:vAlign w:val="bottom"/>
          </w:tcPr>
          <w:p>
            <w:pPr>
              <w:spacing w:after="0"/>
              <w:rPr>
                <w:sz w:val="18"/>
                <w:szCs w:val="18"/>
                <w:color w:val="auto"/>
              </w:rPr>
            </w:pPr>
          </w:p>
        </w:tc>
      </w:tr>
      <w:tr>
        <w:trPr>
          <w:trHeight w:val="244"/>
        </w:trPr>
        <w:tc>
          <w:tcPr>
            <w:tcW w:w="7080" w:type="dxa"/>
            <w:vAlign w:val="bottom"/>
          </w:tcPr>
          <w:p>
            <w:pPr>
              <w:spacing w:after="0"/>
              <w:rPr>
                <w:sz w:val="21"/>
                <w:szCs w:val="21"/>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9"/>
                <w:szCs w:val="19"/>
                <w:b w:val="1"/>
                <w:bCs w:val="1"/>
                <w:color w:val="auto"/>
              </w:rPr>
              <w:t>Shares</w:t>
            </w:r>
          </w:p>
        </w:tc>
        <w:tc>
          <w:tcPr>
            <w:tcW w:w="300" w:type="dxa"/>
            <w:vAlign w:val="bottom"/>
          </w:tcPr>
          <w:p>
            <w:pPr>
              <w:spacing w:after="0"/>
              <w:rPr>
                <w:sz w:val="21"/>
                <w:szCs w:val="21"/>
                <w:color w:val="auto"/>
              </w:rPr>
            </w:pPr>
          </w:p>
        </w:tc>
        <w:tc>
          <w:tcPr>
            <w:tcW w:w="1620" w:type="dxa"/>
            <w:vAlign w:val="bottom"/>
          </w:tcPr>
          <w:p>
            <w:pPr>
              <w:jc w:val="center"/>
              <w:ind w:right="233"/>
              <w:spacing w:after="0"/>
              <w:rPr>
                <w:sz w:val="20"/>
                <w:szCs w:val="20"/>
                <w:color w:val="auto"/>
              </w:rPr>
            </w:pPr>
            <w:r>
              <w:rPr>
                <w:rFonts w:ascii="Arial" w:cs="Arial" w:eastAsia="Arial" w:hAnsi="Arial"/>
                <w:sz w:val="19"/>
                <w:szCs w:val="19"/>
                <w:b w:val="1"/>
                <w:bCs w:val="1"/>
                <w:color w:val="auto"/>
                <w:w w:val="94"/>
              </w:rPr>
              <w:t>Fair Value</w:t>
            </w:r>
          </w:p>
        </w:tc>
        <w:tc>
          <w:tcPr>
            <w:tcW w:w="100" w:type="dxa"/>
            <w:vAlign w:val="bottom"/>
          </w:tcPr>
          <w:p>
            <w:pPr>
              <w:spacing w:after="0"/>
              <w:rPr>
                <w:sz w:val="21"/>
                <w:szCs w:val="21"/>
                <w:color w:val="auto"/>
              </w:rPr>
            </w:pPr>
          </w:p>
        </w:tc>
      </w:tr>
      <w:tr>
        <w:trPr>
          <w:trHeight w:val="196"/>
        </w:trPr>
        <w:tc>
          <w:tcPr>
            <w:tcW w:w="708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at December 31, 2021</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640,479</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FF0FC"/>
          </w:tcPr>
          <w:p>
            <w:pPr>
              <w:spacing w:after="0"/>
              <w:rPr>
                <w:sz w:val="16"/>
                <w:szCs w:val="16"/>
                <w:color w:val="auto"/>
              </w:rPr>
            </w:pPr>
          </w:p>
        </w:tc>
      </w:tr>
      <w:tr>
        <w:trPr>
          <w:trHeight w:val="189"/>
        </w:trPr>
        <w:tc>
          <w:tcPr>
            <w:tcW w:w="7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840" w:type="dxa"/>
            <w:vAlign w:val="bottom"/>
          </w:tcPr>
          <w:p>
            <w:pPr>
              <w:jc w:val="right"/>
              <w:spacing w:after="0"/>
              <w:rPr>
                <w:sz w:val="20"/>
                <w:szCs w:val="20"/>
                <w:color w:val="auto"/>
              </w:rPr>
            </w:pPr>
            <w:r>
              <w:rPr>
                <w:rFonts w:ascii="Arial" w:cs="Arial" w:eastAsia="Arial" w:hAnsi="Arial"/>
                <w:sz w:val="16"/>
                <w:szCs w:val="16"/>
                <w:color w:val="auto"/>
              </w:rPr>
              <w:t>80,427</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6"/>
                <w:szCs w:val="16"/>
                <w:color w:val="auto"/>
              </w:rPr>
            </w:pPr>
          </w:p>
        </w:tc>
      </w:tr>
      <w:tr>
        <w:trPr>
          <w:trHeight w:val="189"/>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(104,839 )</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w:t>
            </w:r>
          </w:p>
        </w:tc>
        <w:tc>
          <w:tcPr>
            <w:tcW w:w="100" w:type="dxa"/>
            <w:vAlign w:val="bottom"/>
            <w:shd w:val="clear" w:color="auto" w:fill="CFF0FC"/>
          </w:tcPr>
          <w:p>
            <w:pPr>
              <w:spacing w:after="0"/>
              <w:rPr>
                <w:sz w:val="16"/>
                <w:szCs w:val="16"/>
                <w:color w:val="auto"/>
              </w:rPr>
            </w:pPr>
          </w:p>
        </w:tc>
      </w:tr>
      <w:tr>
        <w:trPr>
          <w:trHeight w:val="189"/>
        </w:trPr>
        <w:tc>
          <w:tcPr>
            <w:tcW w:w="70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2140" w:type="dxa"/>
            <w:vAlign w:val="bottom"/>
            <w:gridSpan w:val="2"/>
          </w:tcPr>
          <w:p>
            <w:pPr>
              <w:jc w:val="right"/>
              <w:ind w:right="240"/>
              <w:spacing w:after="0"/>
              <w:rPr>
                <w:sz w:val="20"/>
                <w:szCs w:val="20"/>
                <w:color w:val="auto"/>
              </w:rPr>
            </w:pPr>
            <w:r>
              <w:rPr>
                <w:rFonts w:ascii="Arial" w:cs="Arial" w:eastAsia="Arial" w:hAnsi="Arial"/>
                <w:sz w:val="16"/>
                <w:szCs w:val="16"/>
                <w:color w:val="auto"/>
              </w:rPr>
              <w:t>(30,619 )</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6"/>
                <w:szCs w:val="16"/>
                <w:color w:val="auto"/>
              </w:rPr>
            </w:pPr>
          </w:p>
        </w:tc>
      </w:tr>
      <w:tr>
        <w:trPr>
          <w:trHeight w:val="223"/>
        </w:trPr>
        <w:tc>
          <w:tcPr>
            <w:tcW w:w="70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Unvested at June 30, 2022</w:t>
            </w:r>
          </w:p>
        </w:tc>
        <w:tc>
          <w:tcPr>
            <w:tcW w:w="1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585,448</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15.14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As of June 30, 2022 and December 31, 2021, the intrinsic value of options vested was $19.1 million and $14.7 million, respectively, and of all options outstanding was $21.3 million and $14.7 million, respectively. During the six months ended June 30, 2022 and 2021, the total cash received from the exercise of stock options was $0.6</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color w:val="auto"/>
        </w:rPr>
        <w:t>million and $1.2 million, respectively. The total fair value less strike price of these options was $1.2 million and $3.1 million, respectively.</w:t>
      </w:r>
    </w:p>
    <w:p>
      <w:pPr>
        <w:spacing w:after="0" w:line="144"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Stock-based compensation expense was classified in the accompanying condensed consolidated statements of operations and comprehensive income (loss)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Three Months Ended June 30,</w:t>
            </w: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792</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1,866</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100" w:type="dxa"/>
            <w:vAlign w:val="bottom"/>
          </w:tcPr>
          <w:p>
            <w:pPr>
              <w:spacing w:after="0"/>
              <w:rPr>
                <w:sz w:val="17"/>
                <w:szCs w:val="17"/>
                <w:color w:val="auto"/>
              </w:rPr>
            </w:pPr>
          </w:p>
        </w:tc>
      </w:tr>
      <w:tr>
        <w:trPr>
          <w:trHeight w:val="203"/>
        </w:trPr>
        <w:tc>
          <w:tcPr>
            <w:tcW w:w="4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2,904</w:t>
            </w:r>
          </w:p>
        </w:tc>
        <w:tc>
          <w:tcPr>
            <w:tcW w:w="78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1,406</w:t>
            </w:r>
          </w:p>
        </w:tc>
        <w:tc>
          <w:tcPr>
            <w:tcW w:w="5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5,553</w:t>
            </w:r>
          </w:p>
        </w:tc>
        <w:tc>
          <w:tcPr>
            <w:tcW w:w="5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2,645</w:t>
            </w:r>
          </w:p>
        </w:tc>
        <w:tc>
          <w:tcPr>
            <w:tcW w:w="10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-159385</wp:posOffset>
            </wp:positionV>
            <wp:extent cx="768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-159385</wp:posOffset>
            </wp:positionV>
            <wp:extent cx="768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color w:val="auto"/>
        </w:rPr>
        <w:t>As of June 30, 2022 and December 31, 2021, there were 2,707,279 and 2,437,649 unvested options, respectively. Total unrecognized expense related to unvested stock options was approximately $21.0 million and $20.1 million as of June 30, 2022 and December 31, 2021, respectively. Amounts are expected to be recognized over a weighted average period of approximately 2.9 and 3.0 years, respectively.</w:t>
      </w:r>
    </w:p>
    <w:p>
      <w:pPr>
        <w:spacing w:after="0" w:line="114" w:lineRule="exact"/>
        <w:rPr>
          <w:sz w:val="20"/>
          <w:szCs w:val="20"/>
          <w:color w:val="auto"/>
        </w:rPr>
      </w:pPr>
    </w:p>
    <w:p>
      <w:pPr>
        <w:jc w:val="both"/>
        <w:ind w:right="300" w:firstLine="374"/>
        <w:spacing w:after="0" w:line="324" w:lineRule="auto"/>
        <w:rPr>
          <w:sz w:val="20"/>
          <w:szCs w:val="20"/>
          <w:color w:val="auto"/>
        </w:rPr>
      </w:pPr>
      <w:r>
        <w:rPr>
          <w:rFonts w:ascii="Arial" w:cs="Arial" w:eastAsia="Arial" w:hAnsi="Arial"/>
          <w:sz w:val="16"/>
          <w:szCs w:val="16"/>
          <w:color w:val="auto"/>
        </w:rPr>
        <w:t>As of June 30, 2022, there was $8.0 million of total unrecognized compensation costs, adjusted for any forfeitures, related to non-vested restricted stock units granted under the 2021 Plan. The unrecognized compensation cost is expected to be recognized over a weighted average period of 2.9 years.</w:t>
      </w:r>
    </w:p>
    <w:p>
      <w:pPr>
        <w:spacing w:after="0" w:line="57"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The following table presents the range and weighted-average assumptions, used in the Black-Scholes option pricing model to determine the fair value of stock options: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23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3680" w:type="dxa"/>
            <w:vAlign w:val="bottom"/>
            <w:gridSpan w:val="3"/>
          </w:tcPr>
          <w:p>
            <w:pPr>
              <w:ind w:left="960"/>
              <w:spacing w:after="0"/>
              <w:rPr>
                <w:sz w:val="20"/>
                <w:szCs w:val="20"/>
                <w:color w:val="auto"/>
              </w:rPr>
            </w:pPr>
            <w:r>
              <w:rPr>
                <w:rFonts w:ascii="Arial" w:cs="Arial" w:eastAsia="Arial" w:hAnsi="Arial"/>
                <w:sz w:val="14"/>
                <w:szCs w:val="14"/>
                <w:b w:val="1"/>
                <w:bCs w:val="1"/>
                <w:color w:val="auto"/>
              </w:rPr>
              <w:t>Six Months Ended June 30,</w:t>
            </w:r>
          </w:p>
        </w:tc>
        <w:tc>
          <w:tcPr>
            <w:tcW w:w="2300" w:type="dxa"/>
            <w:vAlign w:val="bottom"/>
            <w:gridSpan w:val="3"/>
            <w:vMerge w:val="restart"/>
          </w:tcPr>
          <w:p>
            <w:pPr>
              <w:jc w:val="right"/>
              <w:ind w:right="18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380" w:type="dxa"/>
            <w:vAlign w:val="bottom"/>
            <w:tcBorders>
              <w:bottom w:val="single" w:sz="8" w:color="auto"/>
            </w:tcBorders>
            <w:gridSpan w:val="3"/>
            <w:vMerge w:val="continue"/>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2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Range</w:t>
            </w: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800" w:type="dxa"/>
            <w:vAlign w:val="bottom"/>
          </w:tcPr>
          <w:p>
            <w:pPr>
              <w:jc w:val="center"/>
              <w:ind w:left="94"/>
              <w:spacing w:after="0"/>
              <w:rPr>
                <w:sz w:val="20"/>
                <w:szCs w:val="20"/>
                <w:color w:val="auto"/>
              </w:rPr>
            </w:pPr>
            <w:r>
              <w:rPr>
                <w:rFonts w:ascii="Arial" w:cs="Arial" w:eastAsia="Arial" w:hAnsi="Arial"/>
                <w:sz w:val="14"/>
                <w:szCs w:val="14"/>
                <w:b w:val="1"/>
                <w:bCs w:val="1"/>
                <w:color w:val="auto"/>
                <w:w w:val="88"/>
              </w:rPr>
              <w:t>Range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19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62.4% to 63.4%</w:t>
            </w: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center"/>
              <w:ind w:right="175"/>
              <w:spacing w:after="0" w:line="196" w:lineRule="exact"/>
              <w:rPr>
                <w:sz w:val="20"/>
                <w:szCs w:val="20"/>
                <w:color w:val="auto"/>
              </w:rPr>
            </w:pPr>
            <w:r>
              <w:rPr>
                <w:rFonts w:ascii="Arial" w:cs="Arial" w:eastAsia="Arial" w:hAnsi="Arial"/>
                <w:sz w:val="18"/>
                <w:szCs w:val="18"/>
                <w:color w:val="auto"/>
                <w:w w:val="90"/>
              </w:rPr>
              <w:t>62.7%</w:t>
            </w:r>
          </w:p>
        </w:tc>
        <w:tc>
          <w:tcPr>
            <w:tcW w:w="160" w:type="dxa"/>
            <w:vAlign w:val="bottom"/>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center"/>
              <w:ind w:left="74"/>
              <w:spacing w:after="0" w:line="196" w:lineRule="exact"/>
              <w:rPr>
                <w:sz w:val="20"/>
                <w:szCs w:val="20"/>
                <w:color w:val="auto"/>
              </w:rPr>
            </w:pPr>
            <w:r>
              <w:rPr>
                <w:rFonts w:ascii="Arial" w:cs="Arial" w:eastAsia="Arial" w:hAnsi="Arial"/>
                <w:sz w:val="18"/>
                <w:szCs w:val="18"/>
                <w:color w:val="auto"/>
                <w:w w:val="91"/>
              </w:rPr>
              <w:t>62.3% to 63.7%</w:t>
            </w:r>
          </w:p>
        </w:tc>
        <w:tc>
          <w:tcPr>
            <w:tcW w:w="1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3"/>
              </w:rPr>
              <w:t>63.6%</w:t>
            </w: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23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1"/>
              </w:rPr>
              <w:t>2.0% to 3.0%</w:t>
            </w:r>
          </w:p>
        </w:tc>
        <w:tc>
          <w:tcPr>
            <w:tcW w:w="1720" w:type="dxa"/>
            <w:vAlign w:val="bottom"/>
          </w:tcPr>
          <w:p>
            <w:pPr>
              <w:jc w:val="center"/>
              <w:ind w:right="175"/>
              <w:spacing w:after="0" w:line="202" w:lineRule="exact"/>
              <w:rPr>
                <w:sz w:val="20"/>
                <w:szCs w:val="20"/>
                <w:color w:val="auto"/>
              </w:rPr>
            </w:pPr>
            <w:r>
              <w:rPr>
                <w:rFonts w:ascii="Arial" w:cs="Arial" w:eastAsia="Arial" w:hAnsi="Arial"/>
                <w:sz w:val="18"/>
                <w:szCs w:val="18"/>
                <w:color w:val="auto"/>
                <w:w w:val="92"/>
              </w:rPr>
              <w:t>2.2%</w:t>
            </w:r>
          </w:p>
        </w:tc>
        <w:tc>
          <w:tcPr>
            <w:tcW w:w="160" w:type="dxa"/>
            <w:vAlign w:val="bottom"/>
          </w:tcPr>
          <w:p>
            <w:pPr>
              <w:spacing w:after="0"/>
              <w:rPr>
                <w:sz w:val="17"/>
                <w:szCs w:val="17"/>
                <w:color w:val="auto"/>
              </w:rPr>
            </w:pPr>
          </w:p>
        </w:tc>
        <w:tc>
          <w:tcPr>
            <w:tcW w:w="1800" w:type="dxa"/>
            <w:vAlign w:val="bottom"/>
          </w:tcPr>
          <w:p>
            <w:pPr>
              <w:jc w:val="center"/>
              <w:ind w:left="94"/>
              <w:spacing w:after="0" w:line="202" w:lineRule="exact"/>
              <w:rPr>
                <w:sz w:val="20"/>
                <w:szCs w:val="20"/>
                <w:color w:val="auto"/>
              </w:rPr>
            </w:pPr>
            <w:r>
              <w:rPr>
                <w:rFonts w:ascii="Arial" w:cs="Arial" w:eastAsia="Arial" w:hAnsi="Arial"/>
                <w:sz w:val="18"/>
                <w:szCs w:val="18"/>
                <w:color w:val="auto"/>
                <w:w w:val="91"/>
              </w:rPr>
              <w:t>0.6% to 1.6%</w:t>
            </w:r>
          </w:p>
        </w:tc>
        <w:tc>
          <w:tcPr>
            <w:tcW w:w="2300" w:type="dxa"/>
            <w:vAlign w:val="bottom"/>
            <w:gridSpan w:val="3"/>
          </w:tcPr>
          <w:p>
            <w:pPr>
              <w:jc w:val="center"/>
              <w:ind w:left="255"/>
              <w:spacing w:after="0" w:line="202" w:lineRule="exact"/>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03"/>
        </w:trPr>
        <w:tc>
          <w:tcPr>
            <w:tcW w:w="2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life (in years)</w:t>
            </w:r>
          </w:p>
        </w:tc>
        <w:tc>
          <w:tcPr>
            <w:tcW w:w="2380" w:type="dxa"/>
            <w:vAlign w:val="bottom"/>
            <w:gridSpan w:val="3"/>
            <w:shd w:val="clear" w:color="auto" w:fill="CFF0FC"/>
          </w:tcPr>
          <w:p>
            <w:pPr>
              <w:jc w:val="center"/>
              <w:ind w:right="420"/>
              <w:spacing w:after="0" w:line="202" w:lineRule="exact"/>
              <w:rPr>
                <w:sz w:val="20"/>
                <w:szCs w:val="20"/>
                <w:color w:val="auto"/>
              </w:rPr>
            </w:pPr>
            <w:r>
              <w:rPr>
                <w:rFonts w:ascii="Arial" w:cs="Arial" w:eastAsia="Arial" w:hAnsi="Arial"/>
                <w:sz w:val="18"/>
                <w:szCs w:val="18"/>
                <w:color w:val="auto"/>
                <w:w w:val="89"/>
              </w:rPr>
              <w:t>6.0 to 10.0 years</w:t>
            </w:r>
          </w:p>
        </w:tc>
        <w:tc>
          <w:tcPr>
            <w:tcW w:w="1720" w:type="dxa"/>
            <w:vAlign w:val="bottom"/>
            <w:shd w:val="clear" w:color="auto" w:fill="CFF0FC"/>
          </w:tcPr>
          <w:p>
            <w:pPr>
              <w:jc w:val="center"/>
              <w:ind w:right="155"/>
              <w:spacing w:after="0" w:line="202" w:lineRule="exact"/>
              <w:rPr>
                <w:sz w:val="20"/>
                <w:szCs w:val="20"/>
                <w:color w:val="auto"/>
              </w:rPr>
            </w:pPr>
            <w:r>
              <w:rPr>
                <w:rFonts w:ascii="Arial" w:cs="Arial" w:eastAsia="Arial" w:hAnsi="Arial"/>
                <w:sz w:val="18"/>
                <w:szCs w:val="18"/>
                <w:color w:val="auto"/>
                <w:w w:val="86"/>
              </w:rPr>
              <w:t>6.1 years</w:t>
            </w:r>
          </w:p>
        </w:tc>
        <w:tc>
          <w:tcPr>
            <w:tcW w:w="1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ind w:left="94"/>
              <w:spacing w:after="0" w:line="202" w:lineRule="exact"/>
              <w:rPr>
                <w:sz w:val="20"/>
                <w:szCs w:val="20"/>
                <w:color w:val="auto"/>
              </w:rPr>
            </w:pPr>
            <w:r>
              <w:rPr>
                <w:rFonts w:ascii="Arial" w:cs="Arial" w:eastAsia="Arial" w:hAnsi="Arial"/>
                <w:sz w:val="18"/>
                <w:szCs w:val="18"/>
                <w:color w:val="auto"/>
                <w:w w:val="89"/>
              </w:rPr>
              <w:t>5.52 to 10.00 years</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7"/>
              </w:rPr>
              <w:t>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center"/>
              <w:ind w:right="175"/>
              <w:spacing w:after="0" w:line="202" w:lineRule="exact"/>
              <w:rPr>
                <w:sz w:val="20"/>
                <w:szCs w:val="20"/>
                <w:color w:val="auto"/>
              </w:rPr>
            </w:pPr>
            <w:r>
              <w:rPr>
                <w:rFonts w:ascii="Arial" w:cs="Arial" w:eastAsia="Arial" w:hAnsi="Arial"/>
                <w:sz w:val="18"/>
                <w:szCs w:val="18"/>
                <w:color w:val="auto"/>
                <w:w w:val="92"/>
              </w:rPr>
              <w:t>0.0%</w:t>
            </w:r>
          </w:p>
        </w:tc>
        <w:tc>
          <w:tcPr>
            <w:tcW w:w="196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92"/>
              </w:rPr>
              <w:t>0.0%</w:t>
            </w:r>
          </w:p>
        </w:tc>
        <w:tc>
          <w:tcPr>
            <w:tcW w:w="2300" w:type="dxa"/>
            <w:vAlign w:val="bottom"/>
            <w:gridSpan w:val="3"/>
          </w:tcPr>
          <w:p>
            <w:pPr>
              <w:jc w:val="center"/>
              <w:ind w:left="255"/>
              <w:spacing w:after="0" w:line="202" w:lineRule="exact"/>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03"/>
        </w:trPr>
        <w:tc>
          <w:tcPr>
            <w:tcW w:w="2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Grant date fair value</w:t>
            </w:r>
          </w:p>
        </w:tc>
        <w:tc>
          <w:tcPr>
            <w:tcW w:w="2380" w:type="dxa"/>
            <w:vAlign w:val="bottom"/>
            <w:gridSpan w:val="3"/>
            <w:shd w:val="clear" w:color="auto" w:fill="CFF0FC"/>
          </w:tcPr>
          <w:p>
            <w:pPr>
              <w:jc w:val="center"/>
              <w:ind w:right="400"/>
              <w:spacing w:after="0" w:line="202" w:lineRule="exact"/>
              <w:rPr>
                <w:sz w:val="20"/>
                <w:szCs w:val="20"/>
                <w:color w:val="auto"/>
              </w:rPr>
            </w:pPr>
            <w:r>
              <w:rPr>
                <w:rFonts w:ascii="Arial" w:cs="Arial" w:eastAsia="Arial" w:hAnsi="Arial"/>
                <w:sz w:val="18"/>
                <w:szCs w:val="18"/>
                <w:color w:val="auto"/>
                <w:w w:val="90"/>
              </w:rPr>
              <w:t>$10.74 to $12.85</w:t>
            </w:r>
          </w:p>
        </w:tc>
        <w:tc>
          <w:tcPr>
            <w:tcW w:w="1720" w:type="dxa"/>
            <w:vAlign w:val="bottom"/>
            <w:shd w:val="clear" w:color="auto" w:fill="CFF0FC"/>
          </w:tcPr>
          <w:p>
            <w:pPr>
              <w:jc w:val="center"/>
              <w:ind w:right="175"/>
              <w:spacing w:after="0" w:line="202" w:lineRule="exact"/>
              <w:rPr>
                <w:sz w:val="20"/>
                <w:szCs w:val="20"/>
                <w:color w:val="auto"/>
              </w:rPr>
            </w:pPr>
            <w:r>
              <w:rPr>
                <w:rFonts w:ascii="Arial" w:cs="Arial" w:eastAsia="Arial" w:hAnsi="Arial"/>
                <w:sz w:val="18"/>
                <w:szCs w:val="18"/>
                <w:color w:val="auto"/>
                <w:w w:val="90"/>
              </w:rPr>
              <w:t>$12.32</w:t>
            </w:r>
          </w:p>
        </w:tc>
        <w:tc>
          <w:tcPr>
            <w:tcW w:w="1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ind w:left="94"/>
              <w:spacing w:after="0" w:line="202" w:lineRule="exact"/>
              <w:rPr>
                <w:sz w:val="20"/>
                <w:szCs w:val="20"/>
                <w:color w:val="auto"/>
              </w:rPr>
            </w:pPr>
            <w:r>
              <w:rPr>
                <w:rFonts w:ascii="Arial" w:cs="Arial" w:eastAsia="Arial" w:hAnsi="Arial"/>
                <w:sz w:val="18"/>
                <w:szCs w:val="18"/>
                <w:color w:val="auto"/>
                <w:w w:val="90"/>
              </w:rPr>
              <w:t>$15.60 to $19.94</w:t>
            </w:r>
          </w:p>
        </w:tc>
        <w:tc>
          <w:tcPr>
            <w:tcW w:w="2300" w:type="dxa"/>
            <w:vAlign w:val="bottom"/>
            <w:gridSpan w:val="3"/>
            <w:shd w:val="clear" w:color="auto" w:fill="CFF0FC"/>
          </w:tcPr>
          <w:p>
            <w:pPr>
              <w:jc w:val="center"/>
              <w:ind w:left="255"/>
              <w:spacing w:after="0" w:line="202" w:lineRule="exact"/>
              <w:rPr>
                <w:sz w:val="20"/>
                <w:szCs w:val="20"/>
                <w:color w:val="auto"/>
              </w:rPr>
            </w:pPr>
            <w:r>
              <w:rPr>
                <w:rFonts w:ascii="Arial" w:cs="Arial" w:eastAsia="Arial" w:hAnsi="Arial"/>
                <w:sz w:val="18"/>
                <w:szCs w:val="18"/>
                <w:color w:val="auto"/>
                <w:w w:val="87"/>
              </w:rPr>
              <w:t>$15.64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share of common stock is entitled to one vote. Common stock reserved for future issuance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June 30, 2022</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December 31, 2021</w:t>
            </w:r>
          </w:p>
        </w:tc>
        <w:tc>
          <w:tcPr>
            <w:tcW w:w="100" w:type="dxa"/>
            <w:vAlign w:val="bottom"/>
          </w:tcPr>
          <w:p>
            <w:pPr>
              <w:spacing w:after="0"/>
              <w:rPr>
                <w:sz w:val="19"/>
                <w:szCs w:val="19"/>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issued and outstanding under the Equity Plans</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6,223,110</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5,754,005</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585,448</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640,479</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711,643</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484,027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82" w:lineRule="exact"/>
              <w:rPr>
                <w:sz w:val="20"/>
                <w:szCs w:val="20"/>
                <w:color w:val="auto"/>
              </w:rPr>
            </w:pPr>
            <w:r>
              <w:rPr>
                <w:rFonts w:ascii="Arial" w:cs="Arial" w:eastAsia="Arial" w:hAnsi="Arial"/>
                <w:sz w:val="18"/>
                <w:szCs w:val="18"/>
                <w:color w:val="auto"/>
              </w:rPr>
              <w:t>Total shares of common stock reserved</w:t>
            </w:r>
          </w:p>
        </w:tc>
        <w:tc>
          <w:tcPr>
            <w:tcW w:w="1620" w:type="dxa"/>
            <w:vAlign w:val="bottom"/>
          </w:tcPr>
          <w:p>
            <w:pPr>
              <w:jc w:val="right"/>
              <w:spacing w:after="0" w:line="182" w:lineRule="exact"/>
              <w:rPr>
                <w:sz w:val="20"/>
                <w:szCs w:val="20"/>
                <w:color w:val="auto"/>
              </w:rPr>
            </w:pPr>
            <w:r>
              <w:rPr>
                <w:rFonts w:ascii="Arial" w:cs="Arial" w:eastAsia="Arial" w:hAnsi="Arial"/>
                <w:sz w:val="18"/>
                <w:szCs w:val="18"/>
                <w:color w:val="auto"/>
              </w:rPr>
              <w:t>7,520,201</w:t>
            </w:r>
          </w:p>
        </w:tc>
        <w:tc>
          <w:tcPr>
            <w:tcW w:w="1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6,878,511</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-159385</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On January 3, 2022, the Board approved the issuance of 19,196 restricted stock units to a non-employee director. The award will vest over three years of service.</w:t>
      </w:r>
    </w:p>
    <w:p>
      <w:pPr>
        <w:spacing w:after="0" w:line="103" w:lineRule="exact"/>
        <w:rPr>
          <w:sz w:val="20"/>
          <w:szCs w:val="20"/>
          <w:color w:val="auto"/>
        </w:rPr>
      </w:pPr>
    </w:p>
    <w:p>
      <w:pPr>
        <w:ind w:right="540" w:firstLine="374"/>
        <w:spacing w:after="0" w:line="261" w:lineRule="auto"/>
        <w:rPr>
          <w:sz w:val="20"/>
          <w:szCs w:val="20"/>
          <w:color w:val="auto"/>
        </w:rPr>
      </w:pPr>
      <w:r>
        <w:rPr>
          <w:rFonts w:ascii="Arial" w:cs="Arial" w:eastAsia="Arial" w:hAnsi="Arial"/>
          <w:sz w:val="18"/>
          <w:szCs w:val="18"/>
          <w:color w:val="auto"/>
        </w:rPr>
        <w:t>On June 2, 2022, the Company issued automatic annual awards of 61,231 restricted stock units to seven non-employee directors related to their continued service on the Board. The awards will vest over one year of service.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21"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The Company has operating and finance leases for facilities and certain equipment. Leases with an initial term of 12 months or less are not recorded on the condensed consolidated balance sheets. Lease expense for operating</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ind w:right="380"/>
        <w:spacing w:after="0" w:line="261" w:lineRule="auto"/>
        <w:rPr>
          <w:sz w:val="20"/>
          <w:szCs w:val="20"/>
          <w:color w:val="auto"/>
        </w:rPr>
      </w:pPr>
      <w:r>
        <w:rPr>
          <w:rFonts w:ascii="Arial" w:cs="Arial" w:eastAsia="Arial" w:hAnsi="Arial"/>
          <w:sz w:val="18"/>
          <w:szCs w:val="18"/>
          <w:color w:val="auto"/>
        </w:rPr>
        <w:t>leases is recognized on a straight-line basis over the lease term. The Company does not combine lease and non-lease components in the recognition of lease expense.</w:t>
      </w:r>
    </w:p>
    <w:p>
      <w:pPr>
        <w:spacing w:after="0" w:line="103"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As of June 30, 2022 the Company held four leases for office, manufacturing and warehouse facilities in Aliso Viejo, California. The four leases are for approximately 121,000 square feet in the aggregate and expire between August 31, 2024 and January 31, 2026. For one of the facilities operating leases, the lessor provided $900,000 in tenant allowances.</w:t>
      </w:r>
    </w:p>
    <w:p>
      <w:pPr>
        <w:spacing w:after="0" w:line="101" w:lineRule="exact"/>
        <w:rPr>
          <w:sz w:val="20"/>
          <w:szCs w:val="20"/>
          <w:color w:val="auto"/>
        </w:rPr>
      </w:pPr>
    </w:p>
    <w:p>
      <w:pPr>
        <w:ind w:right="20" w:firstLine="374"/>
        <w:spacing w:after="0" w:line="291" w:lineRule="auto"/>
        <w:rPr>
          <w:sz w:val="20"/>
          <w:szCs w:val="20"/>
          <w:color w:val="auto"/>
        </w:rPr>
      </w:pPr>
      <w:r>
        <w:rPr>
          <w:rFonts w:ascii="Arial" w:cs="Arial" w:eastAsia="Arial" w:hAnsi="Arial"/>
          <w:sz w:val="17"/>
          <w:szCs w:val="17"/>
          <w:color w:val="auto"/>
        </w:rPr>
        <w:t>On April 4, 2022, the Company entered into a thirty-four-month sublease agreement for a portion of the 5 Columbia Building, in Aliso Viejo, CA. The sublease commencement date was June 13, 2022 and will expire on March 31, 2025. The base rent receivable is $11,410 per month.</w:t>
      </w:r>
    </w:p>
    <w:p>
      <w:pPr>
        <w:spacing w:after="0" w:line="79" w:lineRule="exact"/>
        <w:rPr>
          <w:sz w:val="20"/>
          <w:szCs w:val="20"/>
          <w:color w:val="auto"/>
        </w:rPr>
      </w:pPr>
    </w:p>
    <w:p>
      <w:pPr>
        <w:ind w:right="420" w:firstLine="374"/>
        <w:spacing w:after="0" w:line="261" w:lineRule="auto"/>
        <w:rPr>
          <w:sz w:val="20"/>
          <w:szCs w:val="20"/>
          <w:color w:val="auto"/>
        </w:rPr>
      </w:pPr>
      <w:r>
        <w:rPr>
          <w:rFonts w:ascii="Arial" w:cs="Arial" w:eastAsia="Arial" w:hAnsi="Arial"/>
          <w:sz w:val="18"/>
          <w:szCs w:val="18"/>
          <w:color w:val="auto"/>
        </w:rPr>
        <w:t>The following table presents the lease balances within the condensed consolidated balance sheets as of June 30, 2022 and December 31, 2021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r>
      <w:tr>
        <w:trPr>
          <w:trHeight w:val="221"/>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Classification</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32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w:t>
            </w:r>
          </w:p>
        </w:tc>
        <w:tc>
          <w:tcPr>
            <w:tcW w:w="180" w:type="dxa"/>
            <w:vAlign w:val="bottom"/>
            <w:shd w:val="clear" w:color="auto" w:fill="CFF0FC"/>
          </w:tcPr>
          <w:p>
            <w:pPr>
              <w:spacing w:after="0"/>
              <w:rPr>
                <w:sz w:val="17"/>
                <w:szCs w:val="17"/>
                <w:color w:val="auto"/>
              </w:rPr>
            </w:pPr>
          </w:p>
        </w:tc>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 right-of-use assets</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4,704</w:t>
            </w:r>
          </w:p>
        </w:tc>
        <w:tc>
          <w:tcPr>
            <w:tcW w:w="5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Finance</w:t>
            </w:r>
          </w:p>
        </w:tc>
        <w:tc>
          <w:tcPr>
            <w:tcW w:w="180" w:type="dxa"/>
            <w:vAlign w:val="bottom"/>
          </w:tcPr>
          <w:p>
            <w:pPr>
              <w:spacing w:after="0"/>
              <w:rPr>
                <w:sz w:val="17"/>
                <w:szCs w:val="17"/>
                <w:color w:val="auto"/>
              </w:rPr>
            </w:pPr>
          </w:p>
        </w:tc>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r>
      <w:tr>
        <w:trPr>
          <w:trHeight w:val="236"/>
        </w:trPr>
        <w:tc>
          <w:tcPr>
            <w:tcW w:w="3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assets</w:t>
            </w:r>
          </w:p>
        </w:tc>
        <w:tc>
          <w:tcPr>
            <w:tcW w:w="180" w:type="dxa"/>
            <w:vAlign w:val="bottom"/>
            <w:tcBorders>
              <w:bottom w:val="single" w:sz="8" w:color="CFF0FC"/>
            </w:tcBorders>
            <w:shd w:val="clear" w:color="auto" w:fill="CFF0FC"/>
          </w:tcPr>
          <w:p>
            <w:pPr>
              <w:spacing w:after="0"/>
              <w:rPr>
                <w:sz w:val="20"/>
                <w:szCs w:val="20"/>
                <w:color w:val="auto"/>
              </w:rPr>
            </w:pPr>
          </w:p>
        </w:tc>
        <w:tc>
          <w:tcPr>
            <w:tcW w:w="39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4,969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32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17"/>
                <w:szCs w:val="17"/>
                <w:color w:val="auto"/>
              </w:rPr>
            </w:pPr>
          </w:p>
        </w:tc>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1,716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w:t>
            </w:r>
          </w:p>
        </w:tc>
        <w:tc>
          <w:tcPr>
            <w:tcW w:w="180" w:type="dxa"/>
            <w:vAlign w:val="bottom"/>
            <w:shd w:val="clear" w:color="auto" w:fill="CFF0FC"/>
          </w:tcPr>
          <w:p>
            <w:pPr>
              <w:spacing w:after="0"/>
              <w:rPr>
                <w:sz w:val="17"/>
                <w:szCs w:val="17"/>
                <w:color w:val="auto"/>
              </w:rPr>
            </w:pPr>
          </w:p>
        </w:tc>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Noncurrent</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w:t>
            </w:r>
          </w:p>
        </w:tc>
        <w:tc>
          <w:tcPr>
            <w:tcW w:w="180" w:type="dxa"/>
            <w:vAlign w:val="bottom"/>
            <w:shd w:val="clear" w:color="auto" w:fill="CFF0FC"/>
          </w:tcPr>
          <w:p>
            <w:pPr>
              <w:spacing w:after="0"/>
              <w:rPr>
                <w:sz w:val="17"/>
                <w:szCs w:val="17"/>
                <w:color w:val="auto"/>
              </w:rPr>
            </w:pPr>
          </w:p>
        </w:tc>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lease liabilities</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3,744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3,625</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Finance</w:t>
            </w:r>
          </w:p>
        </w:tc>
        <w:tc>
          <w:tcPr>
            <w:tcW w:w="180" w:type="dxa"/>
            <w:vAlign w:val="bottom"/>
          </w:tcPr>
          <w:p>
            <w:pPr>
              <w:spacing w:after="0"/>
              <w:rPr>
                <w:sz w:val="17"/>
                <w:szCs w:val="17"/>
                <w:color w:val="auto"/>
              </w:rPr>
            </w:pPr>
          </w:p>
        </w:tc>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r>
      <w:tr>
        <w:trPr>
          <w:trHeight w:val="236"/>
        </w:trPr>
        <w:tc>
          <w:tcPr>
            <w:tcW w:w="3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0"/>
                <w:szCs w:val="20"/>
                <w:color w:val="auto"/>
              </w:rPr>
            </w:pPr>
          </w:p>
        </w:tc>
        <w:tc>
          <w:tcPr>
            <w:tcW w:w="39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3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5,693</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5,171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-1087755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-1071245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three and six months ended June 30, 2022 and 2021, the components of operating and finance lease expenses were as follows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 Cost</w:t>
            </w:r>
          </w:p>
        </w:tc>
        <w:tc>
          <w:tcPr>
            <w:tcW w:w="160" w:type="dxa"/>
            <w:vAlign w:val="bottom"/>
          </w:tcPr>
          <w:p>
            <w:pPr>
              <w:spacing w:after="0"/>
              <w:rPr>
                <w:sz w:val="19"/>
                <w:szCs w:val="19"/>
                <w:color w:val="auto"/>
              </w:rPr>
            </w:pPr>
          </w:p>
        </w:tc>
        <w:tc>
          <w:tcPr>
            <w:tcW w:w="3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vMerge w:val="restart"/>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Three Months Ended June 30,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60" w:type="dxa"/>
            <w:vAlign w:val="bottom"/>
          </w:tcPr>
          <w:p>
            <w:pPr>
              <w:spacing w:after="0"/>
              <w:rPr>
                <w:sz w:val="17"/>
                <w:szCs w:val="17"/>
                <w:color w:val="auto"/>
              </w:rPr>
            </w:pPr>
          </w:p>
        </w:tc>
        <w:tc>
          <w:tcPr>
            <w:tcW w:w="3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60" w:type="dxa"/>
            <w:vAlign w:val="bottom"/>
            <w:shd w:val="clear" w:color="auto" w:fill="CFF0FC"/>
          </w:tcPr>
          <w:p>
            <w:pPr>
              <w:spacing w:after="0"/>
              <w:rPr>
                <w:sz w:val="17"/>
                <w:szCs w:val="17"/>
                <w:color w:val="auto"/>
              </w:rPr>
            </w:pPr>
          </w:p>
        </w:tc>
        <w:tc>
          <w:tcPr>
            <w:tcW w:w="36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20"/>
                <w:szCs w:val="20"/>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the Company’s operating and finance lease liabilities as of June 30, 2022 were as follows (in thousands):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Operating</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Finance</w:t>
            </w:r>
          </w:p>
        </w:tc>
      </w:tr>
      <w:tr>
        <w:trPr>
          <w:trHeight w:val="221"/>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Leases</w:t>
            </w:r>
          </w:p>
        </w:tc>
      </w:tr>
      <w:tr>
        <w:trPr>
          <w:trHeight w:val="196"/>
        </w:trPr>
        <w:tc>
          <w:tcPr>
            <w:tcW w:w="7360" w:type="dxa"/>
            <w:vAlign w:val="bottom"/>
            <w:tcBorders>
              <w:top w:val="single" w:sz="8" w:color="auto"/>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2022 (remainder)</w:t>
            </w:r>
          </w:p>
        </w:tc>
        <w:tc>
          <w:tcPr>
            <w:tcW w:w="18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1,024</w:t>
            </w:r>
          </w:p>
        </w:tc>
        <w:tc>
          <w:tcPr>
            <w:tcW w:w="2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380"/>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2,058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7"/>
                <w:szCs w:val="17"/>
                <w:color w:val="auto"/>
              </w:rPr>
            </w:pPr>
          </w:p>
        </w:tc>
      </w:tr>
      <w:tr>
        <w:trPr>
          <w:trHeight w:val="203"/>
        </w:trPr>
        <w:tc>
          <w:tcPr>
            <w:tcW w:w="73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1,788</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380"/>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1,002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73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tcPr>
          <w:p>
            <w:pPr>
              <w:ind w:left="380"/>
              <w:spacing w:after="0" w:line="202" w:lineRule="exact"/>
              <w:rPr>
                <w:sz w:val="20"/>
                <w:szCs w:val="20"/>
                <w:color w:val="auto"/>
              </w:rPr>
            </w:pPr>
            <w:r>
              <w:rPr>
                <w:rFonts w:ascii="Arial" w:cs="Arial" w:eastAsia="Arial" w:hAnsi="Arial"/>
                <w:sz w:val="18"/>
                <w:szCs w:val="18"/>
                <w:color w:val="auto"/>
              </w:rPr>
              <w:t>2027</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5,952</w:t>
            </w:r>
          </w:p>
        </w:tc>
        <w:tc>
          <w:tcPr>
            <w:tcW w:w="2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(492 )</w:t>
            </w:r>
          </w:p>
        </w:tc>
        <w:tc>
          <w:tcPr>
            <w:tcW w:w="3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(23 )</w:t>
            </w:r>
          </w:p>
        </w:tc>
      </w:tr>
      <w:tr>
        <w:trPr>
          <w:trHeight w:val="236"/>
        </w:trPr>
        <w:tc>
          <w:tcPr>
            <w:tcW w:w="7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4"/>
              </w:rPr>
              <w:t>5,460</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The weighted average remaining lease term and weighted average discount rate used to determine lease liabilities related to the Company’s operating and finance leases as of June 30, 2022 and December 31, 2021 were: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3"/>
          </w:tcPr>
          <w:p>
            <w:pPr>
              <w:ind w:left="6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8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ind w:left="10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60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280" w:type="dxa"/>
            <w:vAlign w:val="bottom"/>
          </w:tcPr>
          <w:p>
            <w:pPr>
              <w:spacing w:after="0"/>
              <w:rPr>
                <w:sz w:val="17"/>
                <w:szCs w:val="17"/>
                <w:color w:val="auto"/>
              </w:rPr>
            </w:pPr>
          </w:p>
        </w:tc>
        <w:tc>
          <w:tcPr>
            <w:tcW w:w="2420" w:type="dxa"/>
            <w:vAlign w:val="bottom"/>
          </w:tcPr>
          <w:p>
            <w:pPr>
              <w:ind w:left="2080"/>
              <w:spacing w:after="0" w:line="202" w:lineRule="exact"/>
              <w:rPr>
                <w:sz w:val="20"/>
                <w:szCs w:val="20"/>
                <w:color w:val="auto"/>
              </w:rPr>
            </w:pPr>
            <w:r>
              <w:rPr>
                <w:rFonts w:ascii="Arial" w:cs="Arial" w:eastAsia="Arial" w:hAnsi="Arial"/>
                <w:sz w:val="18"/>
                <w:szCs w:val="18"/>
                <w:color w:val="auto"/>
                <w:w w:val="91"/>
              </w:rPr>
              <w:t>3.30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spacing w:after="0"/>
              <w:rPr>
                <w:sz w:val="17"/>
                <w:szCs w:val="17"/>
                <w:color w:val="auto"/>
              </w:rPr>
            </w:pPr>
          </w:p>
        </w:tc>
        <w:tc>
          <w:tcPr>
            <w:tcW w:w="2420" w:type="dxa"/>
            <w:vAlign w:val="bottom"/>
            <w:shd w:val="clear" w:color="auto" w:fill="CFF0FC"/>
          </w:tcPr>
          <w:p>
            <w:pPr>
              <w:ind w:left="2080"/>
              <w:spacing w:after="0" w:line="202" w:lineRule="exact"/>
              <w:rPr>
                <w:sz w:val="20"/>
                <w:szCs w:val="20"/>
                <w:color w:val="auto"/>
              </w:rPr>
            </w:pPr>
            <w:r>
              <w:rPr>
                <w:rFonts w:ascii="Arial" w:cs="Arial" w:eastAsia="Arial" w:hAnsi="Arial"/>
                <w:sz w:val="18"/>
                <w:szCs w:val="18"/>
                <w:color w:val="auto"/>
                <w:w w:val="91"/>
              </w:rPr>
              <w:t>1.72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10.3 %</w:t>
            </w:r>
          </w:p>
        </w:tc>
        <w:tc>
          <w:tcPr>
            <w:tcW w:w="2580" w:type="dxa"/>
            <w:vAlign w:val="bottom"/>
            <w:gridSpan w:val="3"/>
          </w:tcPr>
          <w:p>
            <w:pPr>
              <w:ind w:left="2080"/>
              <w:spacing w:after="0" w:line="202" w:lineRule="exact"/>
              <w:rPr>
                <w:sz w:val="20"/>
                <w:szCs w:val="20"/>
                <w:color w:val="auto"/>
              </w:rPr>
            </w:pPr>
            <w:r>
              <w:rPr>
                <w:rFonts w:ascii="Arial" w:cs="Arial" w:eastAsia="Arial" w:hAnsi="Arial"/>
                <w:sz w:val="18"/>
                <w:szCs w:val="18"/>
                <w:color w:val="auto"/>
                <w:w w:val="85"/>
              </w:rPr>
              <w:t>10.5 %</w:t>
            </w:r>
          </w:p>
        </w:tc>
      </w:tr>
      <w:tr>
        <w:trPr>
          <w:trHeight w:val="230"/>
        </w:trPr>
        <w:tc>
          <w:tcPr>
            <w:tcW w:w="608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9.5 %</w:t>
            </w:r>
          </w:p>
        </w:tc>
        <w:tc>
          <w:tcPr>
            <w:tcW w:w="2580" w:type="dxa"/>
            <w:vAlign w:val="bottom"/>
            <w:gridSpan w:val="3"/>
          </w:tcPr>
          <w:p>
            <w:pPr>
              <w:ind w:left="2080"/>
              <w:spacing w:after="0"/>
              <w:rPr>
                <w:sz w:val="20"/>
                <w:szCs w:val="20"/>
                <w:color w:val="auto"/>
              </w:rPr>
            </w:pPr>
            <w:r>
              <w:rPr>
                <w:rFonts w:ascii="Arial" w:cs="Arial" w:eastAsia="Arial" w:hAnsi="Arial"/>
                <w:sz w:val="18"/>
                <w:szCs w:val="18"/>
                <w:color w:val="auto"/>
                <w:w w:val="85"/>
              </w:rPr>
              <w:t>10.5 %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a standby letter of credit, expiring September 30, 2024, issued by a financial institution as required security for one operating lease.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$310,000 as of June 30, 2022 and December 31,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80" w:firstLine="374"/>
        <w:spacing w:after="0" w:line="270"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June 30, 2022 and December 31, 2021,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19"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00" w:firstLine="374"/>
        <w:spacing w:after="0" w:line="27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Quarterly Report on Form 10-Q and our audited consolidated financial statements and related notes thereto for the year ended December 31, 2021, included in our Annual Report on Form 10-K filed with the U.S. Securities and Exchange Commission on March 8, 2022.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 of, and elsewhere in, this Quarterly Report on Form 10-Q. See “Special Note Regarding Forward-Looking Statements.”</w:t>
      </w:r>
    </w:p>
    <w:p>
      <w:pPr>
        <w:spacing w:after="0" w:line="55" w:lineRule="exact"/>
        <w:rPr>
          <w:sz w:val="20"/>
          <w:szCs w:val="20"/>
          <w:color w:val="auto"/>
        </w:rPr>
      </w:pPr>
    </w:p>
    <w:p>
      <w:pPr>
        <w:ind w:firstLine="374"/>
        <w:spacing w:after="0" w:line="268"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system, comprised of our LAL, LDD and accessories, is the first and only commercially available intraocular lens (“IOL”) technology that enables doctors to customize and optimize visual acuity for patients after cataract surgery. Our LAL is made of proprietary photosensitive material that changes shape in response to specific patterns of ultraviolet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and in follow-up readings of 51 patients 82.4% achieved 20/20 or better uncorrected distance visual acuity with our LAL.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June 30, 2022, we had an installed base of 294 LDDs in ophthalmology practices, and since our inception, surgeons have performed over 26,000 surgeries with our RxSight system.</w:t>
      </w:r>
    </w:p>
    <w:p>
      <w:pPr>
        <w:spacing w:after="0" w:line="67"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products are also approved for sale in Europe and Mexico. We are not actively marketing our products for sale in Europe or Mexico; however, we have approval in both for improving uncorrected visual acuity by adjusting the LAL power to correct residual postoperative refractive error. We have one customer in Germany and one in Mexico, both of which have participated in our clinical studies and perform commercial cases. We are a Delaware corporation, headquartered in Aliso Viejo, California, and have one wholly owned subsidiary. Our subsidiary is located in Amsterdam, Netherlands, which itself has one wholly owned subsidiary in Germany and a registered branch in the United Kingdom.</w:t>
      </w:r>
    </w:p>
    <w:p>
      <w:pPr>
        <w:spacing w:after="0" w:line="86"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Our commercial strategy involves a “razor and razor blade” sales model, through which we aim to drive adoption of our RxSight system by increasing our installed base of LDDs, which enable consumable revenues from the sale of our LALs.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According to the 2021 Premium Cataract Surgery Market Report (“Market Scope 2021 Premium Report”), approximately 10,000 surgeons perform cataract surgeries in the United States and we estimate that as many as 3,000 surgeons performed approximately 70% to 80% of the premium procedures in the United States in 2021.</w:t>
      </w:r>
    </w:p>
    <w:p>
      <w:pPr>
        <w:spacing w:after="0" w:line="67" w:lineRule="exact"/>
        <w:rPr>
          <w:sz w:val="20"/>
          <w:szCs w:val="20"/>
          <w:color w:val="auto"/>
        </w:rPr>
      </w:pPr>
    </w:p>
    <w:p>
      <w:pPr>
        <w:ind w:right="320" w:firstLine="374"/>
        <w:spacing w:after="0" w:line="248" w:lineRule="auto"/>
        <w:rPr>
          <w:sz w:val="20"/>
          <w:szCs w:val="20"/>
          <w:color w:val="auto"/>
        </w:rPr>
      </w:pPr>
      <w:r>
        <w:rPr>
          <w:rFonts w:ascii="Arial" w:cs="Arial" w:eastAsia="Arial" w:hAnsi="Arial"/>
          <w:sz w:val="18"/>
          <w:szCs w:val="18"/>
          <w:color w:val="auto"/>
        </w:rPr>
        <w:t>In 2022, according to the Market Scope 2022 IOL Market Report the (“Market Scope 2022 IOL Market Report”), conventional cataract surgery is expected to comprise 88% of procedures worldwide and 80% of procedures in the United States; however, revenue for the premium IOL market is approximately 42% of the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7" w:name="page28"/>
    <w:bookmarkEnd w:id="27"/>
    <w:p>
      <w:pPr>
        <w:ind w:right="140"/>
        <w:spacing w:after="0" w:line="262" w:lineRule="auto"/>
        <w:rPr>
          <w:sz w:val="20"/>
          <w:szCs w:val="20"/>
          <w:color w:val="auto"/>
        </w:rPr>
      </w:pPr>
      <w:r>
        <w:rPr>
          <w:rFonts w:ascii="Arial" w:cs="Arial" w:eastAsia="Arial" w:hAnsi="Arial"/>
          <w:sz w:val="17"/>
          <w:szCs w:val="17"/>
          <w:color w:val="auto"/>
        </w:rPr>
        <w:t>worldwide IOL market, due to higher lens pricing, and is expected to grow significantly faster. In 2022, according to the Market Scope 2022 IOL Market Report, conventional IOL market revenues are expected to be approximately $2.9 billion worldwide and is expected to grow to $4.2 billion in 2027, a CAGR of 7.3%. In 2022, according to the Market Scope 2022 IOL Market Report, premium IOL revenues are expected to be approximately $740 million in the United States and $2.2 billion worldwide and are expected to grow at a CAGR of 11.0% and 12.5%, respectively, through 2027.</w:t>
      </w:r>
    </w:p>
    <w:p>
      <w:pPr>
        <w:spacing w:after="0" w:line="64"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We believe this provides an attractive and concentrated market opportunity addressable with a focused sales force. We currently employ a sales team that, as of June 30, 2022, includes 20 LDD sales personnel, 18 LAL sales personnel, and a group of approximately 75 clinical specialists, field service, customer service, and marketing personnel. Our sales personnel generally have relevant experience selling cataract surgery products, as well as medical device service and clinical experience. We believe increasing the number of sales representatives, practice development personnel and clinical trainers will help facilitate further adoption of our products among existing customer accounts as well as broaden awareness of our products to new accounts. While we intend to initially focus our growing commercial efforts in the U.S., in the future, we may selectively pursue commercial expansion in Asia, Europe, Australia or other geographies with significant market opportunity for premium IOLs, leveraging our CE and FDA approvals.</w:t>
      </w:r>
    </w:p>
    <w:p>
      <w:pPr>
        <w:spacing w:after="0" w:line="55"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Our near-term research and development activities are focused on improving customer experience, expanding our indications for use, reducing manufacturing costs and lifecycle management and enhancements to the RxSight system to improve clinical outcomes to drive product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83"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On July 29, 2021, we completed our Initial Public Offering (“IPO”), which resulted in the issuance and sale of 8,248,549 shares of common stock, including 898,549 shares sold pursuant to the exercise of the underwriters’ over-allotment option at the IPO price of $16.00 per share. We received net proceeds of approximately $119.6 million from the IPO, after deducting underwriters’ discounts and commissions of $9.2 million and offering costs of $3.2 million.</w:t>
      </w:r>
    </w:p>
    <w:p>
      <w:pPr>
        <w:spacing w:after="0" w:line="80" w:lineRule="exact"/>
        <w:rPr>
          <w:sz w:val="20"/>
          <w:szCs w:val="20"/>
          <w:color w:val="auto"/>
        </w:rPr>
      </w:pPr>
    </w:p>
    <w:p>
      <w:pPr>
        <w:ind w:right="80" w:firstLine="374"/>
        <w:spacing w:after="0" w:line="255" w:lineRule="auto"/>
        <w:rPr>
          <w:sz w:val="20"/>
          <w:szCs w:val="20"/>
          <w:color w:val="auto"/>
        </w:rPr>
      </w:pPr>
      <w:r>
        <w:rPr>
          <w:rFonts w:ascii="Arial" w:cs="Arial" w:eastAsia="Arial" w:hAnsi="Arial"/>
          <w:sz w:val="17"/>
          <w:szCs w:val="17"/>
          <w:color w:val="auto"/>
        </w:rPr>
        <w:t>Prior to our IPO, our primary sources of capital had been private placements of preferred stock, a structured transaction with a strategic partner, debt financing and revenue from sales of our products. Since inception, we raised a total of $191.3 million in net proceeds from private placements of preferred stock, $120.0 million from a strategic partner, approximately $39.2 million in net proceeds from a credit facility, and approximately $12.4 million from issuance of common stock from stock option exercises and shares issued from the employee stock purchase plan. As of June 30, 2022, we had cash and cash equivalents of $24.0 million, short-term investments of $104.6 million, long-term debt of $39.9 million and an accumulated deficit of $513.6 million. We generated net sales of $20.3 million and had a net loss of $34.3 million for the six months ended June 30, 2022, as compared to sales of $8.4 million and net loss of $20.3 million for the six months ended June 30, 2021.</w:t>
      </w:r>
    </w:p>
    <w:p>
      <w:pPr>
        <w:spacing w:after="0" w:line="72" w:lineRule="exact"/>
        <w:rPr>
          <w:sz w:val="20"/>
          <w:szCs w:val="20"/>
          <w:color w:val="auto"/>
        </w:rPr>
      </w:pPr>
    </w:p>
    <w:p>
      <w:pPr>
        <w:ind w:right="40" w:firstLine="374"/>
        <w:spacing w:after="0" w:line="274" w:lineRule="auto"/>
        <w:rPr>
          <w:sz w:val="20"/>
          <w:szCs w:val="20"/>
          <w:color w:val="auto"/>
        </w:rPr>
      </w:pPr>
      <w:r>
        <w:rPr>
          <w:rFonts w:ascii="Arial" w:cs="Arial" w:eastAsia="Arial" w:hAnsi="Arial"/>
          <w:sz w:val="16"/>
          <w:szCs w:val="16"/>
          <w:color w:val="auto"/>
        </w:rPr>
        <w:t>We have made, and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have incurred, and will continue to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spacing w:after="0" w:line="261" w:lineRule="auto"/>
        <w:rPr>
          <w:sz w:val="20"/>
          <w:szCs w:val="20"/>
          <w:color w:val="auto"/>
        </w:rPr>
      </w:pPr>
      <w:r>
        <w:rPr>
          <w:rFonts w:ascii="Arial" w:cs="Arial" w:eastAsia="Arial" w:hAnsi="Arial"/>
          <w:sz w:val="18"/>
          <w:szCs w:val="18"/>
          <w:color w:val="auto"/>
        </w:rPr>
        <w:t>reporting requirements. Because of these and other factors, we expect to continue to incur substantial net losses and negative cash flows from operations for at least the next several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 business. Due to our limited commercial history, we may not yet be able to accurately assess seasonality and other trends, and we will continue to evaluate our business in the future using these and other financial metrics as we observe trends in our business.</w:t>
      </w:r>
    </w:p>
    <w:p>
      <w:pPr>
        <w:spacing w:after="0" w:line="66"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We believe the number of LDDs sold in each quarter and our LDD installed base at the end of each period are important metrics as they represent an installed base into which we can sell our LALs.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56"/>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Q1</w:t>
            </w: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Q1</w:t>
            </w:r>
          </w:p>
        </w:tc>
        <w:tc>
          <w:tcPr>
            <w:tcW w:w="30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4"/>
                <w:szCs w:val="14"/>
                <w:color w:val="auto"/>
              </w:rPr>
            </w:pPr>
          </w:p>
        </w:tc>
      </w:tr>
      <w:tr>
        <w:trPr>
          <w:trHeight w:val="196"/>
        </w:trPr>
        <w:tc>
          <w:tcPr>
            <w:tcW w:w="34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LDDs Sold</w:t>
            </w:r>
          </w:p>
        </w:tc>
        <w:tc>
          <w:tcPr>
            <w:tcW w:w="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7"/>
                <w:szCs w:val="17"/>
                <w:color w:val="auto"/>
              </w:rPr>
            </w:pPr>
          </w:p>
        </w:tc>
      </w:tr>
      <w:tr>
        <w:trPr>
          <w:trHeight w:val="203"/>
        </w:trPr>
        <w:tc>
          <w:tcPr>
            <w:tcW w:w="3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Installed Base at End of Period</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w:t>
            </w: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280" w:type="dxa"/>
            <w:vAlign w:val="bottom"/>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Reduced by one LDD taken out of installed base in Q2 2022.</w:t>
      </w:r>
    </w:p>
    <w:p>
      <w:pPr>
        <w:spacing w:after="0" w:line="104" w:lineRule="exact"/>
        <w:rPr>
          <w:sz w:val="20"/>
          <w:szCs w:val="20"/>
          <w:color w:val="auto"/>
        </w:rPr>
      </w:pPr>
    </w:p>
    <w:p>
      <w:pPr>
        <w:ind w:right="80" w:firstLine="374"/>
        <w:spacing w:after="0" w:line="294" w:lineRule="auto"/>
        <w:rPr>
          <w:sz w:val="20"/>
          <w:szCs w:val="20"/>
          <w:color w:val="auto"/>
        </w:rPr>
      </w:pPr>
      <w:r>
        <w:rPr>
          <w:rFonts w:ascii="Arial" w:cs="Arial" w:eastAsia="Arial" w:hAnsi="Arial"/>
          <w:sz w:val="16"/>
          <w:szCs w:val="16"/>
          <w:color w:val="auto"/>
        </w:rPr>
        <w:t>We believe the number of LALs sold (reported as implanted in a patient) in each quarter is an important metric indicative of adoption and utilization of our RxSight system. During the quarter ended June 30, 2022, we saw increased LDD sales of 24 and increased LAL sales of 3,575 when compared to the quarter ended June 30, 2021 from strong adoption of our RxSight technology by practices and doctors combined with an increased LDD installed base.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12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Arial" w:cs="Arial" w:eastAsia="Arial" w:hAnsi="Arial"/>
                <w:sz w:val="14"/>
                <w:szCs w:val="14"/>
                <w:b w:val="1"/>
                <w:bCs w:val="1"/>
                <w:color w:val="auto"/>
                <w:w w:val="96"/>
              </w:rPr>
              <w:t>Q1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399"/>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spacing w:after="0"/>
              <w:rPr>
                <w:sz w:val="14"/>
                <w:szCs w:val="14"/>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Q1</w:t>
            </w:r>
          </w:p>
        </w:tc>
        <w:tc>
          <w:tcPr>
            <w:tcW w:w="360" w:type="dxa"/>
            <w:vAlign w:val="bottom"/>
          </w:tcPr>
          <w:p>
            <w:pPr>
              <w:spacing w:after="0"/>
              <w:rPr>
                <w:sz w:val="14"/>
                <w:szCs w:val="14"/>
                <w:color w:val="auto"/>
              </w:rPr>
            </w:pPr>
          </w:p>
        </w:tc>
        <w:tc>
          <w:tcPr>
            <w:tcW w:w="18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Q2</w:t>
            </w: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Q3</w:t>
            </w:r>
          </w:p>
        </w:tc>
        <w:tc>
          <w:tcPr>
            <w:tcW w:w="340" w:type="dxa"/>
            <w:vAlign w:val="bottom"/>
          </w:tcPr>
          <w:p>
            <w:pPr>
              <w:spacing w:after="0"/>
              <w:rPr>
                <w:sz w:val="14"/>
                <w:szCs w:val="14"/>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4"/>
                <w:szCs w:val="14"/>
                <w:color w:val="auto"/>
              </w:rPr>
            </w:pPr>
          </w:p>
        </w:tc>
      </w:tr>
      <w:tr>
        <w:trPr>
          <w:trHeight w:val="196"/>
        </w:trPr>
        <w:tc>
          <w:tcPr>
            <w:tcW w:w="278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LALs Sold</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4,166</w:t>
            </w:r>
          </w:p>
        </w:tc>
        <w:tc>
          <w:tcPr>
            <w:tcW w:w="38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5,400</w:t>
            </w:r>
          </w:p>
        </w:tc>
        <w:tc>
          <w:tcPr>
            <w:tcW w:w="38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1,567</w:t>
            </w:r>
          </w:p>
        </w:tc>
        <w:tc>
          <w:tcPr>
            <w:tcW w:w="36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1,825</w:t>
            </w:r>
          </w:p>
        </w:tc>
        <w:tc>
          <w:tcPr>
            <w:tcW w:w="3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1,977</w:t>
            </w:r>
          </w:p>
        </w:tc>
        <w:tc>
          <w:tcPr>
            <w:tcW w:w="34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2,959</w:t>
            </w:r>
          </w:p>
        </w:tc>
        <w:tc>
          <w:tcPr>
            <w:tcW w:w="360" w:type="dxa"/>
            <w:vAlign w:val="bottom"/>
            <w:shd w:val="clear" w:color="auto" w:fill="CFF0FC"/>
          </w:tcPr>
          <w:p>
            <w:pPr>
              <w:spacing w:after="0"/>
              <w:rPr>
                <w:sz w:val="17"/>
                <w:szCs w:val="17"/>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Our sales consist of the sale of LALs used in cataract surgeries, the LDDs for delivering light to the LALs to adjust the lens post-surgery, as needed, and service and accessories. Revenue is derived from sales of products primarily in the U.S. and sales to a single customer in each of Germany and Mexico.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including our ActivShield™ technology with new and existing customers and as doctors perform more premium procedures using our products.</w:t>
      </w:r>
    </w:p>
    <w:p>
      <w:pPr>
        <w:spacing w:after="0" w:line="81"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is recognized for LALs upon customer notification that the LALs have been implanted in a patient.</w:t>
      </w:r>
    </w:p>
    <w:p>
      <w:pPr>
        <w:spacing w:after="0" w:line="63"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is recognized upon completion of training by at least one doctor, and the initial warranty and service agreement are recognized ratably over the service period. After the first year, service contracts can be purchased separately on a standalone basis. We recorded contract liabilities of $738,000 and $540,000 related to such service agreements as of June 30, 2022 and December 31, 2021, respectively. Revenue for such service agreements will be recognized over the term of each contract.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left="380"/>
        <w:spacing w:after="0"/>
        <w:rPr>
          <w:sz w:val="20"/>
          <w:szCs w:val="20"/>
          <w:color w:val="auto"/>
        </w:rPr>
      </w:pPr>
      <w:r>
        <w:rPr>
          <w:rFonts w:ascii="Arial" w:cs="Arial" w:eastAsia="Arial" w:hAnsi="Arial"/>
          <w:sz w:val="18"/>
          <w:szCs w:val="18"/>
          <w:color w:val="auto"/>
        </w:rPr>
        <w:t>For the three and six months ended June 30, 2022 and 2021, sales from contracts with customers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17"/>
                <w:szCs w:val="17"/>
                <w:color w:val="auto"/>
              </w:rPr>
            </w:pPr>
          </w:p>
        </w:tc>
      </w:tr>
      <w:tr>
        <w:trPr>
          <w:trHeight w:val="221"/>
        </w:trPr>
        <w:tc>
          <w:tcPr>
            <w:tcW w:w="40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4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LDD (including training)</w:t>
            </w:r>
          </w:p>
        </w:tc>
        <w:tc>
          <w:tcPr>
            <w:tcW w:w="1100" w:type="dxa"/>
            <w:vAlign w:val="bottom"/>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5,683</w:t>
            </w:r>
          </w:p>
        </w:tc>
        <w:tc>
          <w:tcPr>
            <w:tcW w:w="1160" w:type="dxa"/>
            <w:vAlign w:val="bottom"/>
            <w:gridSpan w:val="2"/>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2,965</w:t>
            </w:r>
          </w:p>
        </w:tc>
        <w:tc>
          <w:tcPr>
            <w:tcW w:w="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10,253</w:t>
            </w:r>
          </w:p>
        </w:tc>
        <w:tc>
          <w:tcPr>
            <w:tcW w:w="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4,802</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LAL</w:t>
            </w:r>
          </w:p>
        </w:tc>
        <w:tc>
          <w:tcPr>
            <w:tcW w:w="1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5,349</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1,792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9,453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3,321</w:t>
            </w:r>
          </w:p>
        </w:tc>
        <w:tc>
          <w:tcPr>
            <w:tcW w:w="100" w:type="dxa"/>
            <w:vAlign w:val="bottom"/>
          </w:tcPr>
          <w:p>
            <w:pPr>
              <w:spacing w:after="0"/>
              <w:rPr>
                <w:sz w:val="17"/>
                <w:szCs w:val="17"/>
                <w:color w:val="auto"/>
              </w:rPr>
            </w:pPr>
          </w:p>
        </w:tc>
      </w:tr>
      <w:tr>
        <w:trPr>
          <w:trHeight w:val="203"/>
        </w:trPr>
        <w:tc>
          <w:tcPr>
            <w:tcW w:w="40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Service warranty, service contracts, and accessories</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w:t>
            </w: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595</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1100" w:type="dxa"/>
            <w:vAlign w:val="bottom"/>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11,360</w:t>
            </w:r>
          </w:p>
        </w:tc>
        <w:tc>
          <w:tcPr>
            <w:tcW w:w="116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4,897</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20,301</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8,381</w:t>
            </w:r>
          </w:p>
        </w:tc>
        <w:tc>
          <w:tcPr>
            <w:tcW w:w="100" w:type="dxa"/>
            <w:vAlign w:val="bottom"/>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-159385</wp:posOffset>
            </wp:positionV>
            <wp:extent cx="7747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-159385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For the three and six months ended June 30, 2022 we did not have any one customer who individually accounted for more than 10% of revenue. For the three months ended June 30, 2021, we had one customer who individually accounted for approximately 13% of revenue. For the six months ended June 30, 2021, we had no customer who individually accounted for 10% or more of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7"/>
          <w:szCs w:val="17"/>
          <w:color w:val="auto"/>
        </w:rPr>
        <w:t>Cost of sales consists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66" w:lineRule="exact"/>
        <w:rPr>
          <w:sz w:val="20"/>
          <w:szCs w:val="20"/>
          <w:color w:val="auto"/>
        </w:rPr>
      </w:pPr>
    </w:p>
    <w:p>
      <w:pPr>
        <w:ind w:right="240" w:firstLine="374"/>
        <w:spacing w:after="0" w:line="243" w:lineRule="auto"/>
        <w:rPr>
          <w:sz w:val="20"/>
          <w:szCs w:val="20"/>
          <w:color w:val="auto"/>
        </w:rPr>
      </w:pPr>
      <w:r>
        <w:rPr>
          <w:rFonts w:ascii="Arial" w:cs="Arial" w:eastAsia="Arial" w:hAnsi="Arial"/>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80"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Our LDD, as is typical of many medical device capital equipment products, has a low gross margin, as the material cost of the LDD is significant, representing over 60% of the total cost to manufacture. In addition, we do not mark up our LDD substantially, as LDDs, once sold, generate LAL procedures. Our LAL gross margin is higher, with low material cost but high fixed overhead costs. As our manufacturing volume of the LAL increases, we expect the gross margin may improve significantly.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40" w:firstLine="374"/>
        <w:spacing w:after="0" w:line="238" w:lineRule="auto"/>
        <w:rPr>
          <w:sz w:val="20"/>
          <w:szCs w:val="20"/>
          <w:color w:val="auto"/>
        </w:rPr>
      </w:pPr>
      <w:r>
        <w:rPr>
          <w:rFonts w:ascii="Arial" w:cs="Arial" w:eastAsia="Arial" w:hAnsi="Arial"/>
          <w:sz w:val="18"/>
          <w:szCs w:val="18"/>
          <w:color w:val="auto"/>
        </w:rPr>
        <w:t>Selling, general and administrative, or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7"/>
          <w:szCs w:val="17"/>
          <w:color w:val="auto"/>
        </w:rPr>
        <w:t>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104" w:lineRule="exact"/>
        <w:rPr>
          <w:sz w:val="20"/>
          <w:szCs w:val="20"/>
          <w:color w:val="auto"/>
        </w:rPr>
      </w:pPr>
    </w:p>
    <w:p>
      <w:pPr>
        <w:jc w:val="both"/>
        <w:ind w:right="600" w:firstLine="374"/>
        <w:spacing w:after="0" w:line="294" w:lineRule="auto"/>
        <w:rPr>
          <w:sz w:val="20"/>
          <w:szCs w:val="20"/>
          <w:color w:val="auto"/>
        </w:rPr>
      </w:pPr>
      <w:r>
        <w:rPr>
          <w:rFonts w:ascii="Arial" w:cs="Arial" w:eastAsia="Arial" w:hAnsi="Arial"/>
          <w:sz w:val="16"/>
          <w:szCs w:val="16"/>
          <w:color w:val="auto"/>
        </w:rPr>
        <w:t>Change in fair value of warrants consists of gains and losses resulting from the remeasurement of the fair value of our preferred stock warrant liabilities at each balance sheet date. We recorded adjustments to the estimated fair value of the preferred stock warrants until the conversion of the underlying convertible preferred stock into common stock which occurred immediately prior to the completion of our IPO in July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warrant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Expiration of warrants represents the gain from the expiration of warrants unexercised and the reversal of the corresponding warrant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income consists primarily of interest income earned on our cash and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20" w:firstLine="374"/>
        <w:spacing w:after="0" w:line="294" w:lineRule="auto"/>
        <w:rPr>
          <w:sz w:val="20"/>
          <w:szCs w:val="20"/>
          <w:color w:val="auto"/>
        </w:rPr>
      </w:pPr>
      <w:r>
        <w:rPr>
          <w:rFonts w:ascii="Arial" w:cs="Arial" w:eastAsia="Arial" w:hAnsi="Arial"/>
          <w:sz w:val="16"/>
          <w:szCs w:val="16"/>
          <w:color w:val="auto"/>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04" w:lineRule="exact"/>
        <w:rPr>
          <w:sz w:val="20"/>
          <w:szCs w:val="20"/>
          <w:color w:val="auto"/>
        </w:rPr>
      </w:pPr>
    </w:p>
    <w:p>
      <w:pPr>
        <w:ind w:right="400" w:firstLine="374"/>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June 30, 2022 and 2021 together with the dollar increase or decrease and percentage change in those items.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1"/>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260" w:type="dxa"/>
            <w:vAlign w:val="bottom"/>
          </w:tcPr>
          <w:p>
            <w:pPr>
              <w:spacing w:after="0"/>
              <w:rPr>
                <w:sz w:val="19"/>
                <w:szCs w:val="19"/>
                <w:color w:val="auto"/>
              </w:rPr>
            </w:pPr>
          </w:p>
        </w:tc>
        <w:tc>
          <w:tcPr>
            <w:tcW w:w="312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w w:val="95"/>
              </w:rPr>
              <w:t>Three Months Ended June 30,</w:t>
            </w:r>
          </w:p>
        </w:tc>
        <w:tc>
          <w:tcPr>
            <w:tcW w:w="340" w:type="dxa"/>
            <w:vAlign w:val="bottom"/>
          </w:tcPr>
          <w:p>
            <w:pPr>
              <w:spacing w:after="0"/>
              <w:rPr>
                <w:sz w:val="19"/>
                <w:szCs w:val="19"/>
                <w:color w:val="auto"/>
              </w:rPr>
            </w:pPr>
          </w:p>
        </w:tc>
        <w:tc>
          <w:tcPr>
            <w:tcW w:w="168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Sales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11,360</w:t>
            </w:r>
          </w:p>
        </w:tc>
        <w:tc>
          <w:tcPr>
            <w:tcW w:w="3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4,897</w:t>
            </w:r>
          </w:p>
        </w:tc>
        <w:tc>
          <w:tcPr>
            <w:tcW w:w="2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6,463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132.0</w:t>
            </w: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6,572</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5,709</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863</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0"/>
              <w:spacing w:after="0" w:line="196" w:lineRule="exact"/>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4,788</w:t>
            </w:r>
          </w:p>
        </w:tc>
        <w:tc>
          <w:tcPr>
            <w:tcW w:w="3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(812</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5,600</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(689.7</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14,388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7,886</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6,192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6,563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(371 )</w:t>
            </w:r>
          </w:p>
        </w:tc>
        <w:tc>
          <w:tcPr>
            <w:tcW w:w="400" w:type="dxa"/>
            <w:vAlign w:val="bottom"/>
          </w:tcPr>
          <w:p>
            <w:pPr>
              <w:spacing w:after="0"/>
              <w:rPr>
                <w:sz w:val="19"/>
                <w:szCs w:val="19"/>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FF0FC"/>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20,580</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13,065</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7,515</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57.5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(15,792 )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(13,877 )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(1,915 )</w:t>
            </w:r>
          </w:p>
        </w:tc>
        <w:tc>
          <w:tcPr>
            <w:tcW w:w="400" w:type="dxa"/>
            <w:vAlign w:val="bottom"/>
          </w:tcPr>
          <w:p>
            <w:pPr>
              <w:spacing w:after="0"/>
              <w:rPr>
                <w:sz w:val="17"/>
                <w:szCs w:val="17"/>
                <w:color w:val="auto"/>
              </w:rPr>
            </w:pPr>
          </w:p>
        </w:tc>
        <w:tc>
          <w:tcPr>
            <w:tcW w:w="12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warrants</w:t>
            </w:r>
          </w:p>
        </w:tc>
        <w:tc>
          <w:tcPr>
            <w:tcW w:w="260" w:type="dxa"/>
            <w:vAlign w:val="bottom"/>
          </w:tcPr>
          <w:p>
            <w:pPr>
              <w:spacing w:after="0"/>
              <w:rPr>
                <w:sz w:val="17"/>
                <w:szCs w:val="17"/>
                <w:color w:val="auto"/>
              </w:rPr>
            </w:pPr>
          </w:p>
        </w:tc>
        <w:tc>
          <w:tcPr>
            <w:tcW w:w="14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(1,214 )</w:t>
            </w:r>
          </w:p>
        </w:tc>
        <w:tc>
          <w:tcPr>
            <w:tcW w:w="40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(1,136 )</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(826 )</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(310 )</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0"/>
              <w:spacing w:after="0" w:line="196" w:lineRule="exact"/>
              <w:rPr>
                <w:sz w:val="20"/>
                <w:szCs w:val="20"/>
                <w:color w:val="auto"/>
              </w:rPr>
            </w:pPr>
            <w:r>
              <w:rPr>
                <w:rFonts w:ascii="Arial" w:cs="Arial" w:eastAsia="Arial" w:hAnsi="Arial"/>
                <w:sz w:val="18"/>
                <w:szCs w:val="18"/>
                <w:color w:val="auto"/>
              </w:rPr>
              <w:t>Total other (expense) income, net: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(940</w:t>
            </w:r>
          </w:p>
        </w:tc>
        <w:tc>
          <w:tcPr>
            <w:tcW w:w="30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(1,343</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7"/>
                <w:szCs w:val="17"/>
                <w:color w:val="auto"/>
              </w:rPr>
            </w:pPr>
          </w:p>
        </w:tc>
        <w:tc>
          <w:tcPr>
            <w:tcW w:w="14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(16,732 )</w:t>
            </w:r>
          </w:p>
        </w:tc>
        <w:tc>
          <w:tcPr>
            <w:tcW w:w="320" w:type="dxa"/>
            <w:vAlign w:val="bottom"/>
          </w:tcPr>
          <w:p>
            <w:pPr>
              <w:spacing w:after="0"/>
              <w:rPr>
                <w:sz w:val="17"/>
                <w:szCs w:val="17"/>
                <w:color w:val="auto"/>
              </w:rPr>
            </w:pPr>
          </w:p>
        </w:tc>
        <w:tc>
          <w:tcPr>
            <w:tcW w:w="1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(13,474 )</w:t>
            </w: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(3,258 )</w:t>
            </w:r>
          </w:p>
        </w:tc>
        <w:tc>
          <w:tcPr>
            <w:tcW w:w="4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(97.9</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(16,732 )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(13,477 )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(3,255 )</w:t>
            </w:r>
          </w:p>
        </w:tc>
        <w:tc>
          <w:tcPr>
            <w:tcW w:w="400" w:type="dxa"/>
            <w:vAlign w:val="bottom"/>
          </w:tcPr>
          <w:p>
            <w:pPr>
              <w:spacing w:after="0"/>
              <w:rPr>
                <w:sz w:val="17"/>
                <w:szCs w:val="17"/>
                <w:color w:val="auto"/>
              </w:rPr>
            </w:pPr>
          </w:p>
        </w:tc>
        <w:tc>
          <w:tcPr>
            <w:tcW w:w="1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short-term investments</w:t>
            </w:r>
          </w:p>
        </w:tc>
        <w:tc>
          <w:tcPr>
            <w:tcW w:w="260" w:type="dxa"/>
            <w:vAlign w:val="bottom"/>
          </w:tcPr>
          <w:p>
            <w:pPr>
              <w:spacing w:after="0"/>
              <w:rPr>
                <w:sz w:val="17"/>
                <w:szCs w:val="17"/>
                <w:color w:val="auto"/>
              </w:rPr>
            </w:pPr>
          </w:p>
        </w:tc>
        <w:tc>
          <w:tcPr>
            <w:tcW w:w="14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(76 )</w:t>
            </w:r>
          </w:p>
        </w:tc>
        <w:tc>
          <w:tcPr>
            <w:tcW w:w="32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(4 )</w:t>
            </w: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(72 )</w:t>
            </w: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1,804.2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(loss) gain</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(9 )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(10 )</w:t>
            </w:r>
          </w:p>
        </w:tc>
        <w:tc>
          <w:tcPr>
            <w:tcW w:w="4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(1,001.7 )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loss</w:t>
            </w:r>
          </w:p>
        </w:tc>
        <w:tc>
          <w:tcPr>
            <w:tcW w:w="260" w:type="dxa"/>
            <w:vAlign w:val="bottom"/>
          </w:tcPr>
          <w:p>
            <w:pPr>
              <w:spacing w:after="0"/>
              <w:rPr>
                <w:sz w:val="17"/>
                <w:szCs w:val="17"/>
                <w:color w:val="auto"/>
              </w:rPr>
            </w:pPr>
          </w:p>
        </w:tc>
        <w:tc>
          <w:tcPr>
            <w:tcW w:w="14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(85 )</w:t>
            </w:r>
          </w:p>
        </w:tc>
        <w:tc>
          <w:tcPr>
            <w:tcW w:w="320" w:type="dxa"/>
            <w:vAlign w:val="bottom"/>
          </w:tcPr>
          <w:p>
            <w:pPr>
              <w:spacing w:after="0"/>
              <w:rPr>
                <w:sz w:val="17"/>
                <w:szCs w:val="17"/>
                <w:color w:val="auto"/>
              </w:rPr>
            </w:pPr>
          </w:p>
        </w:tc>
        <w:tc>
          <w:tcPr>
            <w:tcW w:w="1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(3 )</w:t>
            </w: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(82 )</w:t>
            </w:r>
          </w:p>
        </w:tc>
        <w:tc>
          <w:tcPr>
            <w:tcW w:w="4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2,739.5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(16,817</w:t>
            </w:r>
          </w:p>
        </w:tc>
        <w:tc>
          <w:tcPr>
            <w:tcW w:w="30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(13,480</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(3,337</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-1882140</wp:posOffset>
            </wp:positionV>
            <wp:extent cx="7747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-1882140</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-1882140</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-2026920</wp:posOffset>
            </wp:positionV>
            <wp:extent cx="9398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-296545</wp:posOffset>
            </wp:positionV>
            <wp:extent cx="7747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-296545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-296545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right="260" w:firstLine="374"/>
        <w:spacing w:after="0" w:line="248" w:lineRule="auto"/>
        <w:rPr>
          <w:sz w:val="20"/>
          <w:szCs w:val="20"/>
          <w:color w:val="auto"/>
        </w:rPr>
      </w:pPr>
      <w:r>
        <w:rPr>
          <w:rFonts w:ascii="Arial" w:cs="Arial" w:eastAsia="Arial" w:hAnsi="Arial"/>
          <w:sz w:val="18"/>
          <w:szCs w:val="18"/>
          <w:color w:val="auto"/>
        </w:rPr>
        <w:t>Sales increased by $6.5 million, or 132.0%, to $11.4 million for the three months ended June 30, 2022, from $4.9 million for the three months ended June 30, 2021. The increase in total sales was primarily due to incremental sales of 3,575 LALs and 24 LDDs from strong adoption of our RxSight technology by practices and doctors combined with an increased LDD installed base.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7"/>
          <w:szCs w:val="17"/>
          <w:color w:val="auto"/>
        </w:rPr>
        <w:t>Cost of sales increased by $0.9 million, or 15.1%, to $6.6 million for the three months ended June 30, 2022, from $5.7 million for the three months ended June 30, 2021, primarily due to the incremental increase in the number of LALs and LDDs sold during the period. Gross margin increased to 42.2% in the three months ended June 30, 2022, from (16.6)% for the three months ended June 30, 2021 primarily due to improved operating leverage and favorable product mix. Gross margin for the three months ended June 30, 2021 was negatively impacted by a $1.7 million reserve for excess LAL inventory as a result of the introduction of our updated LAL including our ActivShield technology.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expenses increased by $7.9 million, or 121.3%, to $14.4 million for the three months ended June 30, 2022,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 million for the three months ended June 30, 2021. This increase was primarily attributable to an increase in selling and marketing costs of $5.8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mainly due to increased salaries from increased headcount, sales commissions, incentive bonuses and employee benefits of $3.5 million, $0.6 million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increased stock-based compensation expense due to increased headcount, $0.7 million in additional post market study costs, new customer acquisition costs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increased travel costs of $0.6 million from increased LDD sales and increased tradeshow costs of $0.4 million when compared to the three months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2021. General and administrative expenses increased $2.1 million due to increased personnel expenses of $0.6 million primarily due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increased headcount, reinstatement of incentive bonuses, $0.6 million increased costs related to operating as a public company and increased stock-based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$0.6 million when compared to the three months ended June 30, 2021.</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2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Research and development expenses decreased by $0.4 million, or 5.6%, to $6.2 million for the three months ended June 30, 2022, from $6.6 million for the three months ended June 30, 2021. This decrease was primarily attributable to decreased clinical study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jc w:val="both"/>
        <w:ind w:right="300" w:firstLine="374"/>
        <w:spacing w:after="0" w:line="294" w:lineRule="auto"/>
        <w:rPr>
          <w:sz w:val="20"/>
          <w:szCs w:val="20"/>
          <w:color w:val="auto"/>
        </w:rPr>
      </w:pPr>
      <w:r>
        <w:rPr>
          <w:rFonts w:ascii="Arial" w:cs="Arial" w:eastAsia="Arial" w:hAnsi="Arial"/>
          <w:sz w:val="16"/>
          <w:szCs w:val="16"/>
          <w:color w:val="auto"/>
        </w:rPr>
        <w:t>Other income (expense), net, increased by $1.3 million to expense of $0.9 million for the three months ended June 30, 2022 from income of $0.4 million for the three months ended June 30, 2021 due an increase in interest expense of $0.3 million on our amended term loan due to higher average outstanding balances and increased interest paid which were offset by the change in the fair value of liability classified warrants of $1.2 million.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04" w:lineRule="exact"/>
        <w:rPr>
          <w:sz w:val="20"/>
          <w:szCs w:val="20"/>
          <w:color w:val="auto"/>
        </w:rPr>
      </w:pPr>
    </w:p>
    <w:p>
      <w:pPr>
        <w:ind w:right="300" w:firstLine="374"/>
        <w:spacing w:after="0" w:line="261" w:lineRule="auto"/>
        <w:rPr>
          <w:sz w:val="20"/>
          <w:szCs w:val="20"/>
          <w:color w:val="auto"/>
        </w:rPr>
      </w:pPr>
      <w:r>
        <w:rPr>
          <w:rFonts w:ascii="Arial" w:cs="Arial" w:eastAsia="Arial" w:hAnsi="Arial"/>
          <w:sz w:val="18"/>
          <w:szCs w:val="18"/>
          <w:color w:val="auto"/>
        </w:rPr>
        <w:t>The following table summarizes our results of operations for six months ended June 30, 2022 and 2021 together with the dollar increase or decrease and percentage change in those items: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300" w:type="dxa"/>
            <w:vAlign w:val="bottom"/>
          </w:tcPr>
          <w:p>
            <w:pPr>
              <w:spacing w:after="0"/>
              <w:rPr>
                <w:sz w:val="19"/>
                <w:szCs w:val="19"/>
                <w:color w:val="auto"/>
              </w:rPr>
            </w:pPr>
          </w:p>
        </w:tc>
        <w:tc>
          <w:tcPr>
            <w:tcW w:w="308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w w:val="98"/>
              </w:rPr>
              <w:t>Six Months Ended June 30,</w:t>
            </w:r>
          </w:p>
        </w:tc>
        <w:tc>
          <w:tcPr>
            <w:tcW w:w="340" w:type="dxa"/>
            <w:vAlign w:val="bottom"/>
          </w:tcPr>
          <w:p>
            <w:pPr>
              <w:spacing w:after="0"/>
              <w:rPr>
                <w:sz w:val="19"/>
                <w:szCs w:val="19"/>
                <w:color w:val="auto"/>
              </w:rPr>
            </w:pPr>
          </w:p>
        </w:tc>
        <w:tc>
          <w:tcPr>
            <w:tcW w:w="1680" w:type="dxa"/>
            <w:vAlign w:val="bottom"/>
            <w:gridSpan w:val="4"/>
          </w:tcPr>
          <w:p>
            <w:pPr>
              <w:ind w:left="92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Sales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20,301</w:t>
            </w:r>
          </w:p>
        </w:tc>
        <w:tc>
          <w:tcPr>
            <w:tcW w:w="28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8,381</w:t>
            </w:r>
          </w:p>
        </w:tc>
        <w:tc>
          <w:tcPr>
            <w:tcW w:w="2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11,920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142.2</w:t>
            </w: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11,752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8,074</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2684.7</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28,008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12,113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15,895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12,911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13,206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FF0FC"/>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FF0FC"/>
              <w:bottom w:val="single" w:sz="8" w:color="auto"/>
            </w:tcBorders>
            <w:shd w:val="clear" w:color="auto" w:fill="CFF0FC"/>
          </w:tcPr>
          <w:p>
            <w:pPr>
              <w:spacing w:after="0"/>
              <w:rPr>
                <w:sz w:val="15"/>
                <w:szCs w:val="15"/>
                <w:color w:val="auto"/>
              </w:rPr>
            </w:pPr>
          </w:p>
        </w:tc>
        <w:tc>
          <w:tcPr>
            <w:tcW w:w="1060" w:type="dxa"/>
            <w:vAlign w:val="bottom"/>
            <w:tcBorders>
              <w:top w:val="single" w:sz="8" w:color="CFF0FC"/>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40,919</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CFF0FC"/>
              <w:bottom w:val="single" w:sz="8" w:color="auto"/>
            </w:tcBorders>
            <w:shd w:val="clear" w:color="auto" w:fill="CFF0FC"/>
          </w:tcPr>
          <w:p>
            <w:pPr>
              <w:spacing w:after="0"/>
              <w:rPr>
                <w:sz w:val="15"/>
                <w:szCs w:val="15"/>
                <w:color w:val="auto"/>
              </w:rPr>
            </w:pPr>
          </w:p>
        </w:tc>
        <w:tc>
          <w:tcPr>
            <w:tcW w:w="1140" w:type="dxa"/>
            <w:vAlign w:val="bottom"/>
            <w:tcBorders>
              <w:top w:val="single" w:sz="8" w:color="CFF0FC"/>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25,319</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15,600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61.6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(32,370 )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(25,012 )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(7,358 )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warrants</w:t>
            </w:r>
          </w:p>
        </w:tc>
        <w:tc>
          <w:tcPr>
            <w:tcW w:w="300" w:type="dxa"/>
            <w:vAlign w:val="bottom"/>
          </w:tcPr>
          <w:p>
            <w:pPr>
              <w:spacing w:after="0"/>
              <w:rPr>
                <w:sz w:val="17"/>
                <w:szCs w:val="17"/>
                <w:color w:val="auto"/>
              </w:rPr>
            </w:pPr>
          </w:p>
        </w:tc>
        <w:tc>
          <w:tcPr>
            <w:tcW w:w="13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(1,214 )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Expiration of warrant</w:t>
            </w: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(5,018 )</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3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(2,196 )</w:t>
            </w:r>
          </w:p>
        </w:tc>
        <w:tc>
          <w:tcPr>
            <w:tcW w:w="34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(1,524 )</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and other income</w:t>
            </w: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656.7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0"/>
              <w:spacing w:after="0" w:line="196" w:lineRule="exact"/>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7"/>
                <w:szCs w:val="17"/>
                <w:color w:val="auto"/>
              </w:rPr>
            </w:pPr>
          </w:p>
        </w:tc>
        <w:tc>
          <w:tcPr>
            <w:tcW w:w="134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(1,954 )</w:t>
            </w: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4,740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(6,694 )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(141.2 )%</w:t>
            </w: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(34,324</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(20,272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(14,052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(63.9 )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(34,328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(20,282</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(14,046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69.3</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gain on short-term investments</w:t>
            </w: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(150 )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(153 )</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(5,105.1 )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loss</w:t>
            </w:r>
          </w:p>
        </w:tc>
        <w:tc>
          <w:tcPr>
            <w:tcW w:w="300" w:type="dxa"/>
            <w:vAlign w:val="bottom"/>
          </w:tcPr>
          <w:p>
            <w:pPr>
              <w:spacing w:after="0"/>
              <w:rPr>
                <w:sz w:val="17"/>
                <w:szCs w:val="17"/>
                <w:color w:val="auto"/>
              </w:rPr>
            </w:pPr>
          </w:p>
        </w:tc>
        <w:tc>
          <w:tcPr>
            <w:tcW w:w="13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(13 )</w:t>
            </w:r>
          </w:p>
        </w:tc>
        <w:tc>
          <w:tcPr>
            <w:tcW w:w="34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(3 )</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comprehensive loss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(34,491 )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(20,282 )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(14,209 )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-2002155</wp:posOffset>
            </wp:positionV>
            <wp:extent cx="7747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-2002155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-2146300</wp:posOffset>
            </wp:positionV>
            <wp:extent cx="93980"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-2146300</wp:posOffset>
            </wp:positionV>
            <wp:extent cx="93980"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-1222375</wp:posOffset>
            </wp:positionV>
            <wp:extent cx="7747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-1222375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-1222375</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-159385</wp:posOffset>
            </wp:positionV>
            <wp:extent cx="7747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-159385</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right="100" w:firstLine="374"/>
        <w:spacing w:after="0" w:line="270" w:lineRule="auto"/>
        <w:rPr>
          <w:sz w:val="20"/>
          <w:szCs w:val="20"/>
          <w:color w:val="auto"/>
        </w:rPr>
      </w:pPr>
      <w:r>
        <w:rPr>
          <w:rFonts w:ascii="Arial" w:cs="Arial" w:eastAsia="Arial" w:hAnsi="Arial"/>
          <w:sz w:val="17"/>
          <w:szCs w:val="17"/>
          <w:color w:val="auto"/>
        </w:rPr>
        <w:t>Sales increased by $11.9 million, or 142.2%, to $20.3 million for the six months ended June 30, 2022, from $8.4 million for the six months ended June 30, 2021. The increase was due to incremental sales of 6,174 LALs primarily due to an increased LDD installed base and incremental sales of 51 LDDs from strong adoption of our RxSight technology by practices and doctors combined with an increased LDD installed base.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7"/>
          <w:szCs w:val="17"/>
          <w:color w:val="auto"/>
        </w:rPr>
        <w:t>Cost of sales increased by $3.7 million, or 45.6%, to $11.8 million for the six months ended June 30, 2022 from $8.1 million for the six months ended June 30, 2021, primarily due to the increase in the number of LALs and LDDs sold during the period. Gross margin increased to 42.1% for the six months ended June 30, 2022, reflecting favorable product mix, from 3.7% for six months ended June 30, 2021. The six months ended June 30, 2021 were negatively impacted as a result of recording a $1.7 million reserve for the six months ended June 30, 2021 that did not recur in the six months ended June 30, 2022 for excess LAL inventory as a result of the introduction of our updated LAL including our ActivShield technology.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140" w:firstLine="374"/>
        <w:spacing w:after="0"/>
        <w:rPr>
          <w:sz w:val="20"/>
          <w:szCs w:val="20"/>
          <w:color w:val="auto"/>
        </w:rPr>
      </w:pPr>
      <w:r>
        <w:rPr>
          <w:rFonts w:ascii="Arial" w:cs="Arial" w:eastAsia="Arial" w:hAnsi="Arial"/>
          <w:sz w:val="18"/>
          <w:szCs w:val="18"/>
          <w:color w:val="auto"/>
        </w:rPr>
        <w:t>Selling, general and administrative expenses increased by $15.9 million, or 131.2%, to $28.0 million for the six months ended June 30, 2022, from $12.1 million for the six months ended June 30, 2021. The increase was primarily driven by an increase in selling and marketing related expenses of $11.7 million due mainly to additional selling and marketing headcount costs of $6.9 million, $1.1 million in higher selling and marketing stock-based compensation expenses, increased travel costs of $1.3 million due to increased LDD sales and the temporary reduction in selling and marketing travel costs during the six months ended June 30, 2021 caused by COVID-19 and increased tradeshow costs of $0.7 million and increased materials and post market study cost of $1.7 million.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76" w:right="239" w:bottom="1440" w:gutter="0" w:footer="0" w:header="0"/>
        </w:sectPr>
      </w:pPr>
    </w:p>
    <w:bookmarkStart w:id="34" w:name="page35"/>
    <w:bookmarkEnd w:id="34"/>
    <w:p>
      <w:pPr>
        <w:jc w:val="both"/>
        <w:ind w:right="240"/>
        <w:spacing w:after="0" w:line="248" w:lineRule="auto"/>
        <w:rPr>
          <w:sz w:val="20"/>
          <w:szCs w:val="20"/>
          <w:color w:val="auto"/>
        </w:rPr>
      </w:pPr>
      <w:r>
        <w:rPr>
          <w:rFonts w:ascii="Arial" w:cs="Arial" w:eastAsia="Arial" w:hAnsi="Arial"/>
          <w:sz w:val="18"/>
          <w:szCs w:val="18"/>
          <w:color w:val="auto"/>
        </w:rPr>
        <w:t>General and administrative costs increased $4.2 million, due to increased personnel expenses of $1.1 million primarily due to increased headcount, $1.4 million in higher general and administrative stock-based compensation expenses and $1.7 million in higher administrative fees related to being a public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Research and development expenses decreased by $0.3 million, or 2.2%, to $12.9 million for the six months ended June 30, 2022, from $13.2 million for the six months ended June 30, 2021. This decrease was primarily attributable to decreased clinical study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firstLine="374"/>
        <w:spacing w:after="0" w:line="294" w:lineRule="auto"/>
        <w:rPr>
          <w:sz w:val="20"/>
          <w:szCs w:val="20"/>
          <w:color w:val="auto"/>
        </w:rPr>
      </w:pPr>
      <w:r>
        <w:rPr>
          <w:rFonts w:ascii="Arial" w:cs="Arial" w:eastAsia="Arial" w:hAnsi="Arial"/>
          <w:sz w:val="16"/>
          <w:szCs w:val="16"/>
          <w:color w:val="auto"/>
        </w:rPr>
        <w:t>Other income (expense), net, increased by $6.7 million to $2.0 million for the six months ended June 30, 2022, from income of $4.7 million for the six months ended June 30, 2021, due primarily to the change in fair value of warrant liabilities of $1.2 million, gain on expiration of a warrant of $5.0 million and $0.7 million of increased interest expense on our amended term loan due to higher average outstanding balances and increased interest paid.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June 30, 2022, we had cash, cash equivalents and short-term investments of $128.6 million. For the six months ended June 30, 2022, and 2021, our loss from operations were $32.4 million and $25.0 million, respectively. We had an accumulated deficit of $513.6 million as of June 30, 2022.</w:t>
      </w:r>
    </w:p>
    <w:p>
      <w:pPr>
        <w:spacing w:after="0" w:line="80"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Prior to our IPO, which we completed in July 2021, our primary sources of capital were private placements of preferred stock, a structured transaction with a strategic partner, debt financing and from sales of our products.</w:t>
      </w:r>
    </w:p>
    <w:p>
      <w:pPr>
        <w:spacing w:after="0" w:line="63" w:lineRule="exact"/>
        <w:rPr>
          <w:sz w:val="20"/>
          <w:szCs w:val="20"/>
          <w:color w:val="auto"/>
        </w:rPr>
      </w:pPr>
    </w:p>
    <w:p>
      <w:pPr>
        <w:ind w:right="320" w:firstLine="374"/>
        <w:spacing w:after="0" w:line="294" w:lineRule="auto"/>
        <w:rPr>
          <w:sz w:val="20"/>
          <w:szCs w:val="20"/>
          <w:color w:val="auto"/>
        </w:rPr>
      </w:pPr>
      <w:r>
        <w:rPr>
          <w:rFonts w:ascii="Arial" w:cs="Arial" w:eastAsia="Arial" w:hAnsi="Arial"/>
          <w:sz w:val="16"/>
          <w:szCs w:val="16"/>
          <w:color w:val="auto"/>
        </w:rPr>
        <w:t>On July 29, 2021, we completed our IPO through an underwritten sale of 8,248,549 shares of its common stock at a price of $16.00 per share. The aggregate net proceeds from the offering, inclusive of an additional 898,549 common shares sold pursuant to the exercise of the underwriters’ over-allotment option, after deducting underwriting discounts and commissions and other offering expenses, were approximately $119.6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04" w:lineRule="exact"/>
        <w:rPr>
          <w:sz w:val="20"/>
          <w:szCs w:val="20"/>
          <w:color w:val="auto"/>
        </w:rPr>
      </w:pPr>
    </w:p>
    <w:p>
      <w:pPr>
        <w:ind w:right="20" w:firstLine="374"/>
        <w:spacing w:after="0" w:line="270" w:lineRule="auto"/>
        <w:rPr>
          <w:sz w:val="20"/>
          <w:szCs w:val="20"/>
          <w:color w:val="auto"/>
        </w:rPr>
      </w:pPr>
      <w:r>
        <w:rPr>
          <w:rFonts w:ascii="Arial" w:cs="Arial" w:eastAsia="Arial" w:hAnsi="Arial"/>
          <w:sz w:val="16"/>
          <w:szCs w:val="16"/>
          <w:color w:val="auto"/>
        </w:rPr>
        <w:t>On May 3, 2022, we entered into a Second Amendment (“Second Amendment”) to the Term Loan (as amended through the Second Amendment, (“Amended Term Loan”). The Amended Term Loan increased the loan and security agreement to $60.0 million, of which $40.0 million was fully funded as of May 3, 2022 from the original term loan. Under the Amended Term Loan, we may borrow an additional amount of up to $10.0 million through June 30, 2023, upon satisfaction of the applicable drawdown conditions and we achieve sufficient trailing twelve-month sales as provided in the agreement for the measurement period ending March 31, 2023. Subject to the terms and conditions of the Amended Term Loan, we may also borrow an additional amount of up to $10.0 million through September 30, 2023, upon satisfaction of the applicable drawdown conditions and we achieve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 The Amended Term Loan extends the maturity date of the loan and security agreement, which was due to expire on October 1, 2025, to February 1, 2027. The Company refers to its $60.0 million Amended Term Loan as its credit facility. See Note 6 - Term Loan in the Notes to the unaudited condensed consolidated financial statements included in this quarterly report.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10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investments, primarily in inventories and accounts receivable;</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service and debt covenant requirements;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additional funds or borrow on our credit facility to finance our operations;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03" w:lineRule="exact"/>
        <w:rPr>
          <w:rFonts w:ascii="Arial" w:cs="Arial" w:eastAsia="Arial" w:hAnsi="Arial"/>
          <w:sz w:val="18"/>
          <w:szCs w:val="18"/>
          <w:color w:val="auto"/>
        </w:rPr>
      </w:pPr>
    </w:p>
    <w:p>
      <w:pPr>
        <w:jc w:val="both"/>
        <w:ind w:left="380" w:right="180" w:hanging="372"/>
        <w:spacing w:after="0" w:line="24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73" w:lineRule="exact"/>
        <w:rPr>
          <w:rFonts w:ascii="Arial" w:cs="Arial" w:eastAsia="Arial" w:hAnsi="Arial"/>
          <w:sz w:val="18"/>
          <w:szCs w:val="18"/>
          <w:color w:val="auto"/>
        </w:rPr>
      </w:pPr>
    </w:p>
    <w:p>
      <w:pPr>
        <w:ind w:left="380" w:right="360" w:hanging="372"/>
        <w:spacing w:after="0" w:line="26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04"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Based on our current planned operations, we expect that our current cash, cash equivalents and short-term investments will be sufficient to fund our operations for the next 12 months after the date our most recent financial statements were issued. Our ability to continue as a going concern is dependent upon our ability to successfully secure sources of financing from equity or debt securities, loans or collaborative agreements and ultimately achieve profitable operations. In the long-term it is likely we will require additional financing from debt or equity to satisfy our liquidity requirements, fund working capital and pay our obligations. There can be no assurance that we will be successful in acquiring additional funding at levels sufficient to fund our operations or on terms favorable to us, if at all. If adequate funds are not available on acceptable terms when 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Part II, Item 1A (Risk Factors) of this Quarterly Report on Form 10-Q for additional risks associated with our substantial capital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sets forth the primary sources and uses of cash, cash equivalents, and restricted cash for each of the periods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20" w:type="dxa"/>
            <w:vAlign w:val="bottom"/>
          </w:tcPr>
          <w:p>
            <w:pPr>
              <w:spacing w:after="0"/>
              <w:rPr>
                <w:sz w:val="19"/>
                <w:szCs w:val="19"/>
                <w:color w:val="auto"/>
              </w:rPr>
            </w:pPr>
          </w:p>
        </w:tc>
        <w:tc>
          <w:tcPr>
            <w:tcW w:w="36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70"/>
              <w:spacing w:after="0" w:line="196" w:lineRule="exact"/>
              <w:rPr>
                <w:sz w:val="20"/>
                <w:szCs w:val="20"/>
                <w:color w:val="auto"/>
              </w:rPr>
            </w:pPr>
            <w:r>
              <w:rPr>
                <w:rFonts w:ascii="Arial" w:cs="Arial" w:eastAsia="Arial" w:hAnsi="Arial"/>
                <w:sz w:val="18"/>
                <w:szCs w:val="18"/>
                <w:b w:val="1"/>
                <w:bCs w:val="1"/>
                <w:color w:val="auto"/>
              </w:rPr>
              <w:t>(unaudited)</w:t>
            </w: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85"/>
              </w:rPr>
              <w:t>(29,808 )</w:t>
            </w: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(22,231 )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28,985</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16,391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Effect of foreign exchange rate on cash, cash equivalents</w:t>
            </w:r>
          </w:p>
        </w:tc>
        <w:tc>
          <w:tcPr>
            <w:tcW w:w="98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(14 )</w:t>
            </w:r>
          </w:p>
        </w:tc>
        <w:tc>
          <w:tcPr>
            <w:tcW w:w="52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restricted cash</w:t>
            </w:r>
          </w:p>
        </w:tc>
        <w:tc>
          <w:tcPr>
            <w:tcW w:w="98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(357 )</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27,837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62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-776605</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Cash used in operating activities</w:t>
      </w:r>
    </w:p>
    <w:p>
      <w:pPr>
        <w:spacing w:after="0" w:line="108" w:lineRule="exact"/>
        <w:rPr>
          <w:sz w:val="20"/>
          <w:szCs w:val="20"/>
          <w:color w:val="auto"/>
        </w:rPr>
      </w:pPr>
    </w:p>
    <w:p>
      <w:pPr>
        <w:ind w:right="120" w:firstLine="374"/>
        <w:spacing w:after="0" w:line="248" w:lineRule="auto"/>
        <w:rPr>
          <w:sz w:val="20"/>
          <w:szCs w:val="20"/>
          <w:color w:val="auto"/>
        </w:rPr>
      </w:pPr>
      <w:r>
        <w:rPr>
          <w:rFonts w:ascii="Arial" w:cs="Arial" w:eastAsia="Arial" w:hAnsi="Arial"/>
          <w:sz w:val="18"/>
          <w:szCs w:val="18"/>
          <w:color w:val="auto"/>
        </w:rPr>
        <w:t>Net cash used in operating activities for the six months ended June 30, 2022, was $29.8 million, consisting primarily of a net loss of $34.3 million, a change in operating assets and liabilities of $3.3 million, partially offset by non-cash stock-based compensation of $5.6 million, and depreciation and amortization of $2.0 million.</w:t>
      </w:r>
    </w:p>
    <w:p>
      <w:pPr>
        <w:spacing w:after="0" w:line="74"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Net cash used in operating activities for the six months ended June 30, 2021, was $22.2 million, consisting primarily of a net loss of $20.3 million, a non-cash gain on expiration of an unexercised warrant of $5.0 million, an increase in operating assets and liabilities of $2.3 million, partially offset by non-cash stock-based compensation of $2.6 million, provision for excess and obsolete inventory of $1.7 million, and depreciation and amortization of $1.9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investing activities</w:t>
      </w:r>
    </w:p>
    <w:p>
      <w:pPr>
        <w:spacing w:after="0" w:line="108" w:lineRule="exact"/>
        <w:rPr>
          <w:sz w:val="20"/>
          <w:szCs w:val="20"/>
          <w:color w:val="auto"/>
        </w:rPr>
      </w:pPr>
    </w:p>
    <w:p>
      <w:pPr>
        <w:ind w:right="580" w:firstLine="374"/>
        <w:spacing w:after="0" w:line="261" w:lineRule="auto"/>
        <w:rPr>
          <w:sz w:val="20"/>
          <w:szCs w:val="20"/>
          <w:color w:val="auto"/>
        </w:rPr>
      </w:pPr>
      <w:r>
        <w:rPr>
          <w:rFonts w:ascii="Arial" w:cs="Arial" w:eastAsia="Arial" w:hAnsi="Arial"/>
          <w:sz w:val="18"/>
          <w:szCs w:val="18"/>
          <w:color w:val="auto"/>
        </w:rPr>
        <w:t>Net cash provided by investing activities for the six months ended June 30, 2022, was $29.0 million, consisting of net maturities of short-term investments of $30.4 million which were offset by purchases of property and equipment of $1.4 million.</w:t>
      </w:r>
    </w:p>
    <w:p>
      <w:pPr>
        <w:spacing w:after="0" w:line="63" w:lineRule="exact"/>
        <w:rPr>
          <w:sz w:val="20"/>
          <w:szCs w:val="20"/>
          <w:color w:val="auto"/>
        </w:rPr>
      </w:pPr>
    </w:p>
    <w:p>
      <w:pPr>
        <w:ind w:right="580" w:firstLine="374"/>
        <w:spacing w:after="0" w:line="261" w:lineRule="auto"/>
        <w:rPr>
          <w:sz w:val="20"/>
          <w:szCs w:val="20"/>
          <w:color w:val="auto"/>
        </w:rPr>
      </w:pPr>
      <w:r>
        <w:rPr>
          <w:rFonts w:ascii="Arial" w:cs="Arial" w:eastAsia="Arial" w:hAnsi="Arial"/>
          <w:sz w:val="18"/>
          <w:szCs w:val="18"/>
          <w:color w:val="auto"/>
        </w:rPr>
        <w:t>Net cash provided by investing activities for the six months ended June 30, 2021, was $33.7 million, consisting of net maturities of short-term investments of $35.0 million, offset by net purchases of property and equipment of $1.3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08" w:lineRule="exact"/>
        <w:rPr>
          <w:sz w:val="20"/>
          <w:szCs w:val="20"/>
          <w:color w:val="auto"/>
        </w:rPr>
      </w:pPr>
    </w:p>
    <w:p>
      <w:pPr>
        <w:ind w:right="520" w:firstLine="374"/>
        <w:spacing w:after="0" w:line="291" w:lineRule="auto"/>
        <w:rPr>
          <w:sz w:val="20"/>
          <w:szCs w:val="20"/>
          <w:color w:val="auto"/>
        </w:rPr>
      </w:pPr>
      <w:r>
        <w:rPr>
          <w:rFonts w:ascii="Arial" w:cs="Arial" w:eastAsia="Arial" w:hAnsi="Arial"/>
          <w:sz w:val="17"/>
          <w:szCs w:val="17"/>
          <w:color w:val="auto"/>
        </w:rPr>
        <w:t>Net cash provided by financing activities for the six months ended June 30, 2022, was $0.5 million, primarily from proceeds from issuances of common stock of $1.0 million partially offset by $0.4 million for payments for employee taxes related to stock compensation.</w:t>
      </w:r>
    </w:p>
    <w:p>
      <w:pPr>
        <w:spacing w:after="0" w:line="39" w:lineRule="exact"/>
        <w:rPr>
          <w:sz w:val="20"/>
          <w:szCs w:val="20"/>
          <w:color w:val="auto"/>
        </w:rPr>
      </w:pPr>
    </w:p>
    <w:p>
      <w:pPr>
        <w:ind w:right="280" w:firstLine="374"/>
        <w:spacing w:after="0" w:line="261" w:lineRule="auto"/>
        <w:rPr>
          <w:sz w:val="20"/>
          <w:szCs w:val="20"/>
          <w:color w:val="auto"/>
        </w:rPr>
      </w:pPr>
      <w:r>
        <w:rPr>
          <w:rFonts w:ascii="Arial" w:cs="Arial" w:eastAsia="Arial" w:hAnsi="Arial"/>
          <w:sz w:val="18"/>
          <w:szCs w:val="18"/>
          <w:color w:val="auto"/>
        </w:rPr>
        <w:t>Net cash from financing activities for the six months ended June 30, 2021, was $16.4 million, consisting primarily of proceeds from a draw on the Company’s term loan of $15.0 million and proceeds from stock options exercised of $1.3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0" w:lineRule="exact"/>
        <w:rPr>
          <w:sz w:val="20"/>
          <w:szCs w:val="20"/>
          <w:color w:val="auto"/>
        </w:rPr>
      </w:pPr>
    </w:p>
    <w:p>
      <w:pPr>
        <w:ind w:right="220" w:firstLine="374"/>
        <w:spacing w:after="0" w:line="261" w:lineRule="auto"/>
        <w:rPr>
          <w:sz w:val="20"/>
          <w:szCs w:val="20"/>
          <w:color w:val="auto"/>
        </w:rPr>
      </w:pPr>
      <w:r>
        <w:rPr>
          <w:rFonts w:ascii="Arial" w:cs="Arial" w:eastAsia="Arial" w:hAnsi="Arial"/>
          <w:sz w:val="18"/>
          <w:szCs w:val="18"/>
          <w:color w:val="auto"/>
        </w:rPr>
        <w:t>We have a standby letter of credit, expiring September 30, 2024, issued by a financial institution as a required security for one operating lease. The aggregate amount of the letter of credit was $0.3 million as of June 30, 2022 and December 31, 2021,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8" w:lineRule="exact"/>
        <w:rPr>
          <w:sz w:val="20"/>
          <w:szCs w:val="20"/>
          <w:color w:val="auto"/>
        </w:rPr>
      </w:pPr>
    </w:p>
    <w:p>
      <w:pPr>
        <w:ind w:right="60" w:firstLine="374"/>
        <w:spacing w:after="0" w:line="274"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w:t>
      </w:r>
    </w:p>
    <w:p>
      <w:pPr>
        <w:spacing w:after="0" w:line="55" w:lineRule="exact"/>
        <w:rPr>
          <w:sz w:val="20"/>
          <w:szCs w:val="20"/>
          <w:color w:val="auto"/>
        </w:rPr>
      </w:pPr>
    </w:p>
    <w:p>
      <w:pPr>
        <w:jc w:val="both"/>
        <w:ind w:right="380" w:firstLine="374"/>
        <w:spacing w:after="0" w:line="248" w:lineRule="auto"/>
        <w:rPr>
          <w:sz w:val="20"/>
          <w:szCs w:val="20"/>
          <w:color w:val="auto"/>
        </w:rPr>
      </w:pPr>
      <w:r>
        <w:rPr>
          <w:rFonts w:ascii="Arial" w:cs="Arial" w:eastAsia="Arial" w:hAnsi="Arial"/>
          <w:sz w:val="18"/>
          <w:szCs w:val="18"/>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74"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For a summary of our critical accounting policies and estimates, refer to “Management's Discussion and Analysis of Financial Condition and Results of Operations” included in our Annual Report on Form 10-K filed with the SEC on March 8, 2022. There have been no material changes to our critical accounting policies and estimates during the six months ended June 30, 2022.</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37" w:name="page38"/>
    <w:bookmarkEnd w:id="37"/>
    <w:p>
      <w:pPr>
        <w:ind w:right="180" w:firstLine="374"/>
        <w:spacing w:after="0" w:line="261" w:lineRule="auto"/>
        <w:rPr>
          <w:sz w:val="20"/>
          <w:szCs w:val="20"/>
          <w:color w:val="auto"/>
        </w:rPr>
      </w:pPr>
      <w:r>
        <w:rPr>
          <w:rFonts w:ascii="Arial" w:cs="Arial" w:eastAsia="Arial" w:hAnsi="Arial"/>
          <w:sz w:val="18"/>
          <w:szCs w:val="18"/>
          <w:color w:val="auto"/>
        </w:rPr>
        <w:t>Our significant accounting policies are described in the notes to our financial statements included in our Annual Report on Form 10-K filed with the SEC on March 8,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80" w:firstLine="374"/>
        <w:spacing w:after="0" w:line="257"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financial statements included elsewhere 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08" w:lineRule="exact"/>
        <w:rPr>
          <w:sz w:val="20"/>
          <w:szCs w:val="20"/>
          <w:color w:val="auto"/>
        </w:rPr>
      </w:pPr>
    </w:p>
    <w:p>
      <w:pPr>
        <w:ind w:firstLine="374"/>
        <w:spacing w:after="0" w:line="27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Quarterly Report on Form 10-Q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55"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80" w:lineRule="exact"/>
        <w:rPr>
          <w:sz w:val="20"/>
          <w:szCs w:val="20"/>
          <w:color w:val="auto"/>
        </w:rPr>
      </w:pPr>
    </w:p>
    <w:p>
      <w:pPr>
        <w:ind w:right="100" w:firstLine="374"/>
        <w:spacing w:after="0"/>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81" w:lineRule="exact"/>
        <w:rPr>
          <w:sz w:val="20"/>
          <w:szCs w:val="20"/>
          <w:color w:val="auto"/>
        </w:rPr>
      </w:pPr>
    </w:p>
    <w:p>
      <w:pPr>
        <w:ind w:right="100" w:firstLine="374"/>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supply chain constraints and inflation</w:t>
      </w:r>
    </w:p>
    <w:p>
      <w:pPr>
        <w:spacing w:after="0" w:line="121" w:lineRule="exact"/>
        <w:rPr>
          <w:sz w:val="20"/>
          <w:szCs w:val="20"/>
          <w:color w:val="auto"/>
        </w:rPr>
      </w:pPr>
    </w:p>
    <w:p>
      <w:pPr>
        <w:jc w:val="both"/>
        <w:ind w:right="120" w:firstLine="374"/>
        <w:spacing w:after="0" w:line="248" w:lineRule="auto"/>
        <w:rPr>
          <w:sz w:val="20"/>
          <w:szCs w:val="20"/>
          <w:color w:val="auto"/>
        </w:rPr>
      </w:pPr>
      <w:r>
        <w:rPr>
          <w:rFonts w:ascii="Arial" w:cs="Arial" w:eastAsia="Arial" w:hAnsi="Arial"/>
          <w:sz w:val="18"/>
          <w:szCs w:val="18"/>
          <w:color w:val="auto"/>
        </w:rPr>
        <w:t>We are subject to the continuing risks related to the public health crises, primarily the global pandemic associated with COVID-19. The COVID-19 outbreak may continue to negatively impact our operations and revenues and overall financial condition by decreasing the number of our RxSight systems sold. While the potential</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40"/>
        <w:spacing w:after="0" w:line="248" w:lineRule="auto"/>
        <w:rPr>
          <w:sz w:val="20"/>
          <w:szCs w:val="20"/>
          <w:color w:val="auto"/>
        </w:rPr>
      </w:pPr>
      <w:r>
        <w:rPr>
          <w:rFonts w:ascii="Arial" w:cs="Arial" w:eastAsia="Arial" w:hAnsi="Arial"/>
          <w:sz w:val="18"/>
          <w:szCs w:val="18"/>
          <w:color w:val="auto"/>
        </w:rPr>
        <w:t>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w:t>
      </w:r>
    </w:p>
    <w:p>
      <w:pPr>
        <w:spacing w:after="0" w:line="74"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war in Ukraine,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Previously, we deferred the introduction of our lower cost-to-manufacture LDD to the market until 2023, as it was less difficult to procure components and subcomponents for our existing LDD than the lower cost-to-manufacture LDD. On June 30, 2022, we received notification from the Food and Drug Administration (“FDA”) that additional information will be required for the approval of its lower-cost-to-manufacture LDD. We believe we can provide the additional requested information to the FDA and obtain FDA approval, however we are also procuring material for our current LDD to mitigate any delay in the FDA’s approval, allowing us to sell both LDDs, which have the same functionality. Our management’s expectation is that the Company’s gross margin will be impacted by its decision to continue to produce the current LDD, which is more expensive to produce than the lower cost-to-manufacture LDD, but it is necessary in order to mitigate potential supply chain issues and delay in FDA approval of the lower cost-to-manufacture LDD.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278" w:lineRule="exact"/>
        <w:rPr>
          <w:sz w:val="20"/>
          <w:szCs w:val="20"/>
          <w:color w:val="auto"/>
        </w:rPr>
      </w:pPr>
    </w:p>
    <w:p>
      <w:pPr>
        <w:ind w:right="280" w:firstLine="374"/>
        <w:spacing w:after="0" w:line="324" w:lineRule="auto"/>
        <w:rPr>
          <w:sz w:val="20"/>
          <w:szCs w:val="20"/>
          <w:color w:val="auto"/>
        </w:rPr>
      </w:pPr>
      <w:r>
        <w:rPr>
          <w:rFonts w:ascii="Arial" w:cs="Arial" w:eastAsia="Arial" w:hAnsi="Arial"/>
          <w:sz w:val="16"/>
          <w:szCs w:val="16"/>
          <w:color w:val="auto"/>
        </w:rPr>
        <w:t>Uncertain macroeconomic conditions including recent inflationary pressures and the rise in interest rates have created significant uncertainty in the U.S. economy and capital markets, which is expected to continue into 2023 and beyond and could negatively impact our financial results and liquidity.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 smaller reporting company, we are not required to provide disclosure under this item.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As of June 30, 2022,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80"/>
        <w:spacing w:after="0" w:line="257" w:lineRule="auto"/>
        <w:rPr>
          <w:sz w:val="20"/>
          <w:szCs w:val="20"/>
          <w:color w:val="auto"/>
        </w:rPr>
      </w:pPr>
      <w:r>
        <w:rPr>
          <w:rFonts w:ascii="Arial" w:cs="Arial" w:eastAsia="Arial" w:hAnsi="Arial"/>
          <w:sz w:val="17"/>
          <w:szCs w:val="17"/>
          <w:color w:val="auto"/>
        </w:rPr>
        <w:t>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40" w:firstLine="374"/>
        <w:spacing w:after="0" w:line="32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June 30, 2022 that has materially affected, or is reasonably likely to materially affect, our internal control over financial reporting.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04"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June 30, 2022,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20" w:firstLine="374"/>
        <w:spacing w:after="0" w:line="254"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In addition to the other information included in this Quarterly Report on Form 10-Q,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Quarterly Report on Form 10-Q. The risks and uncertainties described below may not be the only ones we face. If any of the risks or uncertainties we face were to occur, the trading price of our securities could decline, and you may lose all or part of your investment. This Quarterly Report on Form 10-Q also contains forward-looking statements that involve risks and uncertainties. See the section titled “Special Note Regarding Forward-Looking Statements” appearing elsewhere in this Quarterly Report. Our actual results could differ materially from those anticipated in the forward-looking statements as a result of factors that are described below and elsewhere in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left="380"/>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62" w:lineRule="exact"/>
        <w:rPr>
          <w:sz w:val="20"/>
          <w:szCs w:val="20"/>
          <w:color w:val="auto"/>
        </w:rPr>
      </w:pPr>
    </w:p>
    <w:p>
      <w:pPr>
        <w:ind w:left="1140" w:right="440" w:hanging="383"/>
        <w:spacing w:after="0" w:line="324"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43" w:lineRule="exact"/>
        <w:rPr>
          <w:rFonts w:ascii="Arial" w:cs="Arial" w:eastAsia="Arial" w:hAnsi="Arial"/>
          <w:sz w:val="16"/>
          <w:szCs w:val="16"/>
          <w:color w:val="auto"/>
        </w:rPr>
      </w:pPr>
    </w:p>
    <w:p>
      <w:pPr>
        <w:ind w:left="1140" w:right="78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net operating losses, and we expect to continue to incur losses for the foreseeable future. If we ever achieve profitability, we may not be able to sustain it.</w:t>
      </w:r>
    </w:p>
    <w:p>
      <w:pPr>
        <w:spacing w:after="0" w:line="103"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103"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62" w:lineRule="exact"/>
        <w:rPr>
          <w:sz w:val="20"/>
          <w:szCs w:val="20"/>
          <w:color w:val="auto"/>
        </w:rPr>
      </w:pPr>
    </w:p>
    <w:p>
      <w:pPr>
        <w:ind w:left="1140" w:right="140" w:hanging="383"/>
        <w:spacing w:after="0" w:line="24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14"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and other proprietary information, our business and competitive position may be harmed.</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 which could impair our business.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ind w:left="1140" w:right="400" w:hanging="383"/>
        <w:spacing w:after="0" w:line="261"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62" w:lineRule="exact"/>
        <w:rPr>
          <w:sz w:val="20"/>
          <w:szCs w:val="20"/>
          <w:color w:val="auto"/>
        </w:rPr>
      </w:pPr>
    </w:p>
    <w:p>
      <w:pPr>
        <w:ind w:left="1140" w:right="280" w:hanging="383"/>
        <w:spacing w:after="0" w:line="261"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upon third parties, including single and sole source suppliers, to manufacture certain components and subcomponents of the RxSight system, making us vulnerable to supply disruptions and price fluctuations.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44"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COVID-19:</w:t>
      </w:r>
    </w:p>
    <w:p>
      <w:pPr>
        <w:spacing w:after="0" w:line="148" w:lineRule="exact"/>
        <w:rPr>
          <w:sz w:val="20"/>
          <w:szCs w:val="20"/>
          <w:color w:val="auto"/>
        </w:rPr>
      </w:pPr>
    </w:p>
    <w:p>
      <w:pPr>
        <w:ind w:left="1140" w:right="180" w:hanging="383"/>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have been harmed by the effects of the COVID-19 pandemic and may continue to be harmed.</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risk factors:</w:t>
      </w:r>
    </w:p>
    <w:p>
      <w:pPr>
        <w:spacing w:after="0" w:line="148" w:lineRule="exact"/>
        <w:rPr>
          <w:sz w:val="20"/>
          <w:szCs w:val="20"/>
          <w:color w:val="auto"/>
        </w:rPr>
      </w:pPr>
    </w:p>
    <w:p>
      <w:pPr>
        <w:ind w:left="1140" w:right="140" w:hanging="383"/>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recruit, retain, manage and motivate qualified executives as we build out the management team, and we are highly dependent on our management team.</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litigation proceedings could adversely affect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1" w:name="page42"/>
    <w:bookmarkEnd w:id="41"/>
    <w:p>
      <w:pPr>
        <w:ind w:right="360"/>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79"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9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13"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10" w:lineRule="exact"/>
        <w:rPr>
          <w:sz w:val="20"/>
          <w:szCs w:val="20"/>
          <w:color w:val="auto"/>
        </w:rPr>
      </w:pPr>
    </w:p>
    <w:p>
      <w:pPr>
        <w:ind w:right="160" w:firstLine="374"/>
        <w:spacing w:after="0" w:line="272" w:lineRule="auto"/>
        <w:rPr>
          <w:sz w:val="20"/>
          <w:szCs w:val="20"/>
          <w:color w:val="auto"/>
        </w:rPr>
      </w:pPr>
      <w:r>
        <w:rPr>
          <w:rFonts w:ascii="Arial" w:cs="Arial" w:eastAsia="Arial" w:hAnsi="Arial"/>
          <w:sz w:val="17"/>
          <w:szCs w:val="17"/>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62"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We have incurred losses from operations since our inception and expect to continue to incur losses from operations for the foreseeable future. We reported losses from operations of $52.8 million and $35.4 million for the years ended December 31, 2021 and 2020, respectively and $34.3 million for the six months ended June 30, 2022. As a result of these losses, as of June 30, 2022, we had an accumulated deficit of $513.6 million. We expect to continue to incur significant sales and marketing, research and development, regulatory and other expenses as we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ind w:right="220"/>
        <w:spacing w:after="0" w:line="259" w:lineRule="auto"/>
        <w:rPr>
          <w:sz w:val="20"/>
          <w:szCs w:val="20"/>
          <w:color w:val="auto"/>
        </w:rPr>
      </w:pPr>
      <w:r>
        <w:rPr>
          <w:rFonts w:ascii="Arial" w:cs="Arial" w:eastAsia="Arial" w:hAnsi="Arial"/>
          <w:sz w:val="18"/>
          <w:szCs w:val="18"/>
          <w:color w:val="auto"/>
        </w:rPr>
        <w:t>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additional costs associated with being a public company.</w:t>
      </w:r>
    </w:p>
    <w:p>
      <w:pPr>
        <w:spacing w:after="0" w:line="119" w:lineRule="exact"/>
        <w:rPr>
          <w:sz w:val="20"/>
          <w:szCs w:val="20"/>
          <w:color w:val="auto"/>
        </w:rPr>
      </w:pPr>
    </w:p>
    <w:p>
      <w:pPr>
        <w:ind w:right="400" w:firstLine="374"/>
        <w:spacing w:after="0" w:line="342" w:lineRule="auto"/>
        <w:rPr>
          <w:sz w:val="20"/>
          <w:szCs w:val="20"/>
          <w:color w:val="auto"/>
        </w:rPr>
      </w:pPr>
      <w:r>
        <w:rPr>
          <w:rFonts w:ascii="Arial" w:cs="Arial" w:eastAsia="Arial" w:hAnsi="Arial"/>
          <w:sz w:val="16"/>
          <w:szCs w:val="16"/>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62"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25"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103" w:lineRule="exact"/>
        <w:rPr>
          <w:sz w:val="20"/>
          <w:szCs w:val="20"/>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in leveraging future strategic partnerships;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investments, primarily in inventories and accounts receivable;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service and debt covenant requirements;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raise additional funds or borrow on our credit facility to finance our operations;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amount of reimbursement for procedures using our products;</w:t>
      </w:r>
    </w:p>
    <w:p>
      <w:pPr>
        <w:spacing w:after="0" w:line="130" w:lineRule="exact"/>
        <w:rPr>
          <w:rFonts w:ascii="Arial" w:cs="Arial" w:eastAsia="Arial" w:hAnsi="Arial"/>
          <w:sz w:val="18"/>
          <w:szCs w:val="18"/>
          <w:color w:val="auto"/>
        </w:rPr>
      </w:pPr>
    </w:p>
    <w:p>
      <w:pPr>
        <w:ind w:left="1140" w:hanging="383"/>
        <w:spacing w:after="0" w:line="248"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14" w:lineRule="exact"/>
        <w:rPr>
          <w:rFonts w:ascii="Arial" w:cs="Arial" w:eastAsia="Arial" w:hAnsi="Arial"/>
          <w:sz w:val="18"/>
          <w:szCs w:val="18"/>
          <w:color w:val="auto"/>
        </w:rPr>
      </w:pPr>
    </w:p>
    <w:p>
      <w:pPr>
        <w:ind w:left="1140" w:right="580" w:hanging="383"/>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3" w:name="page44"/>
    <w:bookmarkEnd w:id="43"/>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11" w:lineRule="exact"/>
        <w:rPr>
          <w:sz w:val="20"/>
          <w:szCs w:val="20"/>
          <w:color w:val="auto"/>
        </w:rPr>
      </w:pPr>
    </w:p>
    <w:p>
      <w:pPr>
        <w:ind w:right="20" w:firstLine="374"/>
        <w:spacing w:after="0" w:line="218" w:lineRule="exact"/>
        <w:rPr>
          <w:sz w:val="20"/>
          <w:szCs w:val="20"/>
          <w:color w:val="auto"/>
        </w:rPr>
      </w:pPr>
      <w:r>
        <w:rPr>
          <w:rFonts w:ascii="Arial" w:cs="Arial" w:eastAsia="Arial" w:hAnsi="Arial"/>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Arial" w:cs="Arial" w:eastAsia="Arial" w:hAnsi="Arial"/>
          <w:sz w:val="18"/>
          <w:szCs w:val="18"/>
          <w:color w:val="auto"/>
        </w:rPr>
        <w:t>19 pandemic, the conflicts in Eastern Europe, and otherwise.</w:t>
      </w:r>
    </w:p>
    <w:p>
      <w:pPr>
        <w:spacing w:after="0" w:line="139"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As of June 30, 2022 and December 31, 2021, we had $128.6 million and $159.3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Quarterly Report on Form 10-Q,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9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b w:val="1"/>
          <w:bCs w:val="1"/>
          <w:i w:val="1"/>
          <w:iCs w:val="1"/>
          <w:color w:val="auto"/>
        </w:rPr>
        <w:t>The terms of our amended term loan place restrictions on our operating and financial flexibility, and failure to comply with covenants or to satisfy certain conditions of the agreement governing the term loan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106"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Our credit facility (“Amended Term Loan”) with Oxford Finance, provides for a $60.0 million term-loan facility scheduled to mature on February 1, 2027, of which $40.0 million was fully drawn as of May 1, 2022. Subject to the terms and conditions of the Amended Term Loan, we may borrow up to $10.0 million during the second quarter of 2023 and up to another $10.0 million in the third quarter of 2023. We refer to our Amended Term Loan collectively as our credit facility.</w:t>
      </w:r>
    </w:p>
    <w:p>
      <w:pPr>
        <w:spacing w:after="0" w:line="119"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Our payment obligations under the Amended Term Loan reduce cash available to fund working capital, capital expenditures, research and development and general corporate needs. In addition, indebtedness under the Amended Term Loan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19" w:lineRule="exact"/>
        <w:rPr>
          <w:sz w:val="20"/>
          <w:szCs w:val="20"/>
          <w:color w:val="auto"/>
        </w:rPr>
      </w:pPr>
    </w:p>
    <w:p>
      <w:pPr>
        <w:ind w:right="260" w:firstLine="374"/>
        <w:spacing w:after="0" w:line="311" w:lineRule="auto"/>
        <w:rPr>
          <w:sz w:val="20"/>
          <w:szCs w:val="20"/>
          <w:color w:val="auto"/>
        </w:rPr>
      </w:pPr>
      <w:r>
        <w:rPr>
          <w:rFonts w:ascii="Arial" w:cs="Arial" w:eastAsia="Arial" w:hAnsi="Arial"/>
          <w:sz w:val="16"/>
          <w:szCs w:val="16"/>
          <w:color w:val="auto"/>
        </w:rPr>
        <w:t>Our obligations under the Amended Term Loan are secured by substantially all of our assets, excluding intellectual property. The security interest granted over our assets could limit our ability to obtain additional debt financing. The Amended Term Loan also requires us to comply with a number of other covenants (affirmative and negative), including restrictive covenants that limit our ability to: incur additional indebtedness; encumber the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4" w:name="page45"/>
    <w:bookmarkEnd w:id="44"/>
    <w:p>
      <w:pPr>
        <w:ind w:right="40"/>
        <w:spacing w:after="0" w:line="286" w:lineRule="auto"/>
        <w:rPr>
          <w:sz w:val="20"/>
          <w:szCs w:val="20"/>
          <w:color w:val="auto"/>
        </w:rPr>
      </w:pPr>
      <w:r>
        <w:rPr>
          <w:rFonts w:ascii="Arial" w:cs="Arial" w:eastAsia="Arial" w:hAnsi="Arial"/>
          <w:sz w:val="17"/>
          <w:szCs w:val="17"/>
          <w:color w:val="auto"/>
        </w:rPr>
        <w:t>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98"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87" w:lineRule="exact"/>
        <w:rPr>
          <w:sz w:val="20"/>
          <w:szCs w:val="20"/>
          <w:color w:val="auto"/>
        </w:rPr>
      </w:pPr>
    </w:p>
    <w:p>
      <w:pPr>
        <w:jc w:val="both"/>
        <w:ind w:right="260" w:firstLine="374"/>
        <w:spacing w:after="0" w:line="263" w:lineRule="auto"/>
        <w:rPr>
          <w:sz w:val="20"/>
          <w:szCs w:val="20"/>
          <w:color w:val="auto"/>
        </w:rPr>
      </w:pPr>
      <w:r>
        <w:rPr>
          <w:rFonts w:ascii="Arial" w:cs="Arial" w:eastAsia="Arial" w:hAnsi="Arial"/>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332"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103"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03" w:lineRule="exact"/>
        <w:rPr>
          <w:sz w:val="20"/>
          <w:szCs w:val="20"/>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actual and perceived effectiveness and reliability of our RxSight system, especially relative to alternative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patient events involving our RxSight system;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clinical trials relating to our RxSight system;</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sustain meaningful clinical benefits for our patients;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our planned or future products for use in the United States or internationally;</w:t>
      </w:r>
    </w:p>
    <w:p>
      <w:pPr>
        <w:spacing w:after="0" w:line="144" w:lineRule="exact"/>
        <w:rPr>
          <w:rFonts w:ascii="Arial" w:cs="Arial" w:eastAsia="Arial" w:hAnsi="Arial"/>
          <w:sz w:val="18"/>
          <w:szCs w:val="18"/>
          <w:color w:val="auto"/>
        </w:rPr>
      </w:pPr>
    </w:p>
    <w:p>
      <w:pPr>
        <w:ind w:left="1140" w:right="260" w:hanging="383"/>
        <w:spacing w:after="0" w:line="261"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relative cost and perceived advantages and disadvantages of alternative technologies or treatment methods for conditions treated by our products;</w:t>
      </w:r>
    </w:p>
    <w:p>
      <w:pPr>
        <w:spacing w:after="0" w:line="89" w:lineRule="exact"/>
        <w:rPr>
          <w:rFonts w:ascii="Arial" w:cs="Arial" w:eastAsia="Arial" w:hAnsi="Arial"/>
          <w:sz w:val="18"/>
          <w:szCs w:val="18"/>
          <w:color w:val="auto"/>
        </w:rPr>
      </w:pPr>
    </w:p>
    <w:p>
      <w:pPr>
        <w:ind w:left="1140" w:hanging="383"/>
        <w:spacing w:after="0" w:line="24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1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to which doctors adopt our RxSight system;</w:t>
      </w:r>
    </w:p>
    <w:p>
      <w:pPr>
        <w:spacing w:after="0" w:line="144"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fact that governmental and private health care providers and payors around the world are increasingly utilizing managed care for the delivery of health care services, centralizing purchasing,</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ind w:left="1140" w:right="120"/>
        <w:spacing w:after="0" w:line="248" w:lineRule="auto"/>
        <w:rPr>
          <w:sz w:val="20"/>
          <w:szCs w:val="20"/>
          <w:color w:val="auto"/>
        </w:rPr>
      </w:pPr>
      <w:r>
        <w:rPr>
          <w:rFonts w:ascii="Arial" w:cs="Arial" w:eastAsia="Arial" w:hAnsi="Arial"/>
          <w:sz w:val="18"/>
          <w:szCs w:val="18"/>
          <w:color w:val="auto"/>
        </w:rPr>
        <w:t>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14"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 and to our RxSight system;</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degree to which patients value the customized vision delivered by the RxSight system and are satisfied with their results;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achieving and maintaining compliance with regulatory requirements applicable to our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are successful in educating doctors about IOLs in general, and the benefits of our RxSight system;</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among doctors;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our marketing and commercial organization;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 the United States, including our efforts to build out our sales team;</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expand the commercialization of our products into international markets;</w:t>
      </w:r>
    </w:p>
    <w:p>
      <w:pPr>
        <w:spacing w:after="0" w:line="144"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develop, validate and maintain a commercially viable manufacturing process that is compliant with the Quality Systems Regulations (“QSR”), and other applicable foreign, federal and state regulatory requirements;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ongoing or future clinical trials; and</w:t>
      </w:r>
    </w:p>
    <w:p>
      <w:pPr>
        <w:spacing w:after="0" w:line="130"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are required by the FDA or comparable non-U.S. regulatory authorities to conduct additional clinical trials for current or future indications.</w:t>
      </w:r>
    </w:p>
    <w:p>
      <w:pPr>
        <w:spacing w:after="0" w:line="103" w:lineRule="exact"/>
        <w:rPr>
          <w:sz w:val="20"/>
          <w:szCs w:val="20"/>
          <w:color w:val="auto"/>
        </w:rPr>
      </w:pPr>
    </w:p>
    <w:p>
      <w:pPr>
        <w:ind w:right="120" w:firstLine="374"/>
        <w:spacing w:after="0" w:line="239" w:lineRule="auto"/>
        <w:rPr>
          <w:sz w:val="20"/>
          <w:szCs w:val="20"/>
          <w:color w:val="auto"/>
        </w:rPr>
      </w:pPr>
      <w:r>
        <w:rPr>
          <w:rFonts w:ascii="Arial" w:cs="Arial" w:eastAsia="Arial" w:hAnsi="Arial"/>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2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63"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ind w:right="60"/>
        <w:spacing w:after="0" w:line="261" w:lineRule="auto"/>
        <w:rPr>
          <w:sz w:val="20"/>
          <w:szCs w:val="20"/>
          <w:color w:val="auto"/>
        </w:rPr>
      </w:pPr>
      <w:r>
        <w:rPr>
          <w:rFonts w:ascii="Arial" w:cs="Arial" w:eastAsia="Arial" w:hAnsi="Arial"/>
          <w:sz w:val="18"/>
          <w:szCs w:val="18"/>
          <w:color w:val="auto"/>
        </w:rPr>
        <w:t>result may negatively impact the perception of patient benefit and safety and limit adoption of our products, which would have a material adverse effect on our business, financial condition and results of operations.</w:t>
      </w:r>
    </w:p>
    <w:p>
      <w:pPr>
        <w:spacing w:after="0" w:line="103"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RxSight system will depend upon attaining significant market acceptance of these products among patients and doctors.</w:t>
      </w:r>
    </w:p>
    <w:p>
      <w:pPr>
        <w:spacing w:after="0" w:line="138"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104" w:lineRule="exact"/>
        <w:rPr>
          <w:sz w:val="20"/>
          <w:szCs w:val="20"/>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long-standing relationships with competing companies and distributors that sell other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safety or clinical benefits;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 commitment and skill development that may be required to gain familiarity and proficiency with our products;</w:t>
      </w:r>
    </w:p>
    <w:p>
      <w:pPr>
        <w:spacing w:after="0" w:line="130"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confusion regarding the wide range of commercially available premium IOL offerings and their ability to deliver promised results at near, middle and far distances without reliance on glasses;</w:t>
      </w:r>
    </w:p>
    <w:p>
      <w:pPr>
        <w:spacing w:after="0" w:line="103" w:lineRule="exact"/>
        <w:rPr>
          <w:rFonts w:ascii="Arial" w:cs="Arial" w:eastAsia="Arial" w:hAnsi="Arial"/>
          <w:sz w:val="18"/>
          <w:szCs w:val="18"/>
          <w:color w:val="auto"/>
        </w:rPr>
      </w:pPr>
    </w:p>
    <w:p>
      <w:pPr>
        <w:ind w:left="1140" w:right="560" w:hanging="383"/>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reticence to select a premium IOL due to nonperformance and adverse side effects associated with competing products in the market;</w:t>
      </w:r>
    </w:p>
    <w:p>
      <w:pPr>
        <w:spacing w:after="0" w:line="103" w:lineRule="exact"/>
        <w:rPr>
          <w:rFonts w:ascii="Arial" w:cs="Arial" w:eastAsia="Arial" w:hAnsi="Arial"/>
          <w:sz w:val="18"/>
          <w:szCs w:val="18"/>
          <w:color w:val="auto"/>
        </w:rPr>
      </w:pPr>
    </w:p>
    <w:p>
      <w:pPr>
        <w:ind w:left="1140" w:right="100" w:hanging="383"/>
        <w:spacing w:after="0" w:line="248"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00"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generate patient referral due to dissatisfaction with results obtained through treatment with our products, the out-of-pocket cost of treatments using our products or otherwise.</w:t>
      </w:r>
    </w:p>
    <w:p>
      <w:pPr>
        <w:spacing w:after="0" w:line="103"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114" w:lineRule="exact"/>
        <w:rPr>
          <w:sz w:val="20"/>
          <w:szCs w:val="20"/>
          <w:color w:val="auto"/>
        </w:rPr>
      </w:pPr>
    </w:p>
    <w:p>
      <w:pPr>
        <w:jc w:val="both"/>
        <w:ind w:right="600" w:firstLine="374"/>
        <w:spacing w:after="0" w:line="294"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7" w:name="page48"/>
    <w:bookmarkEnd w:id="47"/>
    <w:p>
      <w:pPr>
        <w:ind w:right="80" w:firstLine="374"/>
        <w:spacing w:after="0" w:line="274" w:lineRule="auto"/>
        <w:rPr>
          <w:sz w:val="20"/>
          <w:szCs w:val="20"/>
          <w:color w:val="auto"/>
        </w:rPr>
      </w:pPr>
      <w:r>
        <w:rPr>
          <w:rFonts w:ascii="Arial" w:cs="Arial" w:eastAsia="Arial" w:hAnsi="Arial"/>
          <w:sz w:val="16"/>
          <w:szCs w:val="16"/>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6"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RxSight system involves surgical risks and is contraindicated in certain patients, which may limit adoption.</w:t>
      </w:r>
    </w:p>
    <w:p>
      <w:pPr>
        <w:spacing w:after="0" w:line="144" w:lineRule="exact"/>
        <w:rPr>
          <w:sz w:val="20"/>
          <w:szCs w:val="20"/>
          <w:color w:val="auto"/>
        </w:rPr>
      </w:pPr>
    </w:p>
    <w:p>
      <w:pPr>
        <w:ind w:right="120" w:firstLine="374"/>
        <w:spacing w:after="0" w:line="243" w:lineRule="auto"/>
        <w:rPr>
          <w:sz w:val="20"/>
          <w:szCs w:val="20"/>
          <w:color w:val="auto"/>
        </w:rPr>
      </w:pPr>
      <w:r>
        <w:rPr>
          <w:rFonts w:ascii="Arial" w:cs="Arial" w:eastAsia="Arial" w:hAnsi="Arial"/>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62"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Carl Zeiss Meditec, Bausch + Lomb, and Hoya Corporation.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103" w:lineRule="exact"/>
        <w:rPr>
          <w:sz w:val="20"/>
          <w:szCs w:val="20"/>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of patient outcomes, oftentimes measured by visual acuity, and adverse event rates;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experience, including patient recovery time and level of discomfort;</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by treating doctors and referral sources;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Doctor learning curves and willingness to adopt new technologies;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Ease-of-use and reliability;</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benefits and cost savings;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Strength of clinical evidence;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distribution and marketing to surgeons and potential patients;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price and qualification for coverage and reimbursement.</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8" w:name="page49"/>
    <w:bookmarkEnd w:id="48"/>
    <w:p>
      <w:pPr>
        <w:ind w:right="180" w:firstLine="374"/>
        <w:spacing w:after="0" w:line="261" w:lineRule="auto"/>
        <w:rPr>
          <w:sz w:val="20"/>
          <w:szCs w:val="20"/>
          <w:color w:val="auto"/>
        </w:rPr>
      </w:pPr>
      <w:r>
        <w:rPr>
          <w:rFonts w:ascii="Arial" w:cs="Arial" w:eastAsia="Arial" w:hAnsi="Arial"/>
          <w:sz w:val="18"/>
          <w:szCs w:val="18"/>
          <w:color w:val="auto"/>
        </w:rPr>
        <w:t>We compete primarily on the basis that our products are designed to enable more doctors to treat more patients more efficiently and effectively. Our continued success depends on our ability to:</w:t>
      </w:r>
    </w:p>
    <w:p>
      <w:pPr>
        <w:spacing w:after="0" w:line="103" w:lineRule="exact"/>
        <w:rPr>
          <w:sz w:val="20"/>
          <w:szCs w:val="20"/>
          <w:color w:val="auto"/>
        </w:rPr>
      </w:pPr>
    </w:p>
    <w:p>
      <w:pPr>
        <w:ind w:left="1140" w:right="20" w:hanging="383"/>
        <w:spacing w:after="0" w:line="261"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develop innovative, proprietary products that address significant clinical needs in a manner that is safe and effective for patients and easy-to-use for doctors;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regulatory clearances or approvals;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safety and effectiveness in our sponsored and third-party clinical trials;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sales force across key markets to increase doctors’ awareness;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coverage and adequate reimbursement for procedures using our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skilled research, development, sales and clinical personnel;</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cost-effectively manufacture, market and sell our products;</w:t>
      </w:r>
    </w:p>
    <w:p>
      <w:pPr>
        <w:spacing w:after="0" w:line="130"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doctors with a sufficient return on investment as compared to alternative premium IOL procedures that justifies the upfront cost of our LDD; and</w:t>
      </w:r>
    </w:p>
    <w:p>
      <w:pPr>
        <w:spacing w:after="0" w:line="103" w:lineRule="exact"/>
        <w:rPr>
          <w:rFonts w:ascii="Arial" w:cs="Arial" w:eastAsia="Arial" w:hAnsi="Arial"/>
          <w:sz w:val="18"/>
          <w:szCs w:val="18"/>
          <w:color w:val="auto"/>
        </w:rPr>
      </w:pPr>
    </w:p>
    <w:p>
      <w:pPr>
        <w:ind w:left="1140" w:right="500" w:hanging="383"/>
        <w:spacing w:after="0" w:line="261"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03"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08" w:lineRule="exact"/>
        <w:rPr>
          <w:sz w:val="20"/>
          <w:szCs w:val="20"/>
          <w:color w:val="auto"/>
        </w:rPr>
      </w:pPr>
    </w:p>
    <w:p>
      <w:pPr>
        <w:ind w:right="40" w:firstLine="374"/>
        <w:spacing w:after="0" w:line="284"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38"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We currently maintain our research and development, manufacturing and administrative operations in Aliso Viejo, California, and we do not have redundant facilities. We operate a single manufacturing facility, and should 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9" w:name="page50"/>
    <w:bookmarkEnd w:id="49"/>
    <w:p>
      <w:pPr>
        <w:ind w:right="60" w:firstLine="374"/>
        <w:spacing w:after="0" w:line="274" w:lineRule="auto"/>
        <w:rPr>
          <w:sz w:val="20"/>
          <w:szCs w:val="20"/>
          <w:color w:val="auto"/>
        </w:rPr>
      </w:pPr>
      <w:r>
        <w:rPr>
          <w:rFonts w:ascii="Arial" w:cs="Arial" w:eastAsia="Arial" w:hAnsi="Arial"/>
          <w:sz w:val="16"/>
          <w:szCs w:val="16"/>
          <w:color w:val="auto"/>
        </w:rPr>
        <w:t>Furthermore, the current leases on our four facilities expire, respectively, on (i) September 30, 2024, with one option to extend for five years; (ii) January 31, 2026, with three options to extend for five years each; (iii) March 31, 2025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change may adversely affect sales of our products and may cause our products to become obsolete.</w:t>
      </w:r>
    </w:p>
    <w:p>
      <w:pPr>
        <w:spacing w:after="0" w:line="117"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1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6" w:lineRule="exact"/>
        <w:rPr>
          <w:sz w:val="20"/>
          <w:szCs w:val="20"/>
          <w:color w:val="auto"/>
        </w:rPr>
      </w:pPr>
    </w:p>
    <w:p>
      <w:pPr>
        <w:ind w:right="140" w:firstLine="374"/>
        <w:spacing w:after="0" w:line="253" w:lineRule="auto"/>
        <w:rPr>
          <w:sz w:val="20"/>
          <w:szCs w:val="20"/>
          <w:color w:val="auto"/>
        </w:rPr>
      </w:pPr>
      <w:r>
        <w:rPr>
          <w:rFonts w:ascii="Arial" w:cs="Arial" w:eastAsia="Arial" w:hAnsi="Arial"/>
          <w:sz w:val="17"/>
          <w:szCs w:val="17"/>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clinical trials are unsuccessful or significantly delayed, or if we do not complete our clinical trials, our business may be harmed.</w:t>
      </w:r>
    </w:p>
    <w:p>
      <w:pPr>
        <w:spacing w:after="0" w:line="129"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0" w:name="page51"/>
    <w:bookmarkEnd w:id="50"/>
    <w:p>
      <w:pPr>
        <w:ind w:right="660" w:firstLine="374"/>
        <w:spacing w:after="0" w:line="324"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57" w:lineRule="exact"/>
        <w:rPr>
          <w:sz w:val="20"/>
          <w:szCs w:val="20"/>
          <w:color w:val="auto"/>
        </w:rPr>
      </w:pPr>
    </w:p>
    <w:p>
      <w:pPr>
        <w:ind w:left="1140" w:right="180" w:hanging="383"/>
        <w:spacing w:after="0" w:line="291"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65" w:lineRule="exact"/>
        <w:rPr>
          <w:rFonts w:ascii="Arial" w:cs="Arial" w:eastAsia="Arial" w:hAnsi="Arial"/>
          <w:sz w:val="17"/>
          <w:szCs w:val="17"/>
          <w:color w:val="auto"/>
        </w:rPr>
      </w:pPr>
    </w:p>
    <w:p>
      <w:pPr>
        <w:ind w:left="1140" w:right="46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we may experience high screen failure rates in our clinical trials, resulting in significant delays;</w:t>
      </w:r>
    </w:p>
    <w:p>
      <w:pPr>
        <w:spacing w:after="0" w:line="103" w:lineRule="exact"/>
        <w:rPr>
          <w:rFonts w:ascii="Arial" w:cs="Arial" w:eastAsia="Arial" w:hAnsi="Arial"/>
          <w:sz w:val="18"/>
          <w:szCs w:val="18"/>
          <w:color w:val="auto"/>
        </w:rPr>
      </w:pPr>
    </w:p>
    <w:p>
      <w:pPr>
        <w:ind w:left="1140" w:right="36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trial results may not meet the level of statistical significance required by the FDA or other regulatory authorities;</w:t>
      </w:r>
    </w:p>
    <w:p>
      <w:pPr>
        <w:spacing w:after="0" w:line="130"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that one or more of our products is not sufficiently safe for investigational use in humans;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interpret data from preclinical testing and clinical trials in different ways than we do;</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delays or failure in obtaining approval of our clinical trial protocols from the FDA or other regulatory authorities;</w:t>
      </w:r>
    </w:p>
    <w:p>
      <w:pPr>
        <w:spacing w:after="0" w:line="130"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delays in obtaining institutional review board approvals or governmental approvals to conduct clinical trials at prospective sites;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similar foreign regulatory authorities may find our or our suppliers’ manufacturing processes or facilities unsatisfactory;</w:t>
      </w:r>
    </w:p>
    <w:p>
      <w:pPr>
        <w:spacing w:after="0" w:line="155" w:lineRule="exact"/>
        <w:rPr>
          <w:rFonts w:ascii="Arial" w:cs="Arial" w:eastAsia="Arial" w:hAnsi="Arial"/>
          <w:sz w:val="17"/>
          <w:szCs w:val="17"/>
          <w:color w:val="auto"/>
        </w:rPr>
      </w:pPr>
    </w:p>
    <w:p>
      <w:pPr>
        <w:ind w:left="1140" w:right="18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trouble in managing multiple clinical sites;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trouble finding patients to enroll in our trials;</w:t>
      </w:r>
    </w:p>
    <w:p>
      <w:pPr>
        <w:spacing w:after="0" w:line="144"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experience delays in agreeing on acceptable terms with third-party research organizations and trial sites that may help us conduct the clinical trials; and</w:t>
      </w:r>
    </w:p>
    <w:p>
      <w:pPr>
        <w:spacing w:after="0" w:line="89"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regulators, may suspend or terminate our clinical trials because the participating patients are being exposed to unacceptable health risks.</w:t>
      </w:r>
    </w:p>
    <w:p>
      <w:pPr>
        <w:spacing w:after="0" w:line="103"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62" w:lineRule="exact"/>
        <w:rPr>
          <w:sz w:val="20"/>
          <w:szCs w:val="20"/>
          <w:color w:val="auto"/>
        </w:rPr>
      </w:pPr>
    </w:p>
    <w:p>
      <w:pPr>
        <w:ind w:firstLine="374"/>
        <w:spacing w:after="0" w:line="262" w:lineRule="auto"/>
        <w:rPr>
          <w:sz w:val="20"/>
          <w:szCs w:val="20"/>
          <w:color w:val="auto"/>
        </w:rPr>
      </w:pPr>
      <w:r>
        <w:rPr>
          <w:rFonts w:ascii="Arial" w:cs="Arial" w:eastAsia="Arial" w:hAnsi="Arial"/>
          <w:sz w:val="17"/>
          <w:szCs w:val="17"/>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1" w:name="page52"/>
    <w:bookmarkEnd w:id="51"/>
    <w:p>
      <w:pPr>
        <w:ind w:right="60"/>
        <w:spacing w:after="0" w:line="291" w:lineRule="auto"/>
        <w:rPr>
          <w:sz w:val="20"/>
          <w:szCs w:val="20"/>
          <w:color w:val="auto"/>
        </w:rPr>
      </w:pPr>
      <w:r>
        <w:rPr>
          <w:rFonts w:ascii="Arial" w:cs="Arial" w:eastAsia="Arial" w:hAnsi="Arial"/>
          <w:sz w:val="17"/>
          <w:szCs w:val="17"/>
          <w:color w:val="auto"/>
        </w:rPr>
        <w:t>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62"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1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76"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22" w:lineRule="exact"/>
        <w:rPr>
          <w:sz w:val="20"/>
          <w:szCs w:val="20"/>
          <w:color w:val="auto"/>
        </w:rPr>
      </w:pPr>
    </w:p>
    <w:p>
      <w:pPr>
        <w:ind w:firstLine="374"/>
        <w:spacing w:after="0" w:line="268" w:lineRule="auto"/>
        <w:rPr>
          <w:sz w:val="20"/>
          <w:szCs w:val="20"/>
          <w:color w:val="auto"/>
        </w:rPr>
      </w:pPr>
      <w:r>
        <w:rPr>
          <w:rFonts w:ascii="Arial" w:cs="Arial" w:eastAsia="Arial" w:hAnsi="Arial"/>
          <w:sz w:val="16"/>
          <w:szCs w:val="16"/>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04" w:lineRule="exact"/>
        <w:rPr>
          <w:sz w:val="20"/>
          <w:szCs w:val="20"/>
          <w:color w:val="auto"/>
        </w:rPr>
      </w:pPr>
    </w:p>
    <w:p>
      <w:pPr>
        <w:ind w:right="240" w:firstLine="374"/>
        <w:spacing w:after="0" w:line="241" w:lineRule="auto"/>
        <w:rPr>
          <w:sz w:val="20"/>
          <w:szCs w:val="20"/>
          <w:color w:val="auto"/>
        </w:rPr>
      </w:pPr>
      <w:r>
        <w:rPr>
          <w:rFonts w:ascii="Arial" w:cs="Arial" w:eastAsia="Arial" w:hAnsi="Arial"/>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requirements or otherwise gain market acceptance, our business, financial condition and results of operations would be harmed.</w:t>
      </w:r>
    </w:p>
    <w:p>
      <w:pPr>
        <w:spacing w:after="0" w:line="14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acquire and develop other products, we may be unable to grow our business.</w:t>
      </w:r>
    </w:p>
    <w:p>
      <w:pPr>
        <w:spacing w:after="0" w:line="117" w:lineRule="exact"/>
        <w:rPr>
          <w:sz w:val="20"/>
          <w:szCs w:val="20"/>
          <w:color w:val="auto"/>
        </w:rPr>
      </w:pPr>
    </w:p>
    <w:p>
      <w:pPr>
        <w:jc w:val="both"/>
        <w:ind w:right="500" w:firstLine="374"/>
        <w:spacing w:after="0" w:line="248" w:lineRule="auto"/>
        <w:rPr>
          <w:sz w:val="20"/>
          <w:szCs w:val="20"/>
          <w:color w:val="auto"/>
        </w:rPr>
      </w:pPr>
      <w:r>
        <w:rPr>
          <w:rFonts w:ascii="Arial" w:cs="Arial" w:eastAsia="Arial" w:hAnsi="Arial"/>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14"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22"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07"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10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16"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12"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3" w:name="page54"/>
    <w:bookmarkEnd w:id="53"/>
    <w:p>
      <w:pPr>
        <w:ind w:firstLine="374"/>
        <w:spacing w:after="0" w:line="252"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18" w:lineRule="exact"/>
        <w:rPr>
          <w:sz w:val="20"/>
          <w:szCs w:val="20"/>
          <w:color w:val="auto"/>
        </w:rPr>
      </w:pPr>
    </w:p>
    <w:p>
      <w:pPr>
        <w:ind w:right="80" w:firstLine="374"/>
        <w:spacing w:after="0" w:line="279"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78" w:lineRule="exact"/>
        <w:rPr>
          <w:sz w:val="20"/>
          <w:szCs w:val="20"/>
          <w:color w:val="auto"/>
        </w:rPr>
      </w:pPr>
    </w:p>
    <w:p>
      <w:pPr>
        <w:ind w:right="40" w:firstLine="374"/>
        <w:spacing w:after="0" w:line="262" w:lineRule="auto"/>
        <w:rPr>
          <w:sz w:val="20"/>
          <w:szCs w:val="20"/>
          <w:color w:val="auto"/>
        </w:rPr>
      </w:pPr>
      <w:r>
        <w:rPr>
          <w:rFonts w:ascii="Arial" w:cs="Arial" w:eastAsia="Arial" w:hAnsi="Arial"/>
          <w:sz w:val="17"/>
          <w:szCs w:val="17"/>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105"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11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76"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4" w:name="page55"/>
    <w:bookmarkEnd w:id="54"/>
    <w:p>
      <w:pPr>
        <w:ind w:right="360" w:firstLine="374"/>
        <w:spacing w:after="0" w:line="24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market and sell our products.</w:t>
      </w:r>
    </w:p>
    <w:p>
      <w:pPr>
        <w:spacing w:after="0" w:line="131"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6" w:lineRule="exact"/>
        <w:rPr>
          <w:sz w:val="20"/>
          <w:szCs w:val="20"/>
          <w:color w:val="auto"/>
        </w:rPr>
      </w:pPr>
    </w:p>
    <w:p>
      <w:pPr>
        <w:ind w:right="180" w:firstLine="374"/>
        <w:spacing w:after="0" w:line="243" w:lineRule="auto"/>
        <w:rPr>
          <w:sz w:val="20"/>
          <w:szCs w:val="20"/>
          <w:color w:val="auto"/>
        </w:rPr>
      </w:pPr>
      <w:r>
        <w:rPr>
          <w:rFonts w:ascii="Arial" w:cs="Arial" w:eastAsia="Arial" w:hAnsi="Arial"/>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20"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6" w:lineRule="exact"/>
        <w:rPr>
          <w:sz w:val="20"/>
          <w:szCs w:val="20"/>
          <w:color w:val="auto"/>
        </w:rPr>
      </w:pPr>
    </w:p>
    <w:p>
      <w:pPr>
        <w:ind w:right="480" w:firstLine="374"/>
        <w:spacing w:after="0" w:line="248" w:lineRule="auto"/>
        <w:rPr>
          <w:sz w:val="20"/>
          <w:szCs w:val="20"/>
          <w:color w:val="auto"/>
        </w:rPr>
      </w:pPr>
      <w:r>
        <w:rPr>
          <w:rFonts w:ascii="Arial" w:cs="Arial" w:eastAsia="Arial" w:hAnsi="Arial"/>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01" w:lineRule="exact"/>
        <w:rPr>
          <w:sz w:val="20"/>
          <w:szCs w:val="20"/>
          <w:color w:val="auto"/>
        </w:rPr>
      </w:pPr>
    </w:p>
    <w:p>
      <w:pPr>
        <w:ind w:left="1140" w:right="56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 including changes to regulatory requirements and implementation of new regulations in foreign countries;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ind w:left="1140" w:hanging="383"/>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44"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(“FCPA”) or comparable foreign regulations;</w:t>
      </w:r>
    </w:p>
    <w:p>
      <w:pPr>
        <w:spacing w:after="0" w:line="130"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31" w:lineRule="exact"/>
        <w:rPr>
          <w:sz w:val="20"/>
          <w:szCs w:val="20"/>
          <w:color w:val="auto"/>
        </w:rPr>
      </w:pPr>
    </w:p>
    <w:p>
      <w:pPr>
        <w:ind w:right="60" w:firstLine="374"/>
        <w:spacing w:after="0" w:line="291" w:lineRule="auto"/>
        <w:rPr>
          <w:sz w:val="20"/>
          <w:szCs w:val="20"/>
          <w:color w:val="auto"/>
        </w:rPr>
      </w:pPr>
      <w:r>
        <w:rPr>
          <w:rFonts w:ascii="Arial" w:cs="Arial" w:eastAsia="Arial" w:hAnsi="Arial"/>
          <w:sz w:val="17"/>
          <w:szCs w:val="17"/>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79"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04" w:lineRule="exact"/>
        <w:rPr>
          <w:sz w:val="20"/>
          <w:szCs w:val="20"/>
          <w:color w:val="auto"/>
        </w:rPr>
      </w:pPr>
    </w:p>
    <w:p>
      <w:pPr>
        <w:ind w:right="60" w:firstLine="374"/>
        <w:spacing w:after="0" w:line="253" w:lineRule="auto"/>
        <w:rPr>
          <w:sz w:val="20"/>
          <w:szCs w:val="20"/>
          <w:color w:val="auto"/>
        </w:rPr>
      </w:pPr>
      <w:r>
        <w:rPr>
          <w:rFonts w:ascii="Arial" w:cs="Arial" w:eastAsia="Arial" w:hAnsi="Arial"/>
          <w:sz w:val="17"/>
          <w:szCs w:val="17"/>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international markets and manage business on a global scale could negatively affect our business, financial results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140"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1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62" w:lineRule="exact"/>
        <w:rPr>
          <w:sz w:val="20"/>
          <w:szCs w:val="20"/>
          <w:color w:val="auto"/>
        </w:rPr>
      </w:pPr>
    </w:p>
    <w:p>
      <w:pPr>
        <w:ind w:right="140" w:firstLine="374"/>
        <w:spacing w:after="0" w:line="254" w:lineRule="auto"/>
        <w:rPr>
          <w:sz w:val="20"/>
          <w:szCs w:val="20"/>
          <w:color w:val="auto"/>
        </w:rPr>
      </w:pPr>
      <w:r>
        <w:rPr>
          <w:rFonts w:ascii="Arial" w:cs="Arial" w:eastAsia="Arial" w:hAnsi="Arial"/>
          <w:sz w:val="17"/>
          <w:szCs w:val="17"/>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17" w:lineRule="exact"/>
        <w:rPr>
          <w:sz w:val="20"/>
          <w:szCs w:val="20"/>
          <w:color w:val="auto"/>
        </w:rPr>
      </w:pPr>
    </w:p>
    <w:p>
      <w:pPr>
        <w:ind w:right="140" w:firstLine="374"/>
        <w:spacing w:after="0" w:line="241" w:lineRule="auto"/>
        <w:rPr>
          <w:sz w:val="20"/>
          <w:szCs w:val="20"/>
          <w:color w:val="auto"/>
        </w:rPr>
      </w:pPr>
      <w:r>
        <w:rPr>
          <w:rFonts w:ascii="Arial" w:cs="Arial" w:eastAsia="Arial" w:hAnsi="Arial"/>
          <w:sz w:val="18"/>
          <w:szCs w:val="18"/>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ind w:right="80"/>
        <w:spacing w:after="0" w:line="261" w:lineRule="auto"/>
        <w:rPr>
          <w:sz w:val="20"/>
          <w:szCs w:val="20"/>
          <w:color w:val="auto"/>
        </w:rPr>
      </w:pPr>
      <w:r>
        <w:rPr>
          <w:rFonts w:ascii="Arial" w:cs="Arial" w:eastAsia="Arial" w:hAnsi="Arial"/>
          <w:sz w:val="18"/>
          <w:szCs w:val="18"/>
          <w:color w:val="auto"/>
        </w:rPr>
        <w:t>results may fluctuate, period-to-period comparisons may not be the best indication of the underlying results of our business and should only be relied upon as one factor in determining how our business is performing.</w:t>
      </w:r>
    </w:p>
    <w:p>
      <w:pPr>
        <w:spacing w:after="0" w:line="10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76" w:lineRule="exact"/>
        <w:rPr>
          <w:sz w:val="20"/>
          <w:szCs w:val="20"/>
          <w:color w:val="auto"/>
        </w:rPr>
      </w:pPr>
    </w:p>
    <w:p>
      <w:pPr>
        <w:ind w:right="100" w:firstLine="374"/>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operating results and financial metrics may be difficult to predict as a result of seasonality.</w:t>
      </w:r>
    </w:p>
    <w:p>
      <w:pPr>
        <w:spacing w:after="0" w:line="117"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62" w:lineRule="exact"/>
        <w:rPr>
          <w:sz w:val="20"/>
          <w:szCs w:val="20"/>
          <w:color w:val="auto"/>
        </w:rPr>
      </w:pPr>
    </w:p>
    <w:p>
      <w:pPr>
        <w:ind w:right="120" w:firstLine="374"/>
        <w:spacing w:after="0" w:line="255" w:lineRule="auto"/>
        <w:rPr>
          <w:sz w:val="20"/>
          <w:szCs w:val="20"/>
          <w:color w:val="auto"/>
        </w:rPr>
      </w:pPr>
      <w:r>
        <w:rPr>
          <w:rFonts w:ascii="Arial" w:cs="Arial" w:eastAsia="Arial" w:hAnsi="Arial"/>
          <w:sz w:val="18"/>
          <w:szCs w:val="18"/>
          <w:color w:val="auto"/>
        </w:rPr>
        <w:t>As of December 31, 2021, we had federal net operating loss carryforwards (“NOLs”) of approximately $270.4 million, which will begin to expire in various years ranging from 2022 to 2037. Our NOLs could expire unused and be unavailable to offset future income tax liabilities because of their limited duration or because of restrictions under U.S. tax law. Under the Tax Act, as modified by the Coronavirus Aid, Relief, and Economic Security Act, or the CARES Act, our federal NOLs generated in tax years ending after December 31, 2017 may be carried forward indefinitely, but the deductibility of such federal net NOLs in tax years beginning after December 31, 2020 is limited to 80% of taxable income. It is uncertain if and to what extent various states will conform to the Tax Act, as modified by the CARES Act.</w:t>
      </w:r>
    </w:p>
    <w:p>
      <w:pPr>
        <w:spacing w:after="0" w:line="125"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6"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04"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1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11"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104"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9" w:name="page60"/>
    <w:bookmarkEnd w:id="59"/>
    <w:p>
      <w:pPr>
        <w:ind w:right="60" w:firstLine="374"/>
        <w:spacing w:after="0" w:line="254" w:lineRule="auto"/>
        <w:rPr>
          <w:sz w:val="20"/>
          <w:szCs w:val="20"/>
          <w:color w:val="auto"/>
        </w:rPr>
      </w:pPr>
      <w:r>
        <w:rPr>
          <w:rFonts w:ascii="Arial" w:cs="Arial" w:eastAsia="Arial" w:hAnsi="Arial"/>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27"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9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19"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0" w:lineRule="exact"/>
        <w:rPr>
          <w:sz w:val="20"/>
          <w:szCs w:val="20"/>
          <w:color w:val="auto"/>
        </w:rPr>
      </w:pPr>
    </w:p>
    <w:p>
      <w:pPr>
        <w:ind w:right="160" w:firstLine="374"/>
        <w:spacing w:after="0" w:line="279" w:lineRule="auto"/>
        <w:rPr>
          <w:sz w:val="20"/>
          <w:szCs w:val="20"/>
          <w:color w:val="auto"/>
        </w:rPr>
      </w:pPr>
      <w:r>
        <w:rPr>
          <w:rFonts w:ascii="Arial" w:cs="Arial" w:eastAsia="Arial" w:hAnsi="Arial"/>
          <w:sz w:val="17"/>
          <w:szCs w:val="17"/>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90"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0" w:name="page61"/>
    <w:bookmarkEnd w:id="60"/>
    <w:p>
      <w:pPr>
        <w:ind w:right="80"/>
        <w:spacing w:after="0" w:line="277" w:lineRule="auto"/>
        <w:rPr>
          <w:sz w:val="20"/>
          <w:szCs w:val="20"/>
          <w:color w:val="auto"/>
        </w:rPr>
      </w:pPr>
      <w:r>
        <w:rPr>
          <w:rFonts w:ascii="Arial" w:cs="Arial" w:eastAsia="Arial" w:hAnsi="Arial"/>
          <w:sz w:val="18"/>
          <w:szCs w:val="18"/>
          <w:color w:val="auto"/>
        </w:rPr>
        <w:t>intellectual property, nor can we be certain that our agreements with such parties will be upheld in the face of a potential challenge, or that they will not be breached, for which we may not have an adequate remedy.</w:t>
      </w:r>
    </w:p>
    <w:p>
      <w:pPr>
        <w:spacing w:after="0" w:line="10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83" w:lineRule="exact"/>
        <w:rPr>
          <w:sz w:val="20"/>
          <w:szCs w:val="20"/>
          <w:color w:val="auto"/>
        </w:rPr>
      </w:pPr>
    </w:p>
    <w:p>
      <w:pPr>
        <w:ind w:right="60" w:firstLine="374"/>
        <w:spacing w:after="0" w:line="288" w:lineRule="auto"/>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01" w:lineRule="exact"/>
        <w:rPr>
          <w:sz w:val="20"/>
          <w:szCs w:val="20"/>
          <w:color w:val="auto"/>
        </w:rPr>
      </w:pPr>
    </w:p>
    <w:p>
      <w:pPr>
        <w:jc w:val="both"/>
        <w:ind w:right="60" w:firstLine="374"/>
        <w:spacing w:after="0" w:line="301"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technology for an adequate amount of time.</w:t>
      </w:r>
    </w:p>
    <w:p>
      <w:pPr>
        <w:spacing w:after="0" w:line="1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9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1" w:name="page62"/>
    <w:bookmarkEnd w:id="61"/>
    <w:p>
      <w:pPr>
        <w:ind w:right="140"/>
        <w:spacing w:after="0" w:line="270" w:lineRule="auto"/>
        <w:rPr>
          <w:sz w:val="20"/>
          <w:szCs w:val="20"/>
          <w:color w:val="auto"/>
        </w:rPr>
      </w:pPr>
      <w:r>
        <w:rPr>
          <w:rFonts w:ascii="Arial" w:cs="Arial" w:eastAsia="Arial" w:hAnsi="Arial"/>
          <w:sz w:val="17"/>
          <w:szCs w:val="17"/>
          <w:color w:val="auto"/>
        </w:rPr>
        <w:t>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68"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0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2" w:name="page63"/>
    <w:bookmarkEnd w:id="62"/>
    <w:p>
      <w:pPr>
        <w:ind w:right="1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18"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83"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98"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62"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medical device industry has been characterized by extensive litigation regarding patents, trademarks, trade secrets and other intellectual property rights, and companies in the industry have used intellectual property litigation</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3" w:name="page64"/>
    <w:bookmarkEnd w:id="63"/>
    <w:p>
      <w:pPr>
        <w:ind w:right="20"/>
        <w:spacing w:after="0" w:line="285" w:lineRule="auto"/>
        <w:rPr>
          <w:sz w:val="20"/>
          <w:szCs w:val="20"/>
          <w:color w:val="auto"/>
        </w:rPr>
      </w:pPr>
      <w:r>
        <w:rPr>
          <w:rFonts w:ascii="Arial" w:cs="Arial" w:eastAsia="Arial" w:hAnsi="Arial"/>
          <w:sz w:val="16"/>
          <w:szCs w:val="16"/>
          <w:color w:val="auto"/>
        </w:rPr>
        <w:t>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317"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84"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9"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4" w:name="page65"/>
    <w:bookmarkEnd w:id="64"/>
    <w:p>
      <w:pPr>
        <w:ind w:right="80" w:firstLine="374"/>
        <w:spacing w:after="0" w:line="255"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25"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87"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97"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to develop and commercialize our products are subject, in part, to the terms and conditions of licenses granted to us by others.</w:t>
      </w:r>
    </w:p>
    <w:p>
      <w:pPr>
        <w:spacing w:after="0" w:line="129"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11"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99" w:lineRule="exact"/>
        <w:rPr>
          <w:sz w:val="20"/>
          <w:szCs w:val="20"/>
          <w:color w:val="auto"/>
        </w:rPr>
      </w:pPr>
    </w:p>
    <w:p>
      <w:pPr>
        <w:ind w:right="360" w:firstLine="374"/>
        <w:spacing w:after="0" w:line="342"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56"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jc w:val="both"/>
        <w:ind w:right="440"/>
        <w:spacing w:after="0" w:line="311"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41"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arise between us and our future licensors regarding intellectual property subject to a license agreement, including:</w:t>
      </w:r>
    </w:p>
    <w:p>
      <w:pPr>
        <w:spacing w:after="0" w:line="144" w:lineRule="exact"/>
        <w:rPr>
          <w:sz w:val="20"/>
          <w:szCs w:val="20"/>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1140" w:right="46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30"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44"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any of our future licensors and us and our partners.</w:t>
      </w:r>
    </w:p>
    <w:p>
      <w:pPr>
        <w:spacing w:after="0" w:line="90" w:lineRule="exact"/>
        <w:rPr>
          <w:sz w:val="20"/>
          <w:szCs w:val="20"/>
          <w:color w:val="auto"/>
        </w:rPr>
      </w:pPr>
    </w:p>
    <w:p>
      <w:pPr>
        <w:jc w:val="both"/>
        <w:ind w:right="240" w:firstLine="374"/>
        <w:spacing w:after="0" w:line="342"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6"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98"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00" w:lineRule="exact"/>
        <w:rPr>
          <w:sz w:val="20"/>
          <w:szCs w:val="20"/>
          <w:color w:val="auto"/>
        </w:rPr>
      </w:pPr>
    </w:p>
    <w:p>
      <w:pPr>
        <w:jc w:val="both"/>
        <w:ind w:right="160" w:firstLine="374"/>
        <w:spacing w:after="0" w:line="263"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ind w:firstLine="374"/>
        <w:spacing w:after="0" w:line="275" w:lineRule="auto"/>
        <w:rPr>
          <w:sz w:val="20"/>
          <w:szCs w:val="20"/>
          <w:color w:val="auto"/>
        </w:rPr>
      </w:pPr>
      <w:r>
        <w:rPr>
          <w:rFonts w:ascii="Arial" w:cs="Arial" w:eastAsia="Arial" w:hAnsi="Arial"/>
          <w:sz w:val="17"/>
          <w:szCs w:val="17"/>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09"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any products we may develop through acquisitions and in-licenses.</w:t>
      </w:r>
    </w:p>
    <w:p>
      <w:pPr>
        <w:spacing w:after="0" w:line="117"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1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03" w:lineRule="exact"/>
        <w:rPr>
          <w:sz w:val="20"/>
          <w:szCs w:val="20"/>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30" w:lineRule="exact"/>
        <w:rPr>
          <w:rFonts w:ascii="Arial" w:cs="Arial" w:eastAsia="Arial" w:hAnsi="Arial"/>
          <w:sz w:val="18"/>
          <w:szCs w:val="18"/>
          <w:color w:val="auto"/>
        </w:rPr>
      </w:pPr>
    </w:p>
    <w:p>
      <w:pPr>
        <w:jc w:val="both"/>
        <w:ind w:left="1140" w:right="280" w:hanging="383"/>
        <w:spacing w:after="0" w:line="294" w:lineRule="auto"/>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79" w:lineRule="exact"/>
        <w:rPr>
          <w:rFonts w:ascii="Arial" w:cs="Arial" w:eastAsia="Arial" w:hAnsi="Arial"/>
          <w:sz w:val="16"/>
          <w:szCs w:val="16"/>
          <w:color w:val="auto"/>
        </w:rPr>
      </w:pPr>
    </w:p>
    <w:p>
      <w:pPr>
        <w:ind w:left="1140" w:right="18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current and future products;</w:t>
      </w:r>
    </w:p>
    <w:p>
      <w:pPr>
        <w:spacing w:after="0" w:line="103" w:lineRule="exact"/>
        <w:rPr>
          <w:rFonts w:ascii="Arial" w:cs="Arial" w:eastAsia="Arial" w:hAnsi="Arial"/>
          <w:sz w:val="18"/>
          <w:szCs w:val="18"/>
          <w:color w:val="auto"/>
        </w:rPr>
      </w:pPr>
    </w:p>
    <w:p>
      <w:pPr>
        <w:ind w:left="1140" w:right="36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8" w:name="page69"/>
    <w:bookmarkEnd w:id="68"/>
    <w:p>
      <w:pPr>
        <w:ind w:left="1140" w:right="580" w:hanging="383"/>
        <w:spacing w:after="0" w:line="248"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14" w:lineRule="exact"/>
        <w:rPr>
          <w:rFonts w:ascii="Arial" w:cs="Arial" w:eastAsia="Arial" w:hAnsi="Arial"/>
          <w:sz w:val="18"/>
          <w:szCs w:val="18"/>
          <w:color w:val="auto"/>
        </w:rPr>
      </w:pPr>
    </w:p>
    <w:p>
      <w:pPr>
        <w:ind w:left="1140" w:right="100" w:hanging="383"/>
        <w:spacing w:after="0" w:line="324"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43" w:lineRule="exact"/>
        <w:rPr>
          <w:rFonts w:ascii="Arial" w:cs="Arial" w:eastAsia="Arial" w:hAnsi="Arial"/>
          <w:sz w:val="16"/>
          <w:szCs w:val="16"/>
          <w:color w:val="auto"/>
        </w:rPr>
      </w:pPr>
    </w:p>
    <w:p>
      <w:pPr>
        <w:ind w:left="1140" w:right="84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03" w:lineRule="exact"/>
        <w:rPr>
          <w:rFonts w:ascii="Arial" w:cs="Arial" w:eastAsia="Arial" w:hAnsi="Arial"/>
          <w:sz w:val="18"/>
          <w:szCs w:val="18"/>
          <w:color w:val="auto"/>
        </w:rPr>
      </w:pPr>
    </w:p>
    <w:p>
      <w:pPr>
        <w:ind w:left="1140" w:right="38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03" w:lineRule="exact"/>
        <w:rPr>
          <w:rFonts w:ascii="Arial" w:cs="Arial" w:eastAsia="Arial" w:hAnsi="Arial"/>
          <w:sz w:val="18"/>
          <w:szCs w:val="18"/>
          <w:color w:val="auto"/>
        </w:rPr>
      </w:pPr>
    </w:p>
    <w:p>
      <w:pPr>
        <w:ind w:left="1140" w:right="56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1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62"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ind w:right="440"/>
        <w:spacing w:after="0" w:line="277" w:lineRule="auto"/>
        <w:rPr>
          <w:sz w:val="20"/>
          <w:szCs w:val="20"/>
          <w:color w:val="auto"/>
        </w:rPr>
      </w:pPr>
      <w:r>
        <w:rPr>
          <w:rFonts w:ascii="Arial" w:cs="Arial" w:eastAsia="Arial" w:hAnsi="Arial"/>
          <w:sz w:val="18"/>
          <w:szCs w:val="18"/>
          <w:color w:val="auto"/>
        </w:rPr>
        <w:t>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03"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97"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27" w:lineRule="exact"/>
        <w:rPr>
          <w:sz w:val="20"/>
          <w:szCs w:val="20"/>
          <w:color w:val="auto"/>
        </w:rPr>
      </w:pPr>
    </w:p>
    <w:p>
      <w:pPr>
        <w:ind w:right="240" w:firstLine="374"/>
        <w:spacing w:after="0" w:line="275"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0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0" w:name="page71"/>
    <w:bookmarkEnd w:id="70"/>
    <w:p>
      <w:pPr>
        <w:ind w:firstLine="374"/>
        <w:spacing w:after="0" w:line="289"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117" w:lineRule="exact"/>
        <w:rPr>
          <w:sz w:val="20"/>
          <w:szCs w:val="20"/>
          <w:color w:val="auto"/>
        </w:rPr>
      </w:pPr>
    </w:p>
    <w:p>
      <w:pPr>
        <w:ind w:right="100" w:firstLine="374"/>
        <w:spacing w:after="0" w:line="269" w:lineRule="auto"/>
        <w:rPr>
          <w:sz w:val="20"/>
          <w:szCs w:val="20"/>
          <w:color w:val="auto"/>
        </w:rPr>
      </w:pPr>
      <w:r>
        <w:rPr>
          <w:rFonts w:ascii="Arial" w:cs="Arial" w:eastAsia="Arial" w:hAnsi="Arial"/>
          <w:sz w:val="17"/>
          <w:szCs w:val="17"/>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101"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9"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00" w:firstLine="374"/>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9" w:lineRule="exact"/>
        <w:rPr>
          <w:sz w:val="20"/>
          <w:szCs w:val="20"/>
          <w:color w:val="auto"/>
        </w:rPr>
      </w:pPr>
    </w:p>
    <w:p>
      <w:pPr>
        <w:ind w:left="1140" w:right="12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9"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103"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of our current or future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1140" w:right="106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current or future owned or in-licensed patent applications will not lead to issued patents;</w:t>
      </w:r>
    </w:p>
    <w:p>
      <w:pPr>
        <w:spacing w:after="0" w:line="144"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103" w:lineRule="exact"/>
        <w:rPr>
          <w:rFonts w:ascii="Arial" w:cs="Arial" w:eastAsia="Arial" w:hAnsi="Arial"/>
          <w:sz w:val="18"/>
          <w:szCs w:val="18"/>
          <w:color w:val="auto"/>
        </w:rPr>
      </w:pPr>
    </w:p>
    <w:p>
      <w:pPr>
        <w:ind w:left="1140" w:right="80" w:hanging="383"/>
        <w:spacing w:after="0" w:line="294"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6" w:lineRule="exact"/>
        <w:rPr>
          <w:rFonts w:ascii="Arial" w:cs="Arial" w:eastAsia="Arial" w:hAnsi="Arial"/>
          <w:sz w:val="16"/>
          <w:szCs w:val="16"/>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44"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63"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2" w:name="page73"/>
    <w:bookmarkEnd w:id="72"/>
    <w:p>
      <w:pPr>
        <w:ind w:right="80"/>
        <w:spacing w:after="0" w:line="243" w:lineRule="auto"/>
        <w:rPr>
          <w:sz w:val="20"/>
          <w:szCs w:val="20"/>
          <w:color w:val="auto"/>
        </w:rPr>
      </w:pPr>
      <w:r>
        <w:rPr>
          <w:rFonts w:ascii="Arial" w:cs="Arial" w:eastAsia="Arial" w:hAnsi="Arial"/>
          <w:sz w:val="18"/>
          <w:szCs w:val="18"/>
          <w:color w:val="auto"/>
        </w:rPr>
        <w:t>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63" w:lineRule="exact"/>
        <w:rPr>
          <w:sz w:val="20"/>
          <w:szCs w:val="20"/>
          <w:color w:val="auto"/>
        </w:rPr>
      </w:pPr>
    </w:p>
    <w:p>
      <w:pPr>
        <w:ind w:firstLine="374"/>
        <w:spacing w:after="0" w:line="251" w:lineRule="auto"/>
        <w:rPr>
          <w:sz w:val="20"/>
          <w:szCs w:val="20"/>
          <w:color w:val="auto"/>
        </w:rPr>
      </w:pPr>
      <w:r>
        <w:rPr>
          <w:rFonts w:ascii="Arial" w:cs="Arial" w:eastAsia="Arial" w:hAnsi="Arial"/>
          <w:sz w:val="17"/>
          <w:szCs w:val="17"/>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3"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63" w:lineRule="exact"/>
        <w:rPr>
          <w:sz w:val="20"/>
          <w:szCs w:val="20"/>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 and effective;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changes;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 marketing surveillance, including reporting of deaths or serious injuries and recalls and correction and removals.</w:t>
      </w:r>
    </w:p>
    <w:p>
      <w:pPr>
        <w:spacing w:after="0" w:line="144"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Before a new medical device, or a new intended use for an existing product, can be marketed in the United States, a company must first submit and receive either 510(k) clearance pursuant to Section 510(k) of the Food,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Drug and Cosmetic Act, or the (“FDCA”), or approval of a premarket approval, or PMA, application from the FDA, unless an exemption applies.</w:t>
      </w:r>
    </w:p>
    <w:p>
      <w:pPr>
        <w:spacing w:after="0" w:line="156" w:lineRule="exact"/>
        <w:rPr>
          <w:sz w:val="20"/>
          <w:szCs w:val="20"/>
          <w:color w:val="auto"/>
        </w:rPr>
      </w:pPr>
    </w:p>
    <w:p>
      <w:pPr>
        <w:ind w:firstLine="374"/>
        <w:spacing w:after="0" w:line="252" w:lineRule="auto"/>
        <w:rPr>
          <w:sz w:val="20"/>
          <w:szCs w:val="20"/>
          <w:color w:val="auto"/>
        </w:rPr>
      </w:pPr>
      <w:r>
        <w:rPr>
          <w:rFonts w:ascii="Arial" w:cs="Arial" w:eastAsia="Arial" w:hAnsi="Arial"/>
          <w:sz w:val="17"/>
          <w:szCs w:val="17"/>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44" w:lineRule="exact"/>
        <w:rPr>
          <w:sz w:val="20"/>
          <w:szCs w:val="20"/>
          <w:color w:val="auto"/>
        </w:rPr>
      </w:pPr>
    </w:p>
    <w:p>
      <w:pPr>
        <w:ind w:left="1140" w:right="16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03"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30" w:lineRule="exact"/>
        <w:rPr>
          <w:rFonts w:ascii="Arial" w:cs="Arial" w:eastAsia="Arial" w:hAnsi="Arial"/>
          <w:sz w:val="18"/>
          <w:szCs w:val="18"/>
          <w:color w:val="auto"/>
        </w:rPr>
      </w:pPr>
    </w:p>
    <w:p>
      <w:pPr>
        <w:ind w:left="1140" w:right="360" w:hanging="383"/>
        <w:spacing w:after="0" w:line="262"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04" w:lineRule="exact"/>
        <w:rPr>
          <w:rFonts w:ascii="Arial" w:cs="Arial" w:eastAsia="Arial" w:hAnsi="Arial"/>
          <w:sz w:val="17"/>
          <w:szCs w:val="17"/>
          <w:color w:val="auto"/>
        </w:rPr>
      </w:pPr>
    </w:p>
    <w:p>
      <w:pPr>
        <w:ind w:left="1140" w:right="12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applicable regulatory authority may identify significant deficiencies in our manufacturing processes, facilities or analytical methods or those of our third-party contract manufacturers;</w:t>
      </w:r>
    </w:p>
    <w:p>
      <w:pPr>
        <w:spacing w:after="0" w:line="103"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9"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foreign regulatory authorities may audit our clinical trial data and conclude that the data is not sufficiently reliable to support approval or clearance.</w:t>
      </w:r>
    </w:p>
    <w:p>
      <w:pPr>
        <w:spacing w:after="0" w:line="103" w:lineRule="exact"/>
        <w:rPr>
          <w:sz w:val="20"/>
          <w:szCs w:val="20"/>
          <w:color w:val="auto"/>
        </w:rPr>
      </w:pPr>
    </w:p>
    <w:p>
      <w:pPr>
        <w:ind w:firstLine="374"/>
        <w:spacing w:after="0" w:line="262" w:lineRule="auto"/>
        <w:rPr>
          <w:sz w:val="20"/>
          <w:szCs w:val="20"/>
          <w:color w:val="auto"/>
        </w:rPr>
      </w:pPr>
      <w:r>
        <w:rPr>
          <w:rFonts w:ascii="Arial" w:cs="Arial" w:eastAsia="Arial" w:hAnsi="Arial"/>
          <w:sz w:val="17"/>
          <w:szCs w:val="17"/>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4" w:name="page75"/>
    <w:bookmarkEnd w:id="74"/>
    <w:p>
      <w:pPr>
        <w:ind w:right="300"/>
        <w:spacing w:after="0" w:line="261" w:lineRule="auto"/>
        <w:rPr>
          <w:sz w:val="20"/>
          <w:szCs w:val="20"/>
          <w:color w:val="auto"/>
        </w:rPr>
      </w:pPr>
      <w:r>
        <w:rPr>
          <w:rFonts w:ascii="Arial" w:cs="Arial" w:eastAsia="Arial" w:hAnsi="Arial"/>
          <w:sz w:val="18"/>
          <w:szCs w:val="18"/>
          <w:color w:val="auto"/>
        </w:rPr>
        <w:t>labeling, promotion and advertising of medical devices, including comparative and superiority claims vis a vis competitors’ products, that may be made about products.</w:t>
      </w:r>
    </w:p>
    <w:p>
      <w:pPr>
        <w:spacing w:after="0" w:line="103"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93"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20"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22"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93" w:lineRule="exact"/>
        <w:rPr>
          <w:sz w:val="20"/>
          <w:szCs w:val="20"/>
          <w:color w:val="auto"/>
        </w:rPr>
      </w:pPr>
    </w:p>
    <w:p>
      <w:pPr>
        <w:ind w:right="700" w:firstLine="374"/>
        <w:spacing w:after="0" w:line="261"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103" w:lineRule="exact"/>
        <w:rPr>
          <w:sz w:val="20"/>
          <w:szCs w:val="20"/>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 of our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denial of our requests for 510(k) clearance or PMA of new products, new intended uses or modifications to existing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510(k) clearance or PMAs that have already been granted;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in the United States.</w:t>
      </w:r>
    </w:p>
    <w:p>
      <w:pPr>
        <w:spacing w:after="0" w:line="117"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9"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76"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110"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01"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6" w:name="page77"/>
    <w:bookmarkEnd w:id="76"/>
    <w:p>
      <w:pPr>
        <w:spacing w:after="0" w:line="275" w:lineRule="auto"/>
        <w:rPr>
          <w:sz w:val="20"/>
          <w:szCs w:val="20"/>
          <w:color w:val="auto"/>
        </w:rPr>
      </w:pPr>
      <w:r>
        <w:rPr>
          <w:rFonts w:ascii="Arial" w:cs="Arial" w:eastAsia="Arial" w:hAnsi="Arial"/>
          <w:sz w:val="17"/>
          <w:szCs w:val="17"/>
          <w:color w:val="auto"/>
        </w:rPr>
        <w:t>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09"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fail to comply with applicable regulatory requirements, a regulatory agency or enforcement authority may, among other things:</w:t>
      </w:r>
    </w:p>
    <w:p>
      <w:pPr>
        <w:spacing w:after="0" w:line="158" w:lineRule="exact"/>
        <w:rPr>
          <w:sz w:val="20"/>
          <w:szCs w:val="20"/>
          <w:color w:val="auto"/>
        </w:rPr>
      </w:pPr>
    </w:p>
    <w:p>
      <w:pPr>
        <w:ind w:left="1140" w:right="740" w:hanging="383"/>
        <w:spacing w:after="0" w:line="26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our facility to an adverse inspectional finding or Form 483, or other compliance or enforcement notice, communication or correspondence;</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warning or untitled letters that would result in adverse publicity or may require corrective advertising;</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suspend or withdraw regulatory clearances or approvals;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refuse to clear or approve pending applications or supplements to approved applications submitted by us;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sub-assembly suppliers’ facilities;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31"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103"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6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7" w:name="page78"/>
    <w:bookmarkEnd w:id="77"/>
    <w:p>
      <w:pPr>
        <w:ind w:right="20"/>
        <w:spacing w:after="0" w:line="293" w:lineRule="auto"/>
        <w:rPr>
          <w:sz w:val="20"/>
          <w:szCs w:val="20"/>
          <w:color w:val="auto"/>
        </w:rPr>
      </w:pPr>
      <w:r>
        <w:rPr>
          <w:rFonts w:ascii="Arial" w:cs="Arial" w:eastAsia="Arial" w:hAnsi="Arial"/>
          <w:sz w:val="16"/>
          <w:szCs w:val="16"/>
          <w:color w:val="auto"/>
        </w:rPr>
        <w:t>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6"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00"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 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1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1" w:lineRule="exact"/>
        <w:rPr>
          <w:sz w:val="20"/>
          <w:szCs w:val="20"/>
          <w:color w:val="auto"/>
        </w:rPr>
      </w:pPr>
    </w:p>
    <w:p>
      <w:pPr>
        <w:ind w:right="80" w:firstLine="8"/>
        <w:spacing w:after="0" w:line="269"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62"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20" w:lineRule="exact"/>
        <w:rPr>
          <w:sz w:val="20"/>
          <w:szCs w:val="20"/>
          <w:color w:val="auto"/>
        </w:rPr>
      </w:pPr>
    </w:p>
    <w:p>
      <w:pPr>
        <w:jc w:val="both"/>
        <w:ind w:right="80" w:firstLine="374"/>
        <w:spacing w:after="0" w:line="275" w:lineRule="auto"/>
        <w:rPr>
          <w:sz w:val="20"/>
          <w:szCs w:val="20"/>
          <w:color w:val="auto"/>
        </w:rPr>
      </w:pPr>
      <w:r>
        <w:rPr>
          <w:rFonts w:ascii="Arial" w:cs="Arial" w:eastAsia="Arial" w:hAnsi="Arial"/>
          <w:sz w:val="17"/>
          <w:szCs w:val="17"/>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95"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90"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62"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Our manufacturing and design processes and those of our third-party component suppliers are required to comply with the FDA’s Quality System 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01" w:lineRule="exact"/>
        <w:rPr>
          <w:sz w:val="20"/>
          <w:szCs w:val="20"/>
          <w:color w:val="auto"/>
        </w:rPr>
      </w:pPr>
    </w:p>
    <w:p>
      <w:pPr>
        <w:jc w:val="both"/>
        <w:ind w:right="120" w:firstLine="374"/>
        <w:spacing w:after="0" w:line="286" w:lineRule="auto"/>
        <w:rPr>
          <w:sz w:val="20"/>
          <w:szCs w:val="20"/>
          <w:color w:val="auto"/>
        </w:rPr>
      </w:pPr>
      <w:r>
        <w:rPr>
          <w:rFonts w:ascii="Arial" w:cs="Arial" w:eastAsia="Arial" w:hAnsi="Arial"/>
          <w:sz w:val="17"/>
          <w:szCs w:val="17"/>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98"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We can provide no assurance that we will continue to remain in material compliance with the QSR. If the FDA, CDPH, or any applicable notified body in the European Union or United Kingdom inspects any of our facilities and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18"/>
          <w:szCs w:val="18"/>
          <w:color w:val="auto"/>
        </w:rPr>
        <w:t>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62"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76"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109" w:lineRule="exact"/>
        <w:rPr>
          <w:sz w:val="20"/>
          <w:szCs w:val="20"/>
          <w:color w:val="auto"/>
        </w:rPr>
      </w:pPr>
    </w:p>
    <w:p>
      <w:pPr>
        <w:ind w:right="160" w:firstLine="374"/>
        <w:spacing w:after="0" w:line="254" w:lineRule="auto"/>
        <w:rPr>
          <w:sz w:val="20"/>
          <w:szCs w:val="20"/>
          <w:color w:val="auto"/>
        </w:rPr>
      </w:pPr>
      <w:r>
        <w:rPr>
          <w:rFonts w:ascii="Arial" w:cs="Arial" w:eastAsia="Arial" w:hAnsi="Arial"/>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27" w:lineRule="exact"/>
        <w:rPr>
          <w:sz w:val="20"/>
          <w:szCs w:val="20"/>
          <w:color w:val="auto"/>
        </w:rPr>
      </w:pPr>
    </w:p>
    <w:p>
      <w:pPr>
        <w:ind w:right="60" w:firstLine="374"/>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01" w:lineRule="exact"/>
        <w:rPr>
          <w:sz w:val="20"/>
          <w:szCs w:val="20"/>
          <w:color w:val="auto"/>
        </w:rPr>
      </w:pPr>
    </w:p>
    <w:p>
      <w:pPr>
        <w:ind w:right="380" w:firstLine="374"/>
        <w:spacing w:after="0" w:line="286" w:lineRule="auto"/>
        <w:rPr>
          <w:sz w:val="20"/>
          <w:szCs w:val="20"/>
          <w:color w:val="auto"/>
        </w:rPr>
      </w:pPr>
      <w:r>
        <w:rPr>
          <w:rFonts w:ascii="Arial" w:cs="Arial" w:eastAsia="Arial" w:hAnsi="Arial"/>
          <w:sz w:val="17"/>
          <w:szCs w:val="17"/>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98" w:lineRule="exact"/>
        <w:rPr>
          <w:sz w:val="20"/>
          <w:szCs w:val="20"/>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80" w:name="page81"/>
    <w:bookmarkEnd w:id="80"/>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31"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63" w:lineRule="exact"/>
        <w:rPr>
          <w:sz w:val="20"/>
          <w:szCs w:val="20"/>
          <w:color w:val="auto"/>
        </w:rPr>
      </w:pPr>
    </w:p>
    <w:p>
      <w:pPr>
        <w:ind w:right="40" w:firstLine="374"/>
        <w:spacing w:after="0" w:line="274" w:lineRule="auto"/>
        <w:rPr>
          <w:sz w:val="20"/>
          <w:szCs w:val="20"/>
          <w:color w:val="auto"/>
        </w:rPr>
      </w:pPr>
      <w:r>
        <w:rPr>
          <w:rFonts w:ascii="Arial" w:cs="Arial" w:eastAsia="Arial" w:hAnsi="Arial"/>
          <w:sz w:val="16"/>
          <w:szCs w:val="16"/>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96" w:lineRule="exact"/>
        <w:rPr>
          <w:sz w:val="20"/>
          <w:szCs w:val="20"/>
          <w:color w:val="auto"/>
        </w:rPr>
      </w:pPr>
    </w:p>
    <w:p>
      <w:pPr>
        <w:ind w:right="100" w:firstLine="374"/>
        <w:spacing w:after="0" w:line="276"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94" w:lineRule="exact"/>
        <w:rPr>
          <w:sz w:val="20"/>
          <w:szCs w:val="20"/>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08" w:lineRule="exact"/>
        <w:rPr>
          <w:rFonts w:ascii="Arial" w:cs="Arial" w:eastAsia="Arial" w:hAnsi="Arial"/>
          <w:sz w:val="18"/>
          <w:szCs w:val="18"/>
          <w:color w:val="auto"/>
        </w:rPr>
      </w:pPr>
    </w:p>
    <w:p>
      <w:pPr>
        <w:ind w:left="1140" w:right="200" w:hanging="383"/>
        <w:spacing w:after="0" w:line="294" w:lineRule="auto"/>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1" w:name="page82"/>
    <w:bookmarkEnd w:id="81"/>
    <w:p>
      <w:pPr>
        <w:ind w:left="1140" w:right="360"/>
        <w:spacing w:after="0" w:line="261" w:lineRule="auto"/>
        <w:rPr>
          <w:sz w:val="20"/>
          <w:szCs w:val="20"/>
          <w:color w:val="auto"/>
        </w:rPr>
      </w:pPr>
      <w:r>
        <w:rPr>
          <w:rFonts w:ascii="Arial" w:cs="Arial" w:eastAsia="Arial" w:hAnsi="Arial"/>
          <w:sz w:val="18"/>
          <w:szCs w:val="18"/>
          <w:color w:val="auto"/>
        </w:rPr>
        <w:t>decrease or conceal an obligation to pay money to the federal government, and/or impose exclusions from federal health care programs and/or penalties for parties who engage in such prohibited conduct;</w:t>
      </w:r>
    </w:p>
    <w:p>
      <w:pPr>
        <w:spacing w:after="0" w:line="103" w:lineRule="exact"/>
        <w:rPr>
          <w:sz w:val="20"/>
          <w:szCs w:val="20"/>
          <w:color w:val="auto"/>
        </w:rPr>
      </w:pPr>
    </w:p>
    <w:p>
      <w:pPr>
        <w:ind w:left="1140" w:right="360" w:hanging="383"/>
        <w:spacing w:after="0" w:line="324"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43" w:lineRule="exact"/>
        <w:rPr>
          <w:rFonts w:ascii="Arial" w:cs="Arial" w:eastAsia="Arial" w:hAnsi="Arial"/>
          <w:sz w:val="16"/>
          <w:szCs w:val="16"/>
          <w:color w:val="auto"/>
        </w:rPr>
      </w:pPr>
    </w:p>
    <w:p>
      <w:pPr>
        <w:ind w:left="1140" w:right="40" w:hanging="383"/>
        <w:spacing w:after="0" w:line="262"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04" w:lineRule="exact"/>
        <w:rPr>
          <w:rFonts w:ascii="Arial" w:cs="Arial" w:eastAsia="Arial" w:hAnsi="Arial"/>
          <w:sz w:val="17"/>
          <w:szCs w:val="17"/>
          <w:color w:val="auto"/>
        </w:rPr>
      </w:pPr>
    </w:p>
    <w:p>
      <w:pPr>
        <w:ind w:left="1140" w:hanging="383"/>
        <w:spacing w:after="0" w:line="276"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94" w:lineRule="exact"/>
        <w:rPr>
          <w:rFonts w:ascii="Arial" w:cs="Arial" w:eastAsia="Arial" w:hAnsi="Arial"/>
          <w:sz w:val="16"/>
          <w:szCs w:val="16"/>
          <w:color w:val="auto"/>
        </w:rPr>
      </w:pPr>
    </w:p>
    <w:p>
      <w:pPr>
        <w:ind w:left="1140" w:hanging="383"/>
        <w:spacing w:after="0" w:line="272"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87" w:lineRule="exact"/>
        <w:rPr>
          <w:sz w:val="20"/>
          <w:szCs w:val="20"/>
          <w:color w:val="auto"/>
        </w:rPr>
      </w:pPr>
    </w:p>
    <w:p>
      <w:pPr>
        <w:ind w:right="140" w:firstLine="374"/>
        <w:spacing w:after="0" w:line="276"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9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06"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2" w:name="page83"/>
    <w:bookmarkEnd w:id="82"/>
    <w:p>
      <w:pPr>
        <w:ind w:right="80"/>
        <w:spacing w:after="0" w:line="284" w:lineRule="auto"/>
        <w:rPr>
          <w:sz w:val="20"/>
          <w:szCs w:val="20"/>
          <w:color w:val="auto"/>
        </w:rPr>
      </w:pPr>
      <w:r>
        <w:rPr>
          <w:rFonts w:ascii="Arial" w:cs="Arial" w:eastAsia="Arial" w:hAnsi="Arial"/>
          <w:sz w:val="16"/>
          <w:szCs w:val="16"/>
          <w:color w:val="auto"/>
        </w:rPr>
        <w:t>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88"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CMS fee schedules may harm our revenue and operating results.</w:t>
      </w:r>
    </w:p>
    <w:p>
      <w:pPr>
        <w:spacing w:after="0" w:line="104" w:lineRule="exact"/>
        <w:rPr>
          <w:sz w:val="20"/>
          <w:szCs w:val="20"/>
          <w:color w:val="auto"/>
        </w:rPr>
      </w:pPr>
    </w:p>
    <w:p>
      <w:pPr>
        <w:ind w:right="80" w:firstLine="374"/>
        <w:spacing w:after="0" w:line="253" w:lineRule="auto"/>
        <w:rPr>
          <w:sz w:val="20"/>
          <w:szCs w:val="20"/>
          <w:color w:val="auto"/>
        </w:rPr>
      </w:pPr>
      <w:r>
        <w:rPr>
          <w:rFonts w:ascii="Arial" w:cs="Arial" w:eastAsia="Arial" w:hAnsi="Arial"/>
          <w:sz w:val="17"/>
          <w:szCs w:val="17"/>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16"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39" w:lineRule="exact"/>
        <w:rPr>
          <w:sz w:val="20"/>
          <w:szCs w:val="20"/>
          <w:color w:val="auto"/>
        </w:rPr>
      </w:pPr>
    </w:p>
    <w:p>
      <w:pPr>
        <w:ind w:right="140" w:firstLine="374"/>
        <w:spacing w:after="0" w:line="279"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92"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3" w:name="page84"/>
    <w:bookmarkEnd w:id="83"/>
    <w:p>
      <w:pPr>
        <w:spacing w:after="0" w:line="324"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16"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In 2017, the European Union (“EU”)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2" w:lineRule="exact"/>
        <w:rPr>
          <w:sz w:val="20"/>
          <w:szCs w:val="20"/>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reclassification of some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greater emphasis on clinical data;</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data transparency, including publication of clinical trial data and safety summaries;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defined content and structure for technical files to support registration;</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unique device identification system;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greater burden on post-market surveillance and clinical follow-up;</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reduction of adverse event reporting time from 30 to 15 days after the event;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more power to notified bodies.</w:t>
      </w:r>
    </w:p>
    <w:p>
      <w:pPr>
        <w:spacing w:after="0" w:line="144" w:lineRule="exact"/>
        <w:rPr>
          <w:sz w:val="20"/>
          <w:szCs w:val="20"/>
          <w:color w:val="auto"/>
        </w:rPr>
      </w:pPr>
    </w:p>
    <w:p>
      <w:pPr>
        <w:ind w:right="180" w:firstLine="374"/>
        <w:spacing w:after="0" w:line="241" w:lineRule="auto"/>
        <w:rPr>
          <w:sz w:val="20"/>
          <w:szCs w:val="20"/>
          <w:color w:val="auto"/>
        </w:rPr>
      </w:pPr>
      <w:r>
        <w:rPr>
          <w:rFonts w:ascii="Arial" w:cs="Arial" w:eastAsia="Arial" w:hAnsi="Arial"/>
          <w:sz w:val="18"/>
          <w:szCs w:val="18"/>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3"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127"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ind w:right="20"/>
        <w:spacing w:after="0" w:line="261" w:lineRule="auto"/>
        <w:rPr>
          <w:sz w:val="20"/>
          <w:szCs w:val="20"/>
          <w:color w:val="auto"/>
        </w:rPr>
      </w:pPr>
      <w:r>
        <w:rPr>
          <w:rFonts w:ascii="Arial" w:cs="Arial" w:eastAsia="Arial" w:hAnsi="Arial"/>
          <w:sz w:val="18"/>
          <w:szCs w:val="18"/>
          <w:color w:val="auto"/>
        </w:rPr>
        <w:t>competitive pressure. The circumstances giving rise to recalls are unpredictable, and any recalls of existing or future products could have a material adverse effect on our business, financial condition and results of operations.</w:t>
      </w:r>
    </w:p>
    <w:p>
      <w:pPr>
        <w:spacing w:after="0" w:line="103" w:lineRule="exact"/>
        <w:rPr>
          <w:sz w:val="20"/>
          <w:szCs w:val="20"/>
          <w:color w:val="auto"/>
        </w:rPr>
      </w:pPr>
    </w:p>
    <w:p>
      <w:pPr>
        <w:ind w:right="20" w:firstLine="374"/>
        <w:spacing w:after="0" w:line="262" w:lineRule="auto"/>
        <w:rPr>
          <w:sz w:val="20"/>
          <w:szCs w:val="20"/>
          <w:color w:val="auto"/>
        </w:rPr>
      </w:pPr>
      <w:r>
        <w:rPr>
          <w:rFonts w:ascii="Arial" w:cs="Arial" w:eastAsia="Arial" w:hAnsi="Arial"/>
          <w:sz w:val="17"/>
          <w:szCs w:val="17"/>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91" w:lineRule="exact"/>
        <w:rPr>
          <w:sz w:val="20"/>
          <w:szCs w:val="20"/>
          <w:color w:val="auto"/>
        </w:rPr>
      </w:pPr>
    </w:p>
    <w:p>
      <w:pPr>
        <w:ind w:right="60" w:firstLine="374"/>
        <w:spacing w:after="0" w:line="270"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04"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13" w:lineRule="exact"/>
        <w:rPr>
          <w:sz w:val="20"/>
          <w:szCs w:val="20"/>
          <w:color w:val="auto"/>
        </w:rPr>
      </w:pPr>
    </w:p>
    <w:p>
      <w:pPr>
        <w:ind w:right="120" w:firstLine="374"/>
        <w:spacing w:after="0" w:line="272"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8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63" w:lineRule="exact"/>
        <w:rPr>
          <w:sz w:val="20"/>
          <w:szCs w:val="20"/>
          <w:color w:val="auto"/>
        </w:rPr>
      </w:pPr>
    </w:p>
    <w:p>
      <w:pPr>
        <w:ind w:right="340" w:firstLine="374"/>
        <w:spacing w:after="0" w:line="262"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ind w:right="60"/>
        <w:spacing w:after="0" w:line="276" w:lineRule="auto"/>
        <w:rPr>
          <w:sz w:val="20"/>
          <w:szCs w:val="20"/>
          <w:color w:val="auto"/>
        </w:rPr>
      </w:pPr>
      <w:r>
        <w:rPr>
          <w:rFonts w:ascii="Arial" w:cs="Arial" w:eastAsia="Arial" w:hAnsi="Arial"/>
          <w:sz w:val="16"/>
          <w:szCs w:val="16"/>
          <w:color w:val="auto"/>
        </w:rPr>
        <w:t>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94" w:lineRule="exact"/>
        <w:rPr>
          <w:sz w:val="20"/>
          <w:szCs w:val="20"/>
          <w:color w:val="auto"/>
        </w:rPr>
      </w:pPr>
    </w:p>
    <w:p>
      <w:pPr>
        <w:ind w:right="20" w:firstLine="374"/>
        <w:spacing w:after="0" w:line="252" w:lineRule="auto"/>
        <w:rPr>
          <w:sz w:val="20"/>
          <w:szCs w:val="20"/>
          <w:color w:val="auto"/>
        </w:rPr>
      </w:pPr>
      <w:r>
        <w:rPr>
          <w:rFonts w:ascii="Arial" w:cs="Arial" w:eastAsia="Arial" w:hAnsi="Arial"/>
          <w:sz w:val="17"/>
          <w:szCs w:val="17"/>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3" w:lineRule="exact"/>
        <w:rPr>
          <w:sz w:val="20"/>
          <w:szCs w:val="20"/>
          <w:color w:val="auto"/>
        </w:rPr>
      </w:pPr>
    </w:p>
    <w:p>
      <w:pPr>
        <w:ind w:right="100" w:firstLine="374"/>
        <w:spacing w:after="0" w:line="253" w:lineRule="auto"/>
        <w:rPr>
          <w:sz w:val="20"/>
          <w:szCs w:val="20"/>
          <w:color w:val="auto"/>
        </w:rPr>
      </w:pPr>
      <w:r>
        <w:rPr>
          <w:rFonts w:ascii="Arial" w:cs="Arial" w:eastAsia="Arial" w:hAnsi="Arial"/>
          <w:sz w:val="17"/>
          <w:szCs w:val="17"/>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16"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6" w:name="page87"/>
    <w:bookmarkEnd w:id="86"/>
    <w:p>
      <w:pPr>
        <w:ind w:right="20"/>
        <w:spacing w:after="0" w:line="291" w:lineRule="auto"/>
        <w:rPr>
          <w:sz w:val="20"/>
          <w:szCs w:val="20"/>
          <w:color w:val="auto"/>
        </w:rPr>
      </w:pPr>
      <w:r>
        <w:rPr>
          <w:rFonts w:ascii="Arial" w:cs="Arial" w:eastAsia="Arial" w:hAnsi="Arial"/>
          <w:sz w:val="17"/>
          <w:szCs w:val="17"/>
          <w:color w:val="auto"/>
        </w:rPr>
        <w:t>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7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63" w:lineRule="exact"/>
        <w:rPr>
          <w:sz w:val="20"/>
          <w:szCs w:val="20"/>
          <w:color w:val="auto"/>
        </w:rPr>
      </w:pPr>
    </w:p>
    <w:p>
      <w:pPr>
        <w:ind w:right="20" w:firstLine="374"/>
        <w:spacing w:after="0" w:line="270" w:lineRule="auto"/>
        <w:rPr>
          <w:sz w:val="20"/>
          <w:szCs w:val="20"/>
          <w:color w:val="auto"/>
        </w:rPr>
      </w:pPr>
      <w:r>
        <w:rPr>
          <w:rFonts w:ascii="Arial" w:cs="Arial" w:eastAsia="Arial" w:hAnsi="Arial"/>
          <w:sz w:val="16"/>
          <w:szCs w:val="16"/>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0" w:lineRule="exact"/>
        <w:rPr>
          <w:sz w:val="20"/>
          <w:szCs w:val="20"/>
          <w:color w:val="auto"/>
        </w:rPr>
      </w:pPr>
    </w:p>
    <w:p>
      <w:pPr>
        <w:ind w:right="40" w:firstLine="374"/>
        <w:spacing w:after="0" w:line="267" w:lineRule="auto"/>
        <w:rPr>
          <w:sz w:val="20"/>
          <w:szCs w:val="20"/>
          <w:color w:val="auto"/>
        </w:rPr>
      </w:pPr>
      <w:r>
        <w:rPr>
          <w:rFonts w:ascii="Arial" w:cs="Arial" w:eastAsia="Arial" w:hAnsi="Arial"/>
          <w:sz w:val="16"/>
          <w:szCs w:val="16"/>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(“CCPA”), in January 2020 which requires certain companies that process information on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314"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12"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The GDPR provides that EU member states may make their own laws and regulations limiting the (i) processing of personal data, including special categories of data (e.g., racial or ethnic origin, political opinions,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7" w:name="page88"/>
    <w:bookmarkEnd w:id="87"/>
    <w:p>
      <w:pPr>
        <w:ind w:right="40"/>
        <w:spacing w:after="0" w:line="269" w:lineRule="auto"/>
        <w:rPr>
          <w:sz w:val="20"/>
          <w:szCs w:val="20"/>
          <w:color w:val="auto"/>
        </w:rPr>
      </w:pPr>
      <w:r>
        <w:rPr>
          <w:rFonts w:ascii="Arial" w:cs="Arial" w:eastAsia="Arial" w:hAnsi="Arial"/>
          <w:sz w:val="16"/>
          <w:szCs w:val="16"/>
          <w:color w:val="auto"/>
        </w:rPr>
        <w:t>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These recent developments will require us to review and amend the legal mechanisms by which we make and/or receive personal data transfers.</w:t>
      </w:r>
    </w:p>
    <w:p>
      <w:pPr>
        <w:spacing w:after="0" w:line="10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Additionally, we are subject to laws and regulations regarding cross-border transfers of personal data, including laws relating to transfer of personal data outside of the European Economic Area (“EEA”). We rely on transfer mechanisms permitted under these laws, including EU Standard Contract Clauses. Such mechanisms have received heightened regulatory and judicial scrutiny in recent years. If we cannot rely on existing mechanisms for transferring personal data from the EEA, the United Kingdom or other jurisdictions, we could be prevented from transferring personal data of users or employees in those regions. This could adversely affect the manner in which we provide our services and thus materially affect our operations and financial results.</w:t>
      </w:r>
    </w:p>
    <w:p>
      <w:pPr>
        <w:spacing w:after="0" w:line="108"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10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14"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In February 2022, the FDA announced that it will resume routine domestic surveillance inspections. The FDA also announced</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8" w:name="page89"/>
    <w:bookmarkEnd w:id="88"/>
    <w:p>
      <w:pPr>
        <w:ind w:right="20"/>
        <w:spacing w:after="0" w:line="254" w:lineRule="auto"/>
        <w:rPr>
          <w:sz w:val="20"/>
          <w:szCs w:val="20"/>
          <w:color w:val="auto"/>
        </w:rPr>
      </w:pPr>
      <w:r>
        <w:rPr>
          <w:rFonts w:ascii="Arial" w:cs="Arial" w:eastAsia="Arial" w:hAnsi="Arial"/>
          <w:sz w:val="17"/>
          <w:szCs w:val="17"/>
          <w:color w:val="auto"/>
        </w:rPr>
        <w:t>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However, the FDA may not be able to continue its current inspection pace or may be unable to complete required inspections during the review period, which can delay clinical development and result in a complete response letter.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74"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86"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116" w:lineRule="exact"/>
        <w:rPr>
          <w:sz w:val="20"/>
          <w:szCs w:val="20"/>
          <w:color w:val="auto"/>
        </w:rPr>
      </w:pPr>
    </w:p>
    <w:p>
      <w:pPr>
        <w:ind w:right="80" w:firstLine="374"/>
        <w:spacing w:after="0" w:line="259" w:lineRule="auto"/>
        <w:rPr>
          <w:sz w:val="20"/>
          <w:szCs w:val="20"/>
          <w:color w:val="auto"/>
        </w:rPr>
      </w:pPr>
      <w:r>
        <w:rPr>
          <w:rFonts w:ascii="Arial" w:cs="Arial" w:eastAsia="Arial" w:hAnsi="Arial"/>
          <w:sz w:val="17"/>
          <w:szCs w:val="17"/>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76" w:lineRule="exact"/>
        <w:rPr>
          <w:sz w:val="20"/>
          <w:szCs w:val="20"/>
          <w:color w:val="auto"/>
        </w:rPr>
      </w:pPr>
    </w:p>
    <w:p>
      <w:pPr>
        <w:ind w:right="40" w:firstLine="374"/>
        <w:spacing w:after="0" w:line="271" w:lineRule="auto"/>
        <w:rPr>
          <w:sz w:val="20"/>
          <w:szCs w:val="20"/>
          <w:color w:val="auto"/>
        </w:rPr>
      </w:pPr>
      <w:r>
        <w:rPr>
          <w:rFonts w:ascii="Arial" w:cs="Arial" w:eastAsia="Arial" w:hAnsi="Arial"/>
          <w:sz w:val="16"/>
          <w:szCs w:val="16"/>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0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3"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08"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24" w:lineRule="exact"/>
        <w:rPr>
          <w:sz w:val="20"/>
          <w:szCs w:val="20"/>
          <w:color w:val="auto"/>
        </w:rPr>
      </w:pPr>
    </w:p>
    <w:p>
      <w:pPr>
        <w:ind w:right="180" w:firstLine="374"/>
        <w:spacing w:after="0" w:line="284"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63"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spacing w:after="0" w:line="251" w:lineRule="auto"/>
        <w:rPr>
          <w:sz w:val="20"/>
          <w:szCs w:val="20"/>
          <w:color w:val="auto"/>
        </w:rPr>
      </w:pPr>
      <w:r>
        <w:rPr>
          <w:rFonts w:ascii="Arial" w:cs="Arial" w:eastAsia="Arial" w:hAnsi="Arial"/>
          <w:sz w:val="17"/>
          <w:szCs w:val="17"/>
          <w:color w:val="auto"/>
        </w:rPr>
        <w:t>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war in Ukraine,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Previously, we deferred the introduction of our lower cost-to-manufacture LDD to the market until 2023, as it was less difficult to procure components and subcomponents for our existing LDD than the lower cost-to-manufacture LDD. On June 30, 2022, RxSight, Inc. (the “Company”) received notification from the Food and Drug Administration (“FDA”) that additional information will be required for the approval of its lower-cost-to-manufacture LDD. The Company believes it can provide the additional requested information to the FDA and obtain FDA approval, however we are also procuring material for our current LDD to mitigate any delay in the FDA’s approval, allowing us to sell both LDDs, which have the same functionality. Our management’s expectation is that the Company’s gross margin will be impacted by its decision to continue to produce the current LDD, which is more expensive to produce than the lower cost LDD, but it is necessary in order to mitigate potential supply chain issues and delay in FDA approval of the lower cost-to-manufacture LDD.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04"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ind w:right="140" w:firstLine="374"/>
        <w:spacing w:after="0" w:line="257" w:lineRule="auto"/>
        <w:rPr>
          <w:sz w:val="20"/>
          <w:szCs w:val="20"/>
          <w:color w:val="auto"/>
        </w:rPr>
      </w:pPr>
      <w:r>
        <w:rPr>
          <w:rFonts w:ascii="Arial" w:cs="Arial" w:eastAsia="Arial" w:hAnsi="Arial"/>
          <w:sz w:val="17"/>
          <w:szCs w:val="17"/>
          <w:color w:val="auto"/>
        </w:rPr>
        <w:t>The trading price of our common stock has been and may continue to be highly volatile and could be subject to wide fluctuations in response to various factors, some of which we cannot control. From the date of our initial public offering through August 1, 2022, our common stock has traded at a low of $8.80 and a high of $19.67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Quarterly Report on Form 10-Q, these factors include:</w:t>
      </w:r>
    </w:p>
    <w:p>
      <w:pPr>
        <w:spacing w:after="0" w:line="108" w:lineRule="exact"/>
        <w:rPr>
          <w:sz w:val="20"/>
          <w:szCs w:val="20"/>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current and future products or those of our competitors;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1" w:name="page92"/>
    <w:bookmarkEnd w:id="91"/>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140" w:right="60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medical device sector;</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global and national events, such as the conflicts in Eastern Europe, and general economic downturns;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right="420" w:firstLine="374"/>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90"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63"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0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63"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Our common stock is currently traded on Nasdaq Global Market, but we can provide no assurance that we will be able to maintain an active trading market on Nasdaq Global Market or any other exchange in the future. If an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2" w:name="page93"/>
    <w:bookmarkEnd w:id="92"/>
    <w:p>
      <w:pPr>
        <w:ind w:right="100"/>
        <w:spacing w:after="0"/>
        <w:rPr>
          <w:sz w:val="20"/>
          <w:szCs w:val="20"/>
          <w:color w:val="auto"/>
        </w:rPr>
      </w:pPr>
      <w:r>
        <w:rPr>
          <w:rFonts w:ascii="Arial" w:cs="Arial" w:eastAsia="Arial" w:hAnsi="Arial"/>
          <w:sz w:val="18"/>
          <w:szCs w:val="18"/>
          <w:color w:val="auto"/>
        </w:rPr>
        <w:t>active trading market does not develop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40" w:firstLine="374"/>
        <w:spacing w:after="0" w:line="29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66"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As of June 30, 2022, we had 27,631,479 shares of common stock issued and outstanding. Of these shares approximately 7,300,000 shares became available for sale in the public market on January 26, 2022, following the scheduled expiration of lock-up agreements that certain of our stockholders and the underwriters entered into in connection with our IPO.</w:t>
      </w:r>
    </w:p>
    <w:p>
      <w:pPr>
        <w:spacing w:after="0" w:line="114"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On July 30, 2021, we filed a registration statement on Form S-8 under the Securities Act registering the issuance of 7,473,839 shares of common stock subject to options or other equity awards issued or reserved for future issuance under our equity incentive plans. On March 8, 2022, we filed a registration statement on Form S-8 under the Securities Act registering the offer and sale of 1,094,670 additional shares of common stock under the 2021 Plan and 273,667 additional shares of common stock under the 2021 ESPP. Shares registered under the registration statement on Form S-8 can be freely sold in the public market upon issuance, subject to volume limitations applicable to affiliates. The number of shares registered represent the annual increase commencing on the first day of each fiscal year beginning with the 2022 fiscal year calculated as 4% of the outstanding shares of our common stock on the last day of our immediately preceding fiscal year under our 2021 Equity Incentive Plan and 1% of the outstanding shares of our common stock as of the last day of the immediately preceding fiscal year under our 2021 Employee Stock Purchase Plan.</w:t>
      </w:r>
    </w:p>
    <w:p>
      <w:pPr>
        <w:spacing w:after="0" w:line="113" w:lineRule="exact"/>
        <w:rPr>
          <w:sz w:val="20"/>
          <w:szCs w:val="20"/>
          <w:color w:val="auto"/>
        </w:rPr>
      </w:pPr>
    </w:p>
    <w:p>
      <w:pPr>
        <w:ind w:right="460" w:firstLine="374"/>
        <w:spacing w:after="0" w:line="24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100" w:firstLine="374"/>
        <w:spacing w:after="0" w:line="254" w:lineRule="auto"/>
        <w:rPr>
          <w:sz w:val="20"/>
          <w:szCs w:val="20"/>
          <w:color w:val="auto"/>
        </w:rPr>
      </w:pPr>
      <w:r>
        <w:rPr>
          <w:rFonts w:ascii="Arial" w:cs="Arial" w:eastAsia="Arial" w:hAnsi="Arial"/>
          <w:sz w:val="17"/>
          <w:szCs w:val="17"/>
          <w:color w:val="auto"/>
        </w:rPr>
        <w:t>As of June 30, 2022, our executive officers, directors, holders of 5% or more of our common stock and their respective affiliates beneficially owned approximately 50%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0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63"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t>exemptions from various reporting requirements that are applicable to other public companies that are not emerging growth companies, including:</w:t>
      </w:r>
    </w:p>
    <w:p>
      <w:pPr>
        <w:spacing w:after="0" w:line="156" w:lineRule="exact"/>
        <w:rPr>
          <w:sz w:val="20"/>
          <w:szCs w:val="20"/>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1140" w:right="320" w:hanging="383"/>
        <w:spacing w:after="0" w:line="248"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14"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44"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90" w:lineRule="exact"/>
        <w:rPr>
          <w:sz w:val="20"/>
          <w:szCs w:val="20"/>
          <w:color w:val="auto"/>
        </w:rPr>
      </w:pPr>
    </w:p>
    <w:p>
      <w:pPr>
        <w:jc w:val="both"/>
        <w:ind w:right="600" w:firstLine="374"/>
        <w:spacing w:after="0" w:line="324"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57"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(i.e., December 31, 2026).</w:t>
      </w:r>
    </w:p>
    <w:p>
      <w:pPr>
        <w:spacing w:after="0" w:line="120" w:lineRule="exact"/>
        <w:rPr>
          <w:sz w:val="20"/>
          <w:szCs w:val="20"/>
          <w:color w:val="auto"/>
        </w:rPr>
      </w:pPr>
    </w:p>
    <w:p>
      <w:pPr>
        <w:ind w:right="60" w:firstLine="374"/>
        <w:spacing w:after="0" w:line="25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3"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4"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4" w:name="page95"/>
    <w:bookmarkEnd w:id="94"/>
    <w:p>
      <w:pPr>
        <w:ind w:right="20" w:firstLine="374"/>
        <w:spacing w:after="0" w:line="271"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01"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0"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our IPO and may not use them effectively.</w:t>
      </w:r>
    </w:p>
    <w:p>
      <w:pPr>
        <w:spacing w:after="0" w:line="104" w:lineRule="exact"/>
        <w:rPr>
          <w:sz w:val="20"/>
          <w:szCs w:val="20"/>
          <w:color w:val="auto"/>
        </w:rPr>
      </w:pPr>
    </w:p>
    <w:p>
      <w:pPr>
        <w:ind w:right="100" w:firstLine="374"/>
        <w:spacing w:after="0" w:line="284" w:lineRule="auto"/>
        <w:rPr>
          <w:sz w:val="20"/>
          <w:szCs w:val="20"/>
          <w:color w:val="auto"/>
        </w:rPr>
      </w:pPr>
      <w:r>
        <w:rPr>
          <w:rFonts w:ascii="Arial" w:cs="Arial" w:eastAsia="Arial" w:hAnsi="Arial"/>
          <w:sz w:val="16"/>
          <w:szCs w:val="16"/>
          <w:color w:val="auto"/>
        </w:rPr>
        <w:t>Our management has broad discretion in the application of the net proceeds from our IPO, and you will be relying on the judgment of our management regarding the application of these proceeds. You will not have the opportunity to assess whether we are using the proceeds appropriately. Our management might not apply the net proceeds in ways that ultimately increase stockholder value. If we do not invest or apply the net proceeds from our IPO in ways that enhance stockholder value, we may fail to achieve expected financial results, which could cause our stock price to decline.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0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63"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14" w:lineRule="exact"/>
        <w:rPr>
          <w:sz w:val="20"/>
          <w:szCs w:val="20"/>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5" w:name="page96"/>
    <w:bookmarkEnd w:id="95"/>
    <w:p>
      <w:pPr>
        <w:ind w:left="1140" w:right="240" w:hanging="383"/>
        <w:spacing w:after="0" w:line="26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30" w:lineRule="exact"/>
        <w:rPr>
          <w:rFonts w:ascii="Arial" w:cs="Arial" w:eastAsia="Arial" w:hAnsi="Arial"/>
          <w:sz w:val="18"/>
          <w:szCs w:val="18"/>
          <w:color w:val="auto"/>
        </w:rPr>
      </w:pPr>
    </w:p>
    <w:p>
      <w:pPr>
        <w:ind w:left="1140" w:right="680" w:hanging="383"/>
        <w:spacing w:after="0" w:line="26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44"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07" w:lineRule="exact"/>
        <w:rPr>
          <w:sz w:val="20"/>
          <w:szCs w:val="20"/>
          <w:color w:val="auto"/>
        </w:rPr>
      </w:pPr>
    </w:p>
    <w:p>
      <w:pPr>
        <w:jc w:val="both"/>
        <w:ind w:right="120" w:firstLine="374"/>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is the exclusive forum for:</w:t>
      </w:r>
    </w:p>
    <w:p>
      <w:pPr>
        <w:spacing w:after="0" w:line="103" w:lineRule="exact"/>
        <w:rPr>
          <w:sz w:val="20"/>
          <w:szCs w:val="20"/>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44" w:lineRule="exact"/>
        <w:rPr>
          <w:rFonts w:ascii="Arial" w:cs="Arial" w:eastAsia="Arial" w:hAnsi="Arial"/>
          <w:sz w:val="18"/>
          <w:szCs w:val="18"/>
          <w:color w:val="auto"/>
        </w:rPr>
      </w:pPr>
    </w:p>
    <w:p>
      <w:pPr>
        <w:ind w:left="1140" w:right="14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106"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6" w:name="page97"/>
    <w:bookmarkEnd w:id="96"/>
    <w:p>
      <w:pPr>
        <w:ind w:right="40"/>
        <w:spacing w:after="0" w:line="241" w:lineRule="auto"/>
        <w:rPr>
          <w:sz w:val="20"/>
          <w:szCs w:val="20"/>
          <w:color w:val="auto"/>
        </w:rPr>
      </w:pPr>
      <w:r>
        <w:rPr>
          <w:rFonts w:ascii="Arial" w:cs="Arial" w:eastAsia="Arial" w:hAnsi="Arial"/>
          <w:sz w:val="18"/>
          <w:szCs w:val="18"/>
          <w:color w:val="auto"/>
        </w:rPr>
        <w:t>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22"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This Delaware forum provision does not apply to actions arising under the Securities Exchange Act of 1934 because the federal courts have exclusive jurisdiction over such claims.</w:t>
      </w:r>
    </w:p>
    <w:p>
      <w:pPr>
        <w:spacing w:after="0" w:line="90"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6"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are authorized to issue and designate shares of our preferred stock in additional series without stockholder approval.</w:t>
      </w:r>
    </w:p>
    <w:p>
      <w:pPr>
        <w:spacing w:after="0" w:line="127"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9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3" w:lineRule="exact"/>
        <w:rPr>
          <w:sz w:val="20"/>
          <w:szCs w:val="20"/>
          <w:color w:val="auto"/>
        </w:rPr>
      </w:pPr>
    </w:p>
    <w:p>
      <w:pPr>
        <w:ind w:right="60" w:firstLine="374"/>
        <w:spacing w:after="0" w:line="253" w:lineRule="auto"/>
        <w:rPr>
          <w:sz w:val="20"/>
          <w:szCs w:val="20"/>
          <w:color w:val="auto"/>
        </w:rPr>
      </w:pPr>
      <w:r>
        <w:rPr>
          <w:rFonts w:ascii="Arial" w:cs="Arial" w:eastAsia="Arial" w:hAnsi="Arial"/>
          <w:sz w:val="17"/>
          <w:szCs w:val="17"/>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harmed by the effects of the COVID-19 pandemic and may continue to be harmed.</w:t>
      </w:r>
    </w:p>
    <w:p>
      <w:pPr>
        <w:spacing w:after="0" w:line="63"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We are subject to risks related to public health crises such as the global pandemic associated with COVID-19.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spacing w:after="0" w:line="255" w:lineRule="auto"/>
        <w:rPr>
          <w:sz w:val="20"/>
          <w:szCs w:val="20"/>
          <w:color w:val="auto"/>
        </w:rPr>
      </w:pPr>
      <w:r>
        <w:rPr>
          <w:rFonts w:ascii="Arial" w:cs="Arial" w:eastAsia="Arial" w:hAnsi="Arial"/>
          <w:sz w:val="17"/>
          <w:szCs w:val="17"/>
          <w:color w:val="auto"/>
        </w:rPr>
        <w:t>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112" w:lineRule="exact"/>
        <w:rPr>
          <w:sz w:val="20"/>
          <w:szCs w:val="20"/>
          <w:color w:val="auto"/>
        </w:rPr>
      </w:pPr>
    </w:p>
    <w:p>
      <w:pPr>
        <w:ind w:right="100" w:firstLine="374"/>
        <w:spacing w:after="0"/>
        <w:rPr>
          <w:sz w:val="20"/>
          <w:szCs w:val="20"/>
          <w:color w:val="auto"/>
        </w:rPr>
      </w:pPr>
      <w:r>
        <w:rPr>
          <w:rFonts w:ascii="Arial" w:cs="Arial" w:eastAsia="Arial" w:hAnsi="Arial"/>
          <w:sz w:val="18"/>
          <w:szCs w:val="18"/>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w:t>
      </w:r>
    </w:p>
    <w:p>
      <w:pPr>
        <w:spacing w:after="0" w:line="108" w:lineRule="exact"/>
        <w:rPr>
          <w:sz w:val="20"/>
          <w:szCs w:val="20"/>
          <w:color w:val="auto"/>
        </w:rPr>
      </w:pPr>
    </w:p>
    <w:p>
      <w:pPr>
        <w:ind w:right="120" w:firstLine="374"/>
        <w:spacing w:after="0" w:line="276" w:lineRule="auto"/>
        <w:rPr>
          <w:sz w:val="20"/>
          <w:szCs w:val="20"/>
          <w:color w:val="auto"/>
        </w:rPr>
      </w:pPr>
      <w:r>
        <w:rPr>
          <w:rFonts w:ascii="Arial" w:cs="Arial" w:eastAsia="Arial" w:hAnsi="Arial"/>
          <w:sz w:val="16"/>
          <w:szCs w:val="16"/>
          <w:color w:val="auto"/>
        </w:rPr>
        <w:t>Further, the expansion of global lead times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94" w:lineRule="exact"/>
        <w:rPr>
          <w:sz w:val="20"/>
          <w:szCs w:val="20"/>
          <w:color w:val="auto"/>
        </w:rPr>
      </w:pPr>
    </w:p>
    <w:p>
      <w:pPr>
        <w:ind w:right="40" w:firstLine="374"/>
        <w:spacing w:after="0" w:line="272" w:lineRule="auto"/>
        <w:rPr>
          <w:sz w:val="20"/>
          <w:szCs w:val="20"/>
          <w:color w:val="auto"/>
        </w:rPr>
      </w:pPr>
      <w:r>
        <w:rPr>
          <w:rFonts w:ascii="Arial" w:cs="Arial" w:eastAsia="Arial" w:hAnsi="Arial"/>
          <w:sz w:val="16"/>
          <w:szCs w:val="16"/>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new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0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8" w:name="page99"/>
    <w:bookmarkEnd w:id="98"/>
    <w:p>
      <w:pPr>
        <w:ind w:right="80" w:firstLine="374"/>
        <w:spacing w:after="0" w:line="259" w:lineRule="auto"/>
        <w:rPr>
          <w:sz w:val="20"/>
          <w:szCs w:val="20"/>
          <w:color w:val="auto"/>
        </w:rPr>
      </w:pPr>
      <w:r>
        <w:rPr>
          <w:rFonts w:ascii="Arial" w:cs="Arial" w:eastAsia="Arial" w:hAnsi="Arial"/>
          <w:sz w:val="17"/>
          <w:szCs w:val="17"/>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w:t>
      </w:r>
    </w:p>
    <w:p>
      <w:pPr>
        <w:spacing w:after="0" w:line="104"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Our computer systems, as well as those of our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commercialization of our RxSight system and the further development of our current and future products could be delayed.</w:t>
      </w:r>
    </w:p>
    <w:p>
      <w:pPr>
        <w:spacing w:after="0" w:line="99" w:lineRule="exact"/>
        <w:rPr>
          <w:sz w:val="20"/>
          <w:szCs w:val="20"/>
          <w:color w:val="auto"/>
        </w:rPr>
      </w:pPr>
    </w:p>
    <w:p>
      <w:pPr>
        <w:ind w:right="60" w:firstLine="374"/>
        <w:spacing w:after="0" w:line="253" w:lineRule="auto"/>
        <w:rPr>
          <w:sz w:val="20"/>
          <w:szCs w:val="20"/>
          <w:color w:val="auto"/>
        </w:rPr>
      </w:pPr>
      <w:r>
        <w:rPr>
          <w:rFonts w:ascii="Arial" w:cs="Arial" w:eastAsia="Arial" w:hAnsi="Arial"/>
          <w:sz w:val="17"/>
          <w:szCs w:val="17"/>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such breach could compromise our networks and the information stored there could be accessed, publicly disclosed, lost or stolen. Any such actual or perceived access, disclosure or other security breach or loss of information (whether affecting us or one of our third-party service providers) could result in legal claims proceedings, regulatory investigations,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116"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113"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w:t>
      </w:r>
    </w:p>
    <w:p>
      <w:pPr>
        <w:spacing w:after="0" w:line="104" w:lineRule="exact"/>
        <w:rPr>
          <w:sz w:val="20"/>
          <w:szCs w:val="20"/>
          <w:color w:val="auto"/>
        </w:rPr>
      </w:pPr>
    </w:p>
    <w:p>
      <w:pPr>
        <w:ind w:right="180" w:firstLine="374"/>
        <w:spacing w:after="0" w:line="279" w:lineRule="auto"/>
        <w:rPr>
          <w:sz w:val="20"/>
          <w:szCs w:val="20"/>
          <w:color w:val="auto"/>
        </w:rPr>
      </w:pPr>
      <w:r>
        <w:rPr>
          <w:rFonts w:ascii="Arial" w:cs="Arial" w:eastAsia="Arial" w:hAnsi="Arial"/>
          <w:sz w:val="16"/>
          <w:szCs w:val="16"/>
          <w:color w:val="auto"/>
        </w:rPr>
        <w:t>Adverse worldwide economic conditions, including those related to the COVID-19 pandemic, conflicts in Eastern Europe, and general economic downturns,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04"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ind w:right="60" w:firstLine="374"/>
        <w:spacing w:after="0" w:line="255"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1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3"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due to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04" w:lineRule="exact"/>
        <w:rPr>
          <w:sz w:val="20"/>
          <w:szCs w:val="20"/>
          <w:color w:val="auto"/>
        </w:rPr>
      </w:pPr>
    </w:p>
    <w:p>
      <w:pPr>
        <w:jc w:val="both"/>
        <w:ind w:right="480" w:firstLine="374"/>
        <w:spacing w:after="0" w:line="248" w:lineRule="auto"/>
        <w:rPr>
          <w:sz w:val="20"/>
          <w:szCs w:val="20"/>
          <w:color w:val="auto"/>
        </w:rPr>
      </w:pPr>
      <w:r>
        <w:rPr>
          <w:rFonts w:ascii="Arial" w:cs="Arial" w:eastAsia="Arial" w:hAnsi="Arial"/>
          <w:sz w:val="18"/>
          <w:szCs w:val="18"/>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ind w:right="60"/>
        <w:spacing w:after="0" w:line="274" w:lineRule="auto"/>
        <w:rPr>
          <w:sz w:val="20"/>
          <w:szCs w:val="20"/>
          <w:color w:val="auto"/>
        </w:rPr>
      </w:pPr>
      <w:r>
        <w:rPr>
          <w:rFonts w:ascii="Arial" w:cs="Arial" w:eastAsia="Arial" w:hAnsi="Arial"/>
          <w:sz w:val="16"/>
          <w:szCs w:val="16"/>
          <w:color w:val="auto"/>
        </w:rPr>
        <w:t>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80" w:right="8060" w:hanging="372"/>
        <w:spacing w:after="0" w:line="434" w:lineRule="auto"/>
        <w:tabs>
          <w:tab w:leader="none" w:pos="261"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 Sales of Unregistered Securities </w:t>
      </w:r>
      <w:r>
        <w:rPr>
          <w:rFonts w:ascii="Arial" w:cs="Arial" w:eastAsia="Arial" w:hAnsi="Arial"/>
          <w:sz w:val="18"/>
          <w:szCs w:val="18"/>
          <w:color w:val="auto"/>
        </w:rPr>
        <w:t>None</w:t>
      </w:r>
    </w:p>
    <w:p>
      <w:pPr>
        <w:spacing w:after="0" w:line="88"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Registered Securities</w:t>
      </w:r>
    </w:p>
    <w:p>
      <w:pPr>
        <w:spacing w:after="0" w:line="144" w:lineRule="exact"/>
        <w:rPr>
          <w:sz w:val="20"/>
          <w:szCs w:val="20"/>
          <w:color w:val="auto"/>
        </w:rPr>
      </w:pPr>
    </w:p>
    <w:p>
      <w:pPr>
        <w:ind w:firstLine="374"/>
        <w:spacing w:after="0" w:line="290" w:lineRule="auto"/>
        <w:rPr>
          <w:sz w:val="20"/>
          <w:szCs w:val="20"/>
          <w:color w:val="auto"/>
        </w:rPr>
      </w:pPr>
      <w:r>
        <w:rPr>
          <w:rFonts w:ascii="Arial" w:cs="Arial" w:eastAsia="Arial" w:hAnsi="Arial"/>
          <w:sz w:val="18"/>
          <w:szCs w:val="18"/>
          <w:color w:val="auto"/>
        </w:rPr>
        <w:t>On August 3, 2021, we completed our IPO, with a subsequent partial exercise of the underwriter’s over-allotment option to purchase additional shares. We issued and sold an aggregate of 8,248,549 shares of common stock, par value $0.001 per share, at an offering price of $16.00 per share. We received aggregate net proceeds of approximately $119.6 million, after deducting underwriters' discounts and commissions of $9.2 million and offering expenses of $3.2 million.</w:t>
      </w:r>
    </w:p>
    <w:p>
      <w:pPr>
        <w:spacing w:after="0" w:line="80" w:lineRule="exact"/>
        <w:rPr>
          <w:sz w:val="20"/>
          <w:szCs w:val="20"/>
          <w:color w:val="auto"/>
        </w:rPr>
      </w:pPr>
    </w:p>
    <w:p>
      <w:pPr>
        <w:ind w:right="220" w:firstLine="374"/>
        <w:spacing w:after="0" w:line="290" w:lineRule="auto"/>
        <w:rPr>
          <w:sz w:val="20"/>
          <w:szCs w:val="20"/>
          <w:color w:val="auto"/>
        </w:rPr>
      </w:pPr>
      <w:r>
        <w:rPr>
          <w:rFonts w:ascii="Arial" w:cs="Arial" w:eastAsia="Arial" w:hAnsi="Arial"/>
          <w:sz w:val="18"/>
          <w:szCs w:val="18"/>
          <w:color w:val="auto"/>
        </w:rPr>
        <w:t>There has been no material change in the planned use of the IPO proceeds as described in our prospectus dated July 29, 2021, as filed with the SEC pursuant to Rule 424(b) under the Securities Act (File No. 333-257790). From the effective date of the IPO registration statement through June 30, 2022, we have used the net proceeds of the offering to expand our sales force, customer support and operations and increase our research and development activities.</w:t>
      </w:r>
    </w:p>
    <w:p>
      <w:pPr>
        <w:spacing w:after="0" w:line="309" w:lineRule="exact"/>
        <w:rPr>
          <w:sz w:val="20"/>
          <w:szCs w:val="20"/>
          <w:color w:val="auto"/>
        </w:rPr>
      </w:pPr>
    </w:p>
    <w:p>
      <w:pPr>
        <w:ind w:left="380" w:right="8200" w:hanging="372"/>
        <w:spacing w:after="0" w:line="402" w:lineRule="auto"/>
        <w:tabs>
          <w:tab w:leader="none" w:pos="25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Issuer Purchases of Equity Securities </w:t>
      </w:r>
      <w:r>
        <w:rPr>
          <w:rFonts w:ascii="Arial" w:cs="Arial" w:eastAsia="Arial" w:hAnsi="Arial"/>
          <w:sz w:val="18"/>
          <w:szCs w:val="18"/>
          <w:color w:val="auto"/>
        </w:rPr>
        <w:t>None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40" w:type="dxa"/>
            <w:vAlign w:val="bottom"/>
            <w:gridSpan w:val="37"/>
          </w:tcPr>
          <w:p>
            <w:pPr>
              <w:spacing w:after="0"/>
              <w:rPr>
                <w:sz w:val="20"/>
                <w:szCs w:val="20"/>
                <w:color w:val="auto"/>
              </w:rPr>
            </w:pPr>
            <w:r>
              <w:rPr>
                <w:rFonts w:ascii="Arial" w:cs="Arial" w:eastAsia="Arial" w:hAnsi="Arial"/>
                <w:sz w:val="18"/>
                <w:szCs w:val="18"/>
                <w:color w:val="auto"/>
                <w:w w:val="92"/>
              </w:rPr>
              <w:t>The following exhibits are filed as part of, or incorporated by reference into, this Quarterly Report on Form 10-Q unless otherwise stated.</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18"/>
          </w:tcPr>
          <w:p>
            <w:pPr>
              <w:jc w:val="center"/>
              <w:ind w:left="290"/>
              <w:spacing w:after="0"/>
              <w:rPr>
                <w:sz w:val="20"/>
                <w:szCs w:val="20"/>
                <w:color w:val="auto"/>
              </w:rPr>
            </w:pPr>
            <w:r>
              <w:rPr>
                <w:rFonts w:ascii="Arial" w:cs="Arial" w:eastAsia="Arial" w:hAnsi="Arial"/>
                <w:sz w:val="18"/>
                <w:szCs w:val="18"/>
                <w:b w:val="1"/>
                <w:bCs w:val="1"/>
                <w:color w:val="auto"/>
              </w:rPr>
              <w:t>EXHIBIT INDEX</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6"/>
          </w:tcPr>
          <w:p>
            <w:pPr>
              <w:ind w:left="180"/>
              <w:spacing w:after="0"/>
              <w:rPr>
                <w:sz w:val="20"/>
                <w:szCs w:val="20"/>
                <w:color w:val="auto"/>
              </w:rPr>
            </w:pPr>
            <w:r>
              <w:rPr>
                <w:rFonts w:ascii="Arial" w:cs="Arial" w:eastAsia="Arial" w:hAnsi="Arial"/>
                <w:sz w:val="18"/>
                <w:szCs w:val="18"/>
                <w:b w:val="1"/>
                <w:bCs w:val="1"/>
                <w:color w:val="auto"/>
              </w:rPr>
              <w:t>Incorporated by Reference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4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1"/>
                <w:szCs w:val="21"/>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Form</w:t>
            </w:r>
          </w:p>
        </w:tc>
        <w:tc>
          <w:tcPr>
            <w:tcW w:w="178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File No.</w:t>
            </w:r>
          </w:p>
        </w:tc>
        <w:tc>
          <w:tcPr>
            <w:tcW w:w="14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6"/>
              </w:rPr>
              <w:t>Exhibit</w:t>
            </w: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gridSpan w:val="3"/>
          </w:tcPr>
          <w:p>
            <w:pPr>
              <w:ind w:left="6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4760" w:type="dxa"/>
            <w:vAlign w:val="bottom"/>
            <w:gridSpan w:val="2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Sublease, dated as of June 8, 2022, by and between the</w:t>
              </w:r>
            </w:hyperlink>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760" w:type="dxa"/>
            <w:vAlign w:val="bottom"/>
            <w:gridSpan w:val="23"/>
          </w:tcPr>
          <w:p>
            <w:pPr>
              <w:spacing w:after="0" w:line="156" w:lineRule="exact"/>
              <w:rPr>
                <w:rFonts w:ascii="Arial" w:cs="Arial" w:eastAsia="Arial" w:hAnsi="Arial"/>
                <w:sz w:val="18"/>
                <w:szCs w:val="18"/>
                <w:color w:val="0000FF"/>
                <w:w w:val="93"/>
              </w:rPr>
            </w:pPr>
            <w:hyperlink w:anchor="page105">
              <w:r>
                <w:rPr>
                  <w:rFonts w:ascii="Arial" w:cs="Arial" w:eastAsia="Arial" w:hAnsi="Arial"/>
                  <w:sz w:val="18"/>
                  <w:szCs w:val="18"/>
                  <w:color w:val="0000FF"/>
                  <w:w w:val="93"/>
                </w:rPr>
                <w:t>Registrant and Compass Bible Church for premises located at 5</w:t>
              </w:r>
            </w:hyperlink>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gridSpan w:val="3"/>
            <w:vMerge w:val="restart"/>
          </w:tcPr>
          <w:p>
            <w:pPr>
              <w:jc w:val="center"/>
              <w:ind w:right="250"/>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w:anchor="page105">
              <w:r>
                <w:rPr>
                  <w:rFonts w:ascii="Arial" w:cs="Arial" w:eastAsia="Arial" w:hAnsi="Arial"/>
                  <w:sz w:val="18"/>
                  <w:szCs w:val="18"/>
                  <w:color w:val="0000FF"/>
                  <w:w w:val="92"/>
                </w:rPr>
                <w:t>Columbia, Aliso Viejo, California 92656.</w:t>
              </w:r>
            </w:hyperlink>
          </w:p>
        </w:tc>
        <w:tc>
          <w:tcPr>
            <w:tcW w:w="20" w:type="dxa"/>
            <w:vAlign w:val="bottom"/>
            <w:tcBorders>
              <w:top w:val="single" w:sz="8" w:color="0000FF"/>
              <w:bottom w:val="single" w:sz="8" w:color="0000EE"/>
            </w:tcBorders>
          </w:tcPr>
          <w:p>
            <w:pPr>
              <w:spacing w:after="0"/>
              <w:rPr>
                <w:sz w:val="13"/>
                <w:szCs w:val="13"/>
                <w:color w:val="auto"/>
              </w:rPr>
            </w:pPr>
          </w:p>
        </w:tc>
        <w:tc>
          <w:tcPr>
            <w:tcW w:w="1580" w:type="dxa"/>
            <w:vAlign w:val="bottom"/>
            <w:tcBorders>
              <w:top w:val="single" w:sz="8" w:color="0000FF"/>
            </w:tcBorders>
            <w:gridSpan w:val="14"/>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8"/>
                <w:szCs w:val="18"/>
                <w:color w:val="auto"/>
                <w:w w:val="91"/>
              </w:rPr>
              <w:t>Form 10-Q</w:t>
            </w:r>
          </w:p>
        </w:tc>
        <w:tc>
          <w:tcPr>
            <w:tcW w:w="1780" w:type="dxa"/>
            <w:vAlign w:val="bottom"/>
            <w:gridSpan w:val="4"/>
            <w:vMerge w:val="restart"/>
          </w:tcPr>
          <w:p>
            <w:pPr>
              <w:jc w:val="center"/>
              <w:ind w:right="520"/>
              <w:spacing w:after="0"/>
              <w:rPr>
                <w:sz w:val="20"/>
                <w:szCs w:val="20"/>
                <w:color w:val="auto"/>
              </w:rPr>
            </w:pPr>
            <w:r>
              <w:rPr>
                <w:rFonts w:ascii="Arial" w:cs="Arial" w:eastAsia="Arial" w:hAnsi="Arial"/>
                <w:sz w:val="18"/>
                <w:szCs w:val="18"/>
                <w:color w:val="auto"/>
                <w:w w:val="90"/>
              </w:rPr>
              <w:t>001-40690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w w:val="90"/>
              </w:rPr>
              <w:t>05/05/2022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760" w:type="dxa"/>
            <w:vAlign w:val="bottom"/>
            <w:gridSpan w:val="23"/>
          </w:tcPr>
          <w:p>
            <w:pPr>
              <w:spacing w:after="0" w:line="169" w:lineRule="exact"/>
              <w:rPr>
                <w:rFonts w:ascii="Arial" w:cs="Arial" w:eastAsia="Arial" w:hAnsi="Arial"/>
                <w:sz w:val="18"/>
                <w:szCs w:val="18"/>
                <w:color w:val="0000FF"/>
              </w:rPr>
            </w:pPr>
            <w:hyperlink r:id="rId418">
              <w:r>
                <w:rPr>
                  <w:rFonts w:ascii="Arial" w:cs="Arial" w:eastAsia="Arial" w:hAnsi="Arial"/>
                  <w:sz w:val="18"/>
                  <w:szCs w:val="18"/>
                  <w:color w:val="0000FF"/>
                </w:rPr>
                <w:t>Sublease, dated as of April 4, 2022, by and between the</w:t>
              </w:r>
            </w:hyperlink>
          </w:p>
        </w:tc>
        <w:tc>
          <w:tcPr>
            <w:tcW w:w="108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760" w:type="dxa"/>
            <w:vAlign w:val="bottom"/>
            <w:gridSpan w:val="23"/>
          </w:tcPr>
          <w:p>
            <w:pPr>
              <w:spacing w:after="0" w:line="156" w:lineRule="exact"/>
              <w:rPr>
                <w:rFonts w:ascii="Arial" w:cs="Arial" w:eastAsia="Arial" w:hAnsi="Arial"/>
                <w:sz w:val="18"/>
                <w:szCs w:val="18"/>
                <w:color w:val="0000FF"/>
                <w:w w:val="93"/>
              </w:rPr>
            </w:pPr>
            <w:hyperlink r:id="rId418">
              <w:r>
                <w:rPr>
                  <w:rFonts w:ascii="Arial" w:cs="Arial" w:eastAsia="Arial" w:hAnsi="Arial"/>
                  <w:sz w:val="18"/>
                  <w:szCs w:val="18"/>
                  <w:color w:val="0000FF"/>
                  <w:w w:val="93"/>
                </w:rPr>
                <w:t>Registrant and Compass Bible Church for premises located at 5</w:t>
              </w:r>
            </w:hyperlink>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gridSpan w:val="3"/>
            <w:vMerge w:val="restart"/>
          </w:tcPr>
          <w:p>
            <w:pPr>
              <w:jc w:val="center"/>
              <w:ind w:right="250"/>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13"/>
                <w:szCs w:val="13"/>
                <w:color w:val="auto"/>
              </w:rPr>
            </w:pPr>
          </w:p>
        </w:tc>
        <w:tc>
          <w:tcPr>
            <w:tcW w:w="45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Columbia, Aliso Viejo, California 92656</w:t>
              </w:r>
              <w:r>
                <w:rPr>
                  <w:rFonts w:ascii="Arial" w:cs="Arial" w:eastAsia="Arial" w:hAnsi="Arial"/>
                  <w:sz w:val="18"/>
                  <w:szCs w:val="18"/>
                  <w:color w:val="000000"/>
                </w:rPr>
                <w:t>.</w:t>
              </w:r>
            </w:hyperlink>
          </w:p>
        </w:tc>
        <w:tc>
          <w:tcPr>
            <w:tcW w:w="200" w:type="dxa"/>
            <w:vAlign w:val="bottom"/>
          </w:tcPr>
          <w:p>
            <w:pPr>
              <w:spacing w:after="0"/>
              <w:rPr>
                <w:sz w:val="13"/>
                <w:szCs w:val="13"/>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8"/>
                <w:szCs w:val="18"/>
                <w:color w:val="auto"/>
                <w:w w:val="91"/>
              </w:rPr>
              <w:t>Form 10-Q</w:t>
            </w:r>
          </w:p>
        </w:tc>
        <w:tc>
          <w:tcPr>
            <w:tcW w:w="1780" w:type="dxa"/>
            <w:vAlign w:val="bottom"/>
            <w:gridSpan w:val="4"/>
            <w:vMerge w:val="restart"/>
          </w:tcPr>
          <w:p>
            <w:pPr>
              <w:jc w:val="center"/>
              <w:ind w:right="520"/>
              <w:spacing w:after="0"/>
              <w:rPr>
                <w:sz w:val="20"/>
                <w:szCs w:val="20"/>
                <w:color w:val="auto"/>
              </w:rPr>
            </w:pPr>
            <w:r>
              <w:rPr>
                <w:rFonts w:ascii="Arial" w:cs="Arial" w:eastAsia="Arial" w:hAnsi="Arial"/>
                <w:sz w:val="18"/>
                <w:szCs w:val="18"/>
                <w:color w:val="auto"/>
                <w:w w:val="90"/>
              </w:rPr>
              <w:t>001-40690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w w:val="90"/>
              </w:rPr>
              <w:t>05/05/2022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continue"/>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760" w:type="dxa"/>
            <w:vAlign w:val="bottom"/>
            <w:gridSpan w:val="23"/>
          </w:tcPr>
          <w:p>
            <w:pPr>
              <w:spacing w:after="0" w:line="169" w:lineRule="exact"/>
              <w:rPr>
                <w:rFonts w:ascii="Arial" w:cs="Arial" w:eastAsia="Arial" w:hAnsi="Arial"/>
                <w:sz w:val="18"/>
                <w:szCs w:val="18"/>
                <w:color w:val="0000FF"/>
                <w:w w:val="98"/>
              </w:rPr>
            </w:pPr>
            <w:hyperlink r:id="rId419">
              <w:r>
                <w:rPr>
                  <w:rFonts w:ascii="Arial" w:cs="Arial" w:eastAsia="Arial" w:hAnsi="Arial"/>
                  <w:sz w:val="18"/>
                  <w:szCs w:val="18"/>
                  <w:color w:val="0000FF"/>
                  <w:w w:val="98"/>
                </w:rPr>
                <w:t>Lease Addendum, dated as of April 5, 2022, by and between</w:t>
              </w:r>
            </w:hyperlink>
          </w:p>
        </w:tc>
        <w:tc>
          <w:tcPr>
            <w:tcW w:w="108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419">
              <w:r>
                <w:rPr>
                  <w:rFonts w:ascii="Arial" w:cs="Arial" w:eastAsia="Arial" w:hAnsi="Arial"/>
                  <w:sz w:val="18"/>
                  <w:szCs w:val="18"/>
                  <w:color w:val="0000FF"/>
                  <w:w w:val="91"/>
                </w:rPr>
                <w:t>the Registrant and Clifford D. Downs for premises located at</w:t>
              </w:r>
            </w:hyperlink>
          </w:p>
        </w:tc>
        <w:tc>
          <w:tcPr>
            <w:tcW w:w="100" w:type="dxa"/>
            <w:vAlign w:val="bottom"/>
            <w:tcBorders>
              <w:bottom w:val="single" w:sz="8" w:color="0000FF"/>
            </w:tcBorders>
            <w:gridSpan w:val="4"/>
          </w:tcPr>
          <w:p>
            <w:pPr>
              <w:jc w:val="right"/>
              <w:spacing w:after="0" w:line="156" w:lineRule="exact"/>
              <w:rPr>
                <w:rFonts w:ascii="Arial" w:cs="Arial" w:eastAsia="Arial" w:hAnsi="Arial"/>
                <w:sz w:val="18"/>
                <w:szCs w:val="18"/>
                <w:color w:val="0000FF"/>
                <w:w w:val="79"/>
              </w:rPr>
            </w:pPr>
            <w:hyperlink r:id="rId419">
              <w:r>
                <w:rPr>
                  <w:rFonts w:ascii="Arial" w:cs="Arial" w:eastAsia="Arial" w:hAnsi="Arial"/>
                  <w:sz w:val="18"/>
                  <w:szCs w:val="18"/>
                  <w:color w:val="0000FF"/>
                  <w:w w:val="79"/>
                </w:rPr>
                <w:t>5</w:t>
              </w:r>
            </w:hyperlink>
          </w:p>
        </w:tc>
        <w:tc>
          <w:tcPr>
            <w:tcW w:w="40" w:type="dxa"/>
            <w:vAlign w:val="bottom"/>
            <w:tcBorders>
              <w:bottom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21"/>
          </w:tcPr>
          <w:p>
            <w:pPr>
              <w:spacing w:after="0" w:line="156" w:lineRule="exact"/>
              <w:rPr>
                <w:rFonts w:ascii="Arial" w:cs="Arial" w:eastAsia="Arial" w:hAnsi="Arial"/>
                <w:sz w:val="18"/>
                <w:szCs w:val="18"/>
                <w:color w:val="0000FF"/>
              </w:rPr>
            </w:pPr>
            <w:hyperlink r:id="rId419">
              <w:r>
                <w:rPr>
                  <w:rFonts w:ascii="Arial" w:cs="Arial" w:eastAsia="Arial" w:hAnsi="Arial"/>
                  <w:sz w:val="18"/>
                  <w:szCs w:val="18"/>
                  <w:color w:val="0000FF"/>
                </w:rPr>
                <w:t>Columbia, Aliso Viejo, California 92656</w:t>
              </w:r>
              <w:r>
                <w:rPr>
                  <w:rFonts w:ascii="Arial" w:cs="Arial" w:eastAsia="Arial" w:hAnsi="Arial"/>
                  <w:sz w:val="18"/>
                  <w:szCs w:val="18"/>
                  <w:color w:val="000000"/>
                </w:rPr>
                <w:t>.</w:t>
              </w:r>
            </w:hyperlink>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ind w:left="60"/>
              <w:spacing w:after="0" w:line="189" w:lineRule="exact"/>
              <w:rPr>
                <w:sz w:val="20"/>
                <w:szCs w:val="20"/>
                <w:color w:val="auto"/>
              </w:rPr>
            </w:pPr>
            <w:r>
              <w:rPr>
                <w:rFonts w:ascii="Arial" w:cs="Arial" w:eastAsia="Arial" w:hAnsi="Arial"/>
                <w:sz w:val="18"/>
                <w:szCs w:val="18"/>
                <w:color w:val="auto"/>
              </w:rPr>
              <w:t>10.4+</w:t>
            </w: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40" w:type="dxa"/>
            <w:vAlign w:val="bottom"/>
            <w:gridSpan w:val="17"/>
            <w:vMerge w:val="restart"/>
          </w:tcPr>
          <w:p>
            <w:pPr>
              <w:ind w:left="120"/>
              <w:spacing w:after="0" w:line="189" w:lineRule="exact"/>
              <w:rPr>
                <w:rFonts w:ascii="Arial" w:cs="Arial" w:eastAsia="Arial" w:hAnsi="Arial"/>
                <w:sz w:val="18"/>
                <w:szCs w:val="18"/>
                <w:color w:val="0000FF"/>
              </w:rPr>
            </w:pPr>
            <w:hyperlink r:id="rId420">
              <w:r>
                <w:rPr>
                  <w:rFonts w:ascii="Arial" w:cs="Arial" w:eastAsia="Arial" w:hAnsi="Arial"/>
                  <w:sz w:val="18"/>
                  <w:szCs w:val="18"/>
                  <w:color w:val="0000FF"/>
                </w:rPr>
                <w:t>Agreement by and</w:t>
              </w:r>
            </w:hyperlink>
          </w:p>
        </w:tc>
        <w:tc>
          <w:tcPr>
            <w:tcW w:w="1080" w:type="dxa"/>
            <w:vAlign w:val="bottom"/>
            <w:gridSpan w:val="3"/>
            <w:vMerge w:val="restart"/>
          </w:tcPr>
          <w:p>
            <w:pPr>
              <w:jc w:val="center"/>
              <w:ind w:right="240"/>
              <w:spacing w:after="0" w:line="189" w:lineRule="exact"/>
              <w:rPr>
                <w:sz w:val="20"/>
                <w:szCs w:val="20"/>
                <w:color w:val="auto"/>
              </w:rPr>
            </w:pPr>
            <w:r>
              <w:rPr>
                <w:rFonts w:ascii="Arial" w:cs="Arial" w:eastAsia="Arial" w:hAnsi="Arial"/>
                <w:sz w:val="18"/>
                <w:szCs w:val="18"/>
                <w:color w:val="auto"/>
                <w:w w:val="91"/>
              </w:rPr>
              <w:t>Form 10-Q</w:t>
            </w:r>
          </w:p>
        </w:tc>
        <w:tc>
          <w:tcPr>
            <w:tcW w:w="1780" w:type="dxa"/>
            <w:vAlign w:val="bottom"/>
            <w:gridSpan w:val="4"/>
            <w:vMerge w:val="restart"/>
          </w:tcPr>
          <w:p>
            <w:pPr>
              <w:jc w:val="center"/>
              <w:ind w:right="520"/>
              <w:spacing w:after="0" w:line="189" w:lineRule="exact"/>
              <w:rPr>
                <w:sz w:val="20"/>
                <w:szCs w:val="20"/>
                <w:color w:val="auto"/>
              </w:rPr>
            </w:pPr>
            <w:r>
              <w:rPr>
                <w:rFonts w:ascii="Arial" w:cs="Arial" w:eastAsia="Arial" w:hAnsi="Arial"/>
                <w:sz w:val="18"/>
                <w:szCs w:val="18"/>
                <w:color w:val="auto"/>
                <w:w w:val="90"/>
              </w:rPr>
              <w:t>001-40690</w:t>
            </w:r>
          </w:p>
        </w:tc>
        <w:tc>
          <w:tcPr>
            <w:tcW w:w="5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10.3</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vMerge w:val="restart"/>
          </w:tcPr>
          <w:p>
            <w:pPr>
              <w:ind w:left="20"/>
              <w:spacing w:after="0" w:line="189" w:lineRule="exact"/>
              <w:rPr>
                <w:sz w:val="20"/>
                <w:szCs w:val="20"/>
                <w:color w:val="auto"/>
              </w:rPr>
            </w:pPr>
            <w:r>
              <w:rPr>
                <w:rFonts w:ascii="Arial" w:cs="Arial" w:eastAsia="Arial" w:hAnsi="Arial"/>
                <w:sz w:val="18"/>
                <w:szCs w:val="18"/>
                <w:color w:val="auto"/>
                <w:w w:val="90"/>
              </w:rPr>
              <w:t>05/05/2022</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6"/>
          </w:tcPr>
          <w:p>
            <w:pPr>
              <w:spacing w:after="0" w:line="169" w:lineRule="exact"/>
              <w:rPr>
                <w:rFonts w:ascii="Arial" w:cs="Arial" w:eastAsia="Arial" w:hAnsi="Arial"/>
                <w:sz w:val="18"/>
                <w:szCs w:val="18"/>
                <w:color w:val="0000FF"/>
                <w:w w:val="87"/>
              </w:rPr>
            </w:pPr>
            <w:hyperlink r:id="rId420">
              <w:r>
                <w:rPr>
                  <w:rFonts w:ascii="Arial" w:cs="Arial" w:eastAsia="Arial" w:hAnsi="Arial"/>
                  <w:sz w:val="18"/>
                  <w:szCs w:val="18"/>
                  <w:color w:val="0000FF"/>
                  <w:w w:val="87"/>
                </w:rPr>
                <w:t>Second Amendment to Loan and Security</w:t>
              </w:r>
            </w:hyperlink>
          </w:p>
        </w:tc>
        <w:tc>
          <w:tcPr>
            <w:tcW w:w="1840" w:type="dxa"/>
            <w:vAlign w:val="bottom"/>
            <w:gridSpan w:val="17"/>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420">
              <w:r>
                <w:rPr>
                  <w:rFonts w:ascii="Arial" w:cs="Arial" w:eastAsia="Arial" w:hAnsi="Arial"/>
                  <w:sz w:val="18"/>
                  <w:szCs w:val="18"/>
                  <w:color w:val="0000FF"/>
                  <w:w w:val="91"/>
                </w:rPr>
                <w:t>among the Registrant, Oxford Finance, LLC, as collateral</w:t>
              </w:r>
            </w:hyperlink>
          </w:p>
        </w:tc>
        <w:tc>
          <w:tcPr>
            <w:tcW w:w="2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gridSpan w:val="3"/>
            <w:vMerge w:val="restart"/>
          </w:tcPr>
          <w:p>
            <w:pPr>
              <w:jc w:val="center"/>
              <w:ind w:right="250"/>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13"/>
                <w:szCs w:val="13"/>
                <w:color w:val="auto"/>
              </w:rPr>
            </w:pPr>
          </w:p>
        </w:tc>
        <w:tc>
          <w:tcPr>
            <w:tcW w:w="4760" w:type="dxa"/>
            <w:vAlign w:val="bottom"/>
            <w:gridSpan w:val="23"/>
          </w:tcPr>
          <w:p>
            <w:pPr>
              <w:spacing w:after="0" w:line="156" w:lineRule="exact"/>
              <w:rPr>
                <w:rFonts w:ascii="Arial" w:cs="Arial" w:eastAsia="Arial" w:hAnsi="Arial"/>
                <w:sz w:val="18"/>
                <w:szCs w:val="18"/>
                <w:color w:val="0000FF"/>
                <w:w w:val="96"/>
              </w:rPr>
            </w:pPr>
            <w:hyperlink r:id="rId420">
              <w:r>
                <w:rPr>
                  <w:rFonts w:ascii="Arial" w:cs="Arial" w:eastAsia="Arial" w:hAnsi="Arial"/>
                  <w:sz w:val="18"/>
                  <w:szCs w:val="18"/>
                  <w:color w:val="0000FF"/>
                  <w:w w:val="96"/>
                </w:rPr>
                <w:t>agent, and the lenders party thereto, dated as of May 3, 2022.</w:t>
              </w:r>
            </w:hyperlink>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continue"/>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4380" w:type="dxa"/>
            <w:vAlign w:val="bottom"/>
            <w:gridSpan w:val="15"/>
          </w:tcPr>
          <w:p>
            <w:pPr>
              <w:spacing w:after="0" w:line="182"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Certification of Principal Executive Officer Pursuant to Rules</w:t>
              </w:r>
            </w:hyperlink>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89"/>
              </w:rPr>
            </w:pPr>
            <w:hyperlink w:anchor="page106">
              <w:r>
                <w:rPr>
                  <w:rFonts w:ascii="Arial" w:cs="Arial" w:eastAsia="Arial" w:hAnsi="Arial"/>
                  <w:sz w:val="18"/>
                  <w:szCs w:val="18"/>
                  <w:color w:val="0000FF"/>
                  <w:w w:val="89"/>
                </w:rPr>
                <w:t>13a-14(a) and 15d-14(a) under the Securities Exchange Act of</w:t>
              </w:r>
            </w:hyperlink>
          </w:p>
        </w:tc>
        <w:tc>
          <w:tcPr>
            <w:tcW w:w="40" w:type="dxa"/>
            <w:vAlign w:val="bottom"/>
            <w:tcBorders>
              <w:bottom w:val="single" w:sz="8" w:color="0000FF"/>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20" w:type="dxa"/>
            <w:vAlign w:val="bottom"/>
            <w:tcBorders>
              <w:bottom w:val="single" w:sz="8" w:color="0000FF"/>
            </w:tcBorders>
            <w:gridSpan w:val="13"/>
          </w:tcPr>
          <w:p>
            <w:pPr>
              <w:spacing w:after="0" w:line="182" w:lineRule="exact"/>
              <w:rPr>
                <w:rFonts w:ascii="Arial" w:cs="Arial" w:eastAsia="Arial" w:hAnsi="Arial"/>
                <w:sz w:val="18"/>
                <w:szCs w:val="18"/>
                <w:color w:val="0000FF"/>
                <w:w w:val="88"/>
              </w:rPr>
            </w:pPr>
            <w:hyperlink w:anchor="page106">
              <w:r>
                <w:rPr>
                  <w:rFonts w:ascii="Arial" w:cs="Arial" w:eastAsia="Arial" w:hAnsi="Arial"/>
                  <w:sz w:val="18"/>
                  <w:szCs w:val="18"/>
                  <w:color w:val="0000FF"/>
                  <w:w w:val="88"/>
                </w:rPr>
                <w:t>1934, as Adopted Pursuant to Section 302 of the Sarbanes-</w:t>
              </w:r>
            </w:hyperlink>
          </w:p>
        </w:tc>
        <w:tc>
          <w:tcPr>
            <w:tcW w:w="280" w:type="dxa"/>
            <w:vAlign w:val="bottom"/>
            <w:gridSpan w:val="7"/>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20" w:type="dxa"/>
            <w:vAlign w:val="bottom"/>
            <w:gridSpan w:val="13"/>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Oxley Act of 2002.</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2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gridSpan w:val="3"/>
          </w:tcPr>
          <w:p>
            <w:pPr>
              <w:jc w:val="center"/>
              <w:ind w:right="250"/>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4760" w:type="dxa"/>
            <w:vAlign w:val="bottom"/>
            <w:gridSpan w:val="23"/>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Principal Financial Officer Pursuant to Rules</w:t>
              </w:r>
            </w:hyperlink>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60" w:type="dxa"/>
            <w:vAlign w:val="bottom"/>
            <w:gridSpan w:val="23"/>
          </w:tcPr>
          <w:p>
            <w:pPr>
              <w:spacing w:after="0" w:line="182" w:lineRule="exact"/>
              <w:rPr>
                <w:rFonts w:ascii="Arial" w:cs="Arial" w:eastAsia="Arial" w:hAnsi="Arial"/>
                <w:sz w:val="18"/>
                <w:szCs w:val="18"/>
                <w:color w:val="0000FF"/>
                <w:w w:val="95"/>
              </w:rPr>
            </w:pPr>
            <w:hyperlink w:anchor="page107">
              <w:r>
                <w:rPr>
                  <w:rFonts w:ascii="Arial" w:cs="Arial" w:eastAsia="Arial" w:hAnsi="Arial"/>
                  <w:sz w:val="18"/>
                  <w:szCs w:val="18"/>
                  <w:color w:val="0000FF"/>
                  <w:w w:val="95"/>
                </w:rPr>
                <w:t>13a-14(a) and 15d-14(a) under the Securities Exchange Act of</w:t>
              </w:r>
            </w:hyperlink>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88"/>
              </w:rPr>
            </w:pPr>
            <w:hyperlink w:anchor="page107">
              <w:r>
                <w:rPr>
                  <w:rFonts w:ascii="Arial" w:cs="Arial" w:eastAsia="Arial" w:hAnsi="Arial"/>
                  <w:sz w:val="18"/>
                  <w:szCs w:val="18"/>
                  <w:color w:val="0000FF"/>
                  <w:w w:val="88"/>
                </w:rPr>
                <w:t>1934, as Adopted Pursuant to Section 302 of the Sarbanes-</w:t>
              </w:r>
            </w:hyperlink>
          </w:p>
        </w:tc>
        <w:tc>
          <w:tcPr>
            <w:tcW w:w="280" w:type="dxa"/>
            <w:vAlign w:val="bottom"/>
            <w:tcBorders>
              <w:top w:val="single" w:sz="8" w:color="0000FF"/>
            </w:tcBorders>
            <w:gridSpan w:val="7"/>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20" w:type="dxa"/>
            <w:vAlign w:val="bottom"/>
            <w:gridSpan w:val="13"/>
          </w:tcPr>
          <w:p>
            <w:pPr>
              <w:spacing w:after="0" w:line="182" w:lineRule="exact"/>
              <w:rPr>
                <w:rFonts w:ascii="Arial" w:cs="Arial" w:eastAsia="Arial" w:hAnsi="Arial"/>
                <w:sz w:val="18"/>
                <w:szCs w:val="18"/>
                <w:color w:val="0000FF"/>
              </w:rPr>
            </w:pPr>
            <w:hyperlink w:anchor="page107">
              <w:r>
                <w:rPr>
                  <w:rFonts w:ascii="Arial" w:cs="Arial" w:eastAsia="Arial" w:hAnsi="Arial"/>
                  <w:sz w:val="18"/>
                  <w:szCs w:val="18"/>
                  <w:color w:val="0000FF"/>
                </w:rPr>
                <w:t>Oxley Act of 2002.</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FF"/>
            </w:tcBorders>
            <w:gridSpan w:val="4"/>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gridSpan w:val="4"/>
          </w:tcPr>
          <w:p>
            <w:pPr>
              <w:jc w:val="center"/>
              <w:ind w:right="580"/>
              <w:spacing w:after="0"/>
              <w:rPr>
                <w:sz w:val="20"/>
                <w:szCs w:val="20"/>
                <w:color w:val="auto"/>
              </w:rPr>
            </w:pPr>
            <w:r>
              <w:rPr>
                <w:rFonts w:ascii="Arial" w:cs="Arial" w:eastAsia="Arial" w:hAnsi="Arial"/>
                <w:sz w:val="18"/>
                <w:szCs w:val="18"/>
                <w:color w:val="auto"/>
                <w:w w:val="88"/>
              </w:rPr>
              <w:t>32.1†</w:t>
            </w:r>
          </w:p>
        </w:tc>
        <w:tc>
          <w:tcPr>
            <w:tcW w:w="4760" w:type="dxa"/>
            <w:vAlign w:val="bottom"/>
            <w:gridSpan w:val="23"/>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Certification of Principal Executive Officer Pursuant to 18</w:t>
              </w:r>
            </w:hyperlink>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60" w:type="dxa"/>
            <w:vAlign w:val="bottom"/>
            <w:gridSpan w:val="23"/>
          </w:tcPr>
          <w:p>
            <w:pPr>
              <w:spacing w:after="0" w:line="182" w:lineRule="exact"/>
              <w:rPr>
                <w:rFonts w:ascii="Arial" w:cs="Arial" w:eastAsia="Arial" w:hAnsi="Arial"/>
                <w:sz w:val="18"/>
                <w:szCs w:val="18"/>
                <w:color w:val="0000FF"/>
                <w:w w:val="98"/>
              </w:rPr>
            </w:pPr>
            <w:hyperlink w:anchor="page108">
              <w:r>
                <w:rPr>
                  <w:rFonts w:ascii="Arial" w:cs="Arial" w:eastAsia="Arial" w:hAnsi="Arial"/>
                  <w:sz w:val="18"/>
                  <w:szCs w:val="18"/>
                  <w:color w:val="0000FF"/>
                  <w:w w:val="98"/>
                </w:rPr>
                <w:t>U.S.C. Section 1350, as Adopted Pursuant to Section 906 of</w:t>
              </w:r>
            </w:hyperlink>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108">
              <w:r>
                <w:rPr>
                  <w:rFonts w:ascii="Arial" w:cs="Arial" w:eastAsia="Arial" w:hAnsi="Arial"/>
                  <w:sz w:val="18"/>
                  <w:szCs w:val="18"/>
                  <w:color w:val="0000FF"/>
                  <w:w w:val="89"/>
                </w:rPr>
                <w:t>the Sarbanes-Oxley Act of 2002.</w:t>
              </w:r>
            </w:hyperlink>
          </w:p>
        </w:tc>
        <w:tc>
          <w:tcPr>
            <w:tcW w:w="20" w:type="dxa"/>
            <w:vAlign w:val="bottom"/>
            <w:tcBorders>
              <w:top w:val="single" w:sz="8" w:color="0000FF"/>
              <w:bottom w:val="single" w:sz="8" w:color="0000EE"/>
            </w:tcBorders>
          </w:tcPr>
          <w:p>
            <w:pPr>
              <w:spacing w:after="0"/>
              <w:rPr>
                <w:sz w:val="15"/>
                <w:szCs w:val="15"/>
                <w:color w:val="auto"/>
              </w:rPr>
            </w:pPr>
          </w:p>
        </w:tc>
        <w:tc>
          <w:tcPr>
            <w:tcW w:w="2020" w:type="dxa"/>
            <w:vAlign w:val="bottom"/>
            <w:tcBorders>
              <w:top w:val="single" w:sz="8" w:color="0000FF"/>
            </w:tcBorders>
            <w:gridSpan w:val="11"/>
          </w:tcPr>
          <w:p>
            <w:pPr>
              <w:spacing w:after="0"/>
              <w:rPr>
                <w:sz w:val="15"/>
                <w:szCs w:val="15"/>
                <w:color w:val="auto"/>
              </w:rPr>
            </w:pPr>
          </w:p>
        </w:tc>
        <w:tc>
          <w:tcPr>
            <w:tcW w:w="38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20" w:type="dxa"/>
            <w:vAlign w:val="bottom"/>
            <w:gridSpan w:val="4"/>
          </w:tcPr>
          <w:p>
            <w:pPr>
              <w:jc w:val="center"/>
              <w:ind w:right="580"/>
              <w:spacing w:after="0"/>
              <w:rPr>
                <w:sz w:val="20"/>
                <w:szCs w:val="20"/>
                <w:color w:val="auto"/>
              </w:rPr>
            </w:pPr>
            <w:r>
              <w:rPr>
                <w:rFonts w:ascii="Arial" w:cs="Arial" w:eastAsia="Arial" w:hAnsi="Arial"/>
                <w:sz w:val="18"/>
                <w:szCs w:val="18"/>
                <w:color w:val="auto"/>
                <w:w w:val="88"/>
              </w:rPr>
              <w:t>32.2†</w:t>
            </w:r>
          </w:p>
        </w:tc>
        <w:tc>
          <w:tcPr>
            <w:tcW w:w="4760" w:type="dxa"/>
            <w:vAlign w:val="bottom"/>
            <w:gridSpan w:val="23"/>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of Principal Financial Officer Pursuant to 18</w:t>
              </w:r>
            </w:hyperlink>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80" w:type="dxa"/>
            <w:vAlign w:val="bottom"/>
            <w:tcBorders>
              <w:top w:val="single" w:sz="8" w:color="0000FF"/>
            </w:tcBorders>
            <w:gridSpan w:val="12"/>
          </w:tcPr>
          <w:p>
            <w:pPr>
              <w:spacing w:after="0" w:line="182" w:lineRule="exact"/>
              <w:rPr>
                <w:rFonts w:ascii="Arial" w:cs="Arial" w:eastAsia="Arial" w:hAnsi="Arial"/>
                <w:sz w:val="18"/>
                <w:szCs w:val="18"/>
                <w:color w:val="0000FF"/>
                <w:w w:val="90"/>
              </w:rPr>
            </w:pPr>
            <w:hyperlink w:anchor="page109">
              <w:r>
                <w:rPr>
                  <w:rFonts w:ascii="Arial" w:cs="Arial" w:eastAsia="Arial" w:hAnsi="Arial"/>
                  <w:sz w:val="18"/>
                  <w:szCs w:val="18"/>
                  <w:color w:val="0000FF"/>
                  <w:w w:val="90"/>
                </w:rPr>
                <w:t>U.S.C. Section 1350, as Adopted Pursuant to Section 906</w:t>
              </w:r>
            </w:hyperlink>
          </w:p>
        </w:tc>
        <w:tc>
          <w:tcPr>
            <w:tcW w:w="580" w:type="dxa"/>
            <w:vAlign w:val="bottom"/>
            <w:gridSpan w:val="11"/>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of</w:t>
              </w:r>
            </w:hyperlink>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109">
              <w:r>
                <w:rPr>
                  <w:rFonts w:ascii="Arial" w:cs="Arial" w:eastAsia="Arial" w:hAnsi="Arial"/>
                  <w:sz w:val="18"/>
                  <w:szCs w:val="18"/>
                  <w:color w:val="0000FF"/>
                  <w:w w:val="89"/>
                </w:rPr>
                <w:t>the Sarbanes-Oxley Act of 2002.</w:t>
              </w:r>
            </w:hyperlink>
          </w:p>
        </w:tc>
        <w:tc>
          <w:tcPr>
            <w:tcW w:w="20" w:type="dxa"/>
            <w:vAlign w:val="bottom"/>
            <w:tcBorders>
              <w:top w:val="single" w:sz="8" w:color="0000FF"/>
              <w:bottom w:val="single" w:sz="8" w:color="0000EE"/>
            </w:tcBorders>
          </w:tcPr>
          <w:p>
            <w:pPr>
              <w:spacing w:after="0"/>
              <w:rPr>
                <w:sz w:val="15"/>
                <w:szCs w:val="15"/>
                <w:color w:val="auto"/>
              </w:rPr>
            </w:pPr>
          </w:p>
        </w:tc>
        <w:tc>
          <w:tcPr>
            <w:tcW w:w="2020" w:type="dxa"/>
            <w:vAlign w:val="bottom"/>
            <w:tcBorders>
              <w:top w:val="single" w:sz="8" w:color="0000FF"/>
            </w:tcBorders>
            <w:gridSpan w:val="11"/>
          </w:tcPr>
          <w:p>
            <w:pPr>
              <w:spacing w:after="0"/>
              <w:rPr>
                <w:sz w:val="15"/>
                <w:szCs w:val="15"/>
                <w:color w:val="auto"/>
              </w:rPr>
            </w:pPr>
          </w:p>
        </w:tc>
        <w:tc>
          <w:tcPr>
            <w:tcW w:w="38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1020" w:type="dxa"/>
            <w:vAlign w:val="bottom"/>
            <w:gridSpan w:val="4"/>
          </w:tcPr>
          <w:p>
            <w:pPr>
              <w:ind w:left="20"/>
              <w:spacing w:after="0"/>
              <w:rPr>
                <w:sz w:val="20"/>
                <w:szCs w:val="20"/>
                <w:color w:val="auto"/>
              </w:rPr>
            </w:pPr>
            <w:r>
              <w:rPr>
                <w:rFonts w:ascii="Arial" w:cs="Arial" w:eastAsia="Arial" w:hAnsi="Arial"/>
                <w:sz w:val="18"/>
                <w:szCs w:val="18"/>
                <w:color w:val="auto"/>
              </w:rPr>
              <w:t>101.INS</w:t>
            </w:r>
          </w:p>
        </w:tc>
        <w:tc>
          <w:tcPr>
            <w:tcW w:w="10220" w:type="dxa"/>
            <w:vAlign w:val="bottom"/>
            <w:gridSpan w:val="35"/>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60" w:type="dxa"/>
            <w:vAlign w:val="bottom"/>
            <w:gridSpan w:val="23"/>
          </w:tcPr>
          <w:p>
            <w:pPr>
              <w:jc w:val="right"/>
              <w:ind w:righ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44"/>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516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tcPr>
          <w:p>
            <w:pPr>
              <w:ind w:left="16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44"/>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tcPr>
          <w:p>
            <w:pPr>
              <w:ind w:left="16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5160" w:type="dxa"/>
            <w:vAlign w:val="bottom"/>
          </w:tcPr>
          <w:p>
            <w:pPr>
              <w:ind w:left="16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161" w:lineRule="exact"/>
        <w:rPr>
          <w:sz w:val="20"/>
          <w:szCs w:val="20"/>
          <w:color w:val="auto"/>
        </w:rPr>
      </w:pPr>
    </w:p>
    <w:p>
      <w:pPr>
        <w:ind w:left="1000" w:hanging="979"/>
        <w:spacing w:after="0"/>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9030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2" w:lineRule="exact"/>
        <w:rPr>
          <w:sz w:val="20"/>
          <w:szCs w:val="20"/>
          <w:color w:val="auto"/>
        </w:rPr>
      </w:pPr>
    </w:p>
    <w:p>
      <w:pPr>
        <w:ind w:right="280" w:firstLine="8"/>
        <w:spacing w:after="0" w:line="261" w:lineRule="auto"/>
        <w:tabs>
          <w:tab w:leader="none" w:pos="1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Portions of the exhibit were omitted pursuant to Item 601(b)(10) of Regulation S-K. The Company agrees to furnish to the Securities and Exchange Commission a copy of any omitted portions of the exhibit upon request.</w:t>
      </w:r>
    </w:p>
    <w:p>
      <w:pPr>
        <w:spacing w:after="0" w:line="171" w:lineRule="exact"/>
        <w:rPr>
          <w:sz w:val="20"/>
          <w:szCs w:val="20"/>
          <w:color w:val="auto"/>
        </w:rPr>
      </w:pPr>
    </w:p>
    <w:p>
      <w:pPr>
        <w:ind w:firstLine="8"/>
        <w:spacing w:after="0" w:line="275" w:lineRule="auto"/>
        <w:tabs>
          <w:tab w:leader="none" w:pos="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2854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6" w:right="5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320" w:type="dxa"/>
            <w:vAlign w:val="bottom"/>
            <w:gridSpan w:val="2"/>
          </w:tcPr>
          <w:p>
            <w:pPr>
              <w:ind w:left="2040"/>
              <w:spacing w:after="0"/>
              <w:rPr>
                <w:sz w:val="20"/>
                <w:szCs w:val="20"/>
                <w:color w:val="auto"/>
              </w:rPr>
            </w:pPr>
            <w:r>
              <w:rPr>
                <w:rFonts w:ascii="Arial" w:cs="Arial" w:eastAsia="Arial" w:hAnsi="Arial"/>
                <w:sz w:val="18"/>
                <w:szCs w:val="18"/>
                <w:color w:val="auto"/>
              </w:rPr>
              <w:t>RxSight, Inc.</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3560" w:type="dxa"/>
            <w:vAlign w:val="bottom"/>
          </w:tcPr>
          <w:p>
            <w:pPr>
              <w:ind w:left="80"/>
              <w:spacing w:after="0"/>
              <w:rPr>
                <w:sz w:val="20"/>
                <w:szCs w:val="20"/>
                <w:color w:val="auto"/>
              </w:rPr>
            </w:pPr>
            <w:r>
              <w:rPr>
                <w:rFonts w:ascii="Arial" w:cs="Arial" w:eastAsia="Arial" w:hAnsi="Arial"/>
                <w:sz w:val="18"/>
                <w:szCs w:val="18"/>
                <w:color w:val="auto"/>
              </w:rPr>
              <w:t>Date: August 8, 2022</w:t>
            </w:r>
          </w:p>
        </w:tc>
        <w:tc>
          <w:tcPr>
            <w:tcW w:w="3320" w:type="dxa"/>
            <w:vAlign w:val="bottom"/>
            <w:gridSpan w:val="2"/>
          </w:tcPr>
          <w:p>
            <w:pPr>
              <w:ind w:left="2040"/>
              <w:spacing w:after="0"/>
              <w:rPr>
                <w:sz w:val="20"/>
                <w:szCs w:val="20"/>
                <w:color w:val="auto"/>
              </w:rPr>
            </w:pPr>
            <w:r>
              <w:rPr>
                <w:rFonts w:ascii="Arial" w:cs="Arial" w:eastAsia="Arial" w:hAnsi="Arial"/>
                <w:sz w:val="18"/>
                <w:szCs w:val="18"/>
                <w:color w:val="auto"/>
              </w:rPr>
              <w:t>By:</w:t>
            </w:r>
          </w:p>
        </w:tc>
        <w:tc>
          <w:tcPr>
            <w:tcW w:w="4300" w:type="dxa"/>
            <w:vAlign w:val="bottom"/>
          </w:tcPr>
          <w:p>
            <w:pPr>
              <w:ind w:left="1180"/>
              <w:spacing w:after="0"/>
              <w:rPr>
                <w:sz w:val="20"/>
                <w:szCs w:val="20"/>
                <w:color w:val="auto"/>
              </w:rPr>
            </w:pPr>
            <w:r>
              <w:rPr>
                <w:rFonts w:ascii="Arial" w:cs="Arial" w:eastAsia="Arial" w:hAnsi="Arial"/>
                <w:sz w:val="18"/>
                <w:szCs w:val="18"/>
                <w:color w:val="auto"/>
              </w:rPr>
              <w:t>/s/ Ron Kurtz, M.D.</w:t>
            </w:r>
          </w:p>
        </w:tc>
        <w:tc>
          <w:tcPr>
            <w:tcW w:w="6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350"/>
              <w:spacing w:after="0" w:line="195" w:lineRule="exact"/>
              <w:rPr>
                <w:sz w:val="20"/>
                <w:szCs w:val="20"/>
                <w:color w:val="auto"/>
              </w:rPr>
            </w:pPr>
            <w:r>
              <w:rPr>
                <w:rFonts w:ascii="Arial" w:cs="Arial" w:eastAsia="Arial" w:hAnsi="Arial"/>
                <w:sz w:val="18"/>
                <w:szCs w:val="18"/>
                <w:color w:val="auto"/>
                <w:w w:val="95"/>
              </w:rPr>
              <w:t>Ron Kurtz, M.D.</w:t>
            </w:r>
          </w:p>
        </w:tc>
        <w:tc>
          <w:tcPr>
            <w:tcW w:w="6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5"/>
              </w:rPr>
              <w:t>Chief Executive Officer</w:t>
            </w:r>
          </w:p>
        </w:tc>
        <w:tc>
          <w:tcPr>
            <w:tcW w:w="6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4"/>
              </w:rPr>
              <w:t>(Principal Executive Officer)</w:t>
            </w:r>
          </w:p>
        </w:tc>
        <w:tc>
          <w:tcPr>
            <w:tcW w:w="60" w:type="dxa"/>
            <w:vAlign w:val="bottom"/>
          </w:tcPr>
          <w:p>
            <w:pPr>
              <w:spacing w:after="0"/>
              <w:rPr>
                <w:sz w:val="20"/>
                <w:szCs w:val="20"/>
                <w:color w:val="auto"/>
              </w:rPr>
            </w:pPr>
          </w:p>
        </w:tc>
      </w:tr>
      <w:tr>
        <w:trPr>
          <w:trHeight w:val="473"/>
        </w:trPr>
        <w:tc>
          <w:tcPr>
            <w:tcW w:w="3560" w:type="dxa"/>
            <w:vAlign w:val="bottom"/>
          </w:tcPr>
          <w:p>
            <w:pPr>
              <w:ind w:left="80"/>
              <w:spacing w:after="0"/>
              <w:rPr>
                <w:sz w:val="20"/>
                <w:szCs w:val="20"/>
                <w:color w:val="auto"/>
              </w:rPr>
            </w:pPr>
            <w:r>
              <w:rPr>
                <w:rFonts w:ascii="Arial" w:cs="Arial" w:eastAsia="Arial" w:hAnsi="Arial"/>
                <w:sz w:val="18"/>
                <w:szCs w:val="18"/>
                <w:color w:val="auto"/>
              </w:rPr>
              <w:t>Date: August 8, 2022</w:t>
            </w:r>
          </w:p>
        </w:tc>
        <w:tc>
          <w:tcPr>
            <w:tcW w:w="3320" w:type="dxa"/>
            <w:vAlign w:val="bottom"/>
            <w:gridSpan w:val="2"/>
          </w:tcPr>
          <w:p>
            <w:pPr>
              <w:ind w:left="2040"/>
              <w:spacing w:after="0"/>
              <w:rPr>
                <w:sz w:val="20"/>
                <w:szCs w:val="20"/>
                <w:color w:val="auto"/>
              </w:rPr>
            </w:pPr>
            <w:r>
              <w:rPr>
                <w:rFonts w:ascii="Arial" w:cs="Arial" w:eastAsia="Arial" w:hAnsi="Arial"/>
                <w:sz w:val="18"/>
                <w:szCs w:val="18"/>
                <w:color w:val="auto"/>
              </w:rPr>
              <w:t>By:</w:t>
            </w: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89"/>
              </w:rPr>
              <w:t>/s/ Shelley Thunen</w:t>
            </w:r>
          </w:p>
        </w:tc>
        <w:tc>
          <w:tcPr>
            <w:tcW w:w="6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350"/>
              <w:spacing w:after="0" w:line="195" w:lineRule="exact"/>
              <w:rPr>
                <w:sz w:val="20"/>
                <w:szCs w:val="20"/>
                <w:color w:val="auto"/>
              </w:rPr>
            </w:pPr>
            <w:r>
              <w:rPr>
                <w:rFonts w:ascii="Arial" w:cs="Arial" w:eastAsia="Arial" w:hAnsi="Arial"/>
                <w:sz w:val="18"/>
                <w:szCs w:val="18"/>
                <w:color w:val="auto"/>
                <w:w w:val="91"/>
              </w:rPr>
              <w:t>Shelley Thunen</w:t>
            </w:r>
          </w:p>
        </w:tc>
        <w:tc>
          <w:tcPr>
            <w:tcW w:w="6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3"/>
              </w:rPr>
              <w:t>Chief Financial Officer</w:t>
            </w:r>
          </w:p>
        </w:tc>
        <w:tc>
          <w:tcPr>
            <w:tcW w:w="6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3"/>
              </w:rPr>
              <w:t>(Principal Financial and Accounting Officer)</w:t>
            </w:r>
          </w:p>
        </w:tc>
        <w:tc>
          <w:tcPr>
            <w:tcW w:w="60" w:type="dxa"/>
            <w:vAlign w:val="bottom"/>
          </w:tcPr>
          <w:p>
            <w:pPr>
              <w:spacing w:after="0"/>
              <w:rPr>
                <w:sz w:val="20"/>
                <w:szCs w:val="20"/>
                <w:color w:val="auto"/>
              </w:rPr>
            </w:pPr>
          </w:p>
        </w:tc>
      </w:tr>
      <w:tr>
        <w:trPr>
          <w:trHeight w:val="634"/>
        </w:trPr>
        <w:tc>
          <w:tcPr>
            <w:tcW w:w="3560" w:type="dxa"/>
            <w:vAlign w:val="bottom"/>
          </w:tcPr>
          <w:p>
            <w:pPr>
              <w:spacing w:after="0"/>
              <w:rPr>
                <w:sz w:val="24"/>
                <w:szCs w:val="24"/>
                <w:color w:val="auto"/>
              </w:rPr>
            </w:pPr>
          </w:p>
        </w:tc>
        <w:tc>
          <w:tcPr>
            <w:tcW w:w="2920" w:type="dxa"/>
            <w:vAlign w:val="bottom"/>
          </w:tcPr>
          <w:p>
            <w:pPr>
              <w:jc w:val="right"/>
              <w:ind w:right="63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60" w:type="dxa"/>
            <w:vAlign w:val="bottom"/>
            <w:tcBorders>
              <w:bottom w:val="single" w:sz="8" w:color="9A9A9A"/>
            </w:tcBorders>
          </w:tcPr>
          <w:p>
            <w:pPr>
              <w:spacing w:after="0"/>
              <w:rPr>
                <w:sz w:val="12"/>
                <w:szCs w:val="12"/>
                <w:color w:val="auto"/>
              </w:rPr>
            </w:pPr>
          </w:p>
        </w:tc>
        <w:tc>
          <w:tcPr>
            <w:tcW w:w="29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u w:val="single" w:color="auto"/>
          <w:color w:val="auto"/>
        </w:rPr>
        <w:t>Amendment # 1 to Sublease Agreement</w:t>
      </w:r>
    </w:p>
    <w:p>
      <w:pPr>
        <w:spacing w:after="0" w:line="168" w:lineRule="exact"/>
        <w:rPr>
          <w:sz w:val="20"/>
          <w:szCs w:val="20"/>
          <w:color w:val="auto"/>
        </w:rPr>
      </w:pPr>
    </w:p>
    <w:p>
      <w:pPr>
        <w:ind w:right="240" w:firstLine="749"/>
        <w:spacing w:after="0" w:line="225" w:lineRule="auto"/>
        <w:rPr>
          <w:sz w:val="20"/>
          <w:szCs w:val="20"/>
          <w:color w:val="auto"/>
        </w:rPr>
      </w:pPr>
      <w:r>
        <w:rPr>
          <w:rFonts w:ascii="Arial" w:cs="Arial" w:eastAsia="Arial" w:hAnsi="Arial"/>
          <w:sz w:val="18"/>
          <w:szCs w:val="18"/>
          <w:b w:val="1"/>
          <w:bCs w:val="1"/>
          <w:color w:val="auto"/>
        </w:rPr>
        <w:t>THIS 1</w:t>
      </w:r>
      <w:r>
        <w:rPr>
          <w:rFonts w:ascii="Arial" w:cs="Arial" w:eastAsia="Arial" w:hAnsi="Arial"/>
          <w:sz w:val="24"/>
          <w:szCs w:val="24"/>
          <w:b w:val="1"/>
          <w:bCs w:val="1"/>
          <w:color w:val="auto"/>
          <w:vertAlign w:val="superscript"/>
        </w:rPr>
        <w:t>st</w:t>
      </w:r>
      <w:r>
        <w:rPr>
          <w:rFonts w:ascii="Arial" w:cs="Arial" w:eastAsia="Arial" w:hAnsi="Arial"/>
          <w:sz w:val="18"/>
          <w:szCs w:val="18"/>
          <w:b w:val="1"/>
          <w:bCs w:val="1"/>
          <w:color w:val="auto"/>
        </w:rPr>
        <w:t xml:space="preserve"> AMENDMENT TO CONSULTING AGREEMENT </w:t>
      </w:r>
      <w:r>
        <w:rPr>
          <w:rFonts w:ascii="Arial" w:cs="Arial" w:eastAsia="Arial" w:hAnsi="Arial"/>
          <w:sz w:val="18"/>
          <w:szCs w:val="18"/>
          <w:color w:val="auto"/>
        </w:rPr>
        <w:t>(hereinafter referred to as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June 1, 2022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 RxSight, Inc., a Delaware corporation (“</w:t>
      </w:r>
      <w:r>
        <w:rPr>
          <w:rFonts w:ascii="Arial" w:cs="Arial" w:eastAsia="Arial" w:hAnsi="Arial"/>
          <w:sz w:val="18"/>
          <w:szCs w:val="18"/>
          <w:b w:val="1"/>
          <w:bCs w:val="1"/>
          <w:color w:val="auto"/>
        </w:rPr>
        <w:t>RxSight</w:t>
      </w:r>
      <w:r>
        <w:rPr>
          <w:rFonts w:ascii="Arial" w:cs="Arial" w:eastAsia="Arial" w:hAnsi="Arial"/>
          <w:sz w:val="18"/>
          <w:szCs w:val="18"/>
          <w:color w:val="auto"/>
        </w:rPr>
        <w:t>”), and Compass Bible Church (“Sublessee”, and together with RxSight,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77" w:lineRule="exact"/>
        <w:rPr>
          <w:sz w:val="20"/>
          <w:szCs w:val="20"/>
          <w:color w:val="auto"/>
        </w:rPr>
      </w:pPr>
    </w:p>
    <w:p>
      <w:pPr>
        <w:ind w:left="760" w:right="1780"/>
        <w:spacing w:after="0" w:line="3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that certain Sublease Agreement dated as of April 4, 2022, (the “</w:t>
      </w:r>
      <w:r>
        <w:rPr>
          <w:rFonts w:ascii="Arial" w:cs="Arial" w:eastAsia="Arial" w:hAnsi="Arial"/>
          <w:sz w:val="17"/>
          <w:szCs w:val="17"/>
          <w:b w:val="1"/>
          <w:bCs w:val="1"/>
          <w:color w:val="auto"/>
        </w:rPr>
        <w:t>Agreement</w:t>
      </w:r>
      <w:r>
        <w:rPr>
          <w:rFonts w:ascii="Arial" w:cs="Arial" w:eastAsia="Arial" w:hAnsi="Arial"/>
          <w:sz w:val="17"/>
          <w:szCs w:val="17"/>
          <w:color w:val="auto"/>
        </w:rPr>
        <w:t>”), and</w:t>
      </w:r>
      <w:r>
        <w:rPr>
          <w:rFonts w:ascii="Arial" w:cs="Arial" w:eastAsia="Arial" w:hAnsi="Arial"/>
          <w:sz w:val="17"/>
          <w:szCs w:val="17"/>
          <w:b w:val="1"/>
          <w:bCs w:val="1"/>
          <w:color w:val="auto"/>
        </w:rPr>
        <w:t xml:space="preserve"> WHEREAS</w:t>
      </w:r>
      <w:r>
        <w:rPr>
          <w:rFonts w:ascii="Arial" w:cs="Arial" w:eastAsia="Arial" w:hAnsi="Arial"/>
          <w:sz w:val="17"/>
          <w:szCs w:val="17"/>
          <w:color w:val="auto"/>
        </w:rPr>
        <w:t>, the Parties desire to amend the Agreement in the manner reflected herein, and</w:t>
      </w: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the Agreement have approved the Amendment of the Agreement in the manner reflected herein,</w:t>
      </w:r>
    </w:p>
    <w:p>
      <w:pPr>
        <w:spacing w:after="0" w:line="104" w:lineRule="exact"/>
        <w:rPr>
          <w:sz w:val="20"/>
          <w:szCs w:val="20"/>
          <w:color w:val="auto"/>
        </w:rPr>
      </w:pPr>
    </w:p>
    <w:p>
      <w:pPr>
        <w:ind w:right="180" w:firstLine="749"/>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and conditions herein, the Parties,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58" w:lineRule="exact"/>
        <w:rPr>
          <w:sz w:val="20"/>
          <w:szCs w:val="20"/>
          <w:color w:val="auto"/>
        </w:rPr>
      </w:pPr>
    </w:p>
    <w:p>
      <w:pPr>
        <w:ind w:left="760" w:hanging="37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Commencement Date in Section 1.3 (Term) of the Agreement is hereby amended to be June 13, 2022.</w:t>
      </w:r>
    </w:p>
    <w:p>
      <w:pPr>
        <w:spacing w:after="0" w:line="103"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rent payments actual paid for the month of June 2022 by Sublessee to RxSight, based on the initial commencement date of June 1, 2022, shall be prorated for 12 days and such amount will be refunded to Sublessee.</w:t>
      </w:r>
    </w:p>
    <w:p>
      <w:pPr>
        <w:spacing w:after="0" w:line="63" w:lineRule="exact"/>
        <w:rPr>
          <w:sz w:val="20"/>
          <w:szCs w:val="20"/>
          <w:color w:val="auto"/>
        </w:rPr>
      </w:pPr>
    </w:p>
    <w:p>
      <w:pPr>
        <w:ind w:left="760" w:right="160" w:hanging="378"/>
        <w:spacing w:after="0" w:line="261"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Amendment may be executed in one or more facsimile, electronic, or original counterparts, each of which shall be deemed an original and both of which together shall constitute the same instrument.</w:t>
      </w:r>
    </w:p>
    <w:p>
      <w:pPr>
        <w:spacing w:after="0" w:line="62" w:lineRule="exact"/>
        <w:rPr>
          <w:rFonts w:ascii="Arial" w:cs="Arial" w:eastAsia="Arial" w:hAnsi="Arial"/>
          <w:sz w:val="18"/>
          <w:szCs w:val="18"/>
          <w:color w:val="auto"/>
        </w:rPr>
      </w:pPr>
    </w:p>
    <w:p>
      <w:pPr>
        <w:ind w:left="760" w:right="280" w:hanging="378"/>
        <w:spacing w:after="0" w:line="248"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terms and provisions of the Agreement not amended hereby, either expressly or by necessary implication, shall remain in full force and effect. From and after the date of this Amendment, all references to the term “Agreement” in this Amendment or the original Agreement shall include the terms contained in this Amendment.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to the Agreement effective as of the Amendment Effective Date.</w:t>
      </w:r>
    </w:p>
    <w:p>
      <w:pPr>
        <w:spacing w:after="0" w:line="200" w:lineRule="exact"/>
        <w:rPr>
          <w:sz w:val="20"/>
          <w:szCs w:val="20"/>
          <w:color w:val="auto"/>
        </w:rPr>
      </w:pP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Arial" w:cs="Arial" w:eastAsia="Arial" w:hAnsi="Arial"/>
                <w:sz w:val="18"/>
                <w:szCs w:val="18"/>
                <w:color w:val="auto"/>
              </w:rPr>
              <w:t>RxSight, Inc.</w:t>
            </w:r>
          </w:p>
        </w:tc>
        <w:tc>
          <w:tcPr>
            <w:tcW w:w="336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Compass Bible Church</w:t>
            </w:r>
          </w:p>
        </w:tc>
        <w:tc>
          <w:tcPr>
            <w:tcW w:w="3120" w:type="dxa"/>
            <w:vAlign w:val="bottom"/>
          </w:tcPr>
          <w:p>
            <w:pPr>
              <w:spacing w:after="0"/>
              <w:rPr>
                <w:sz w:val="21"/>
                <w:szCs w:val="21"/>
                <w:color w:val="auto"/>
              </w:rPr>
            </w:pPr>
          </w:p>
        </w:tc>
      </w:tr>
      <w:tr>
        <w:trPr>
          <w:trHeight w:val="338"/>
        </w:trPr>
        <w:tc>
          <w:tcPr>
            <w:tcW w:w="190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Shelley Thunen</w:t>
            </w:r>
          </w:p>
        </w:tc>
        <w:tc>
          <w:tcPr>
            <w:tcW w:w="22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Ruth Staggs</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jc w:val="center"/>
              <w:spacing w:after="0" w:line="195" w:lineRule="exact"/>
              <w:rPr>
                <w:sz w:val="20"/>
                <w:szCs w:val="20"/>
                <w:color w:val="auto"/>
              </w:rPr>
            </w:pPr>
            <w:r>
              <w:rPr>
                <w:rFonts w:ascii="Arial" w:cs="Arial" w:eastAsia="Arial" w:hAnsi="Arial"/>
                <w:sz w:val="18"/>
                <w:szCs w:val="18"/>
                <w:color w:val="auto"/>
                <w:w w:val="91"/>
              </w:rPr>
              <w:t>Shelley Thunen</w:t>
            </w:r>
          </w:p>
        </w:tc>
        <w:tc>
          <w:tcPr>
            <w:tcW w:w="22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w w:val="88"/>
              </w:rPr>
              <w:t>Ruth Staggs</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226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Secretary</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6/8/2022</w:t>
            </w:r>
          </w:p>
        </w:tc>
        <w:tc>
          <w:tcPr>
            <w:tcW w:w="226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jc w:val="center"/>
              <w:spacing w:after="0"/>
              <w:rPr>
                <w:sz w:val="20"/>
                <w:szCs w:val="20"/>
                <w:color w:val="auto"/>
              </w:rPr>
            </w:pPr>
            <w:r>
              <w:rPr>
                <w:rFonts w:ascii="Arial" w:cs="Arial" w:eastAsia="Arial" w:hAnsi="Arial"/>
                <w:sz w:val="18"/>
                <w:szCs w:val="18"/>
                <w:color w:val="auto"/>
                <w:w w:val="91"/>
              </w:rPr>
              <w:t>6/7/2022</w:t>
            </w: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I, Ron Kurtz, M.D., certify that:</w:t>
      </w:r>
    </w:p>
    <w:p>
      <w:pPr>
        <w:spacing w:after="0" w:line="185" w:lineRule="exact"/>
        <w:rPr>
          <w:sz w:val="20"/>
          <w:szCs w:val="20"/>
          <w:color w:val="auto"/>
        </w:rPr>
      </w:pPr>
    </w:p>
    <w:p>
      <w:pPr>
        <w:ind w:left="500" w:hanging="479"/>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184" w:lineRule="exact"/>
        <w:rPr>
          <w:rFonts w:ascii="Arial" w:cs="Arial" w:eastAsia="Arial" w:hAnsi="Arial"/>
          <w:sz w:val="18"/>
          <w:szCs w:val="18"/>
          <w:color w:val="auto"/>
        </w:rPr>
      </w:pPr>
    </w:p>
    <w:p>
      <w:pPr>
        <w:jc w:val="both"/>
        <w:ind w:left="500" w:right="280" w:hanging="479"/>
        <w:spacing w:after="0" w:line="22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79"/>
        <w:spacing w:after="0" w:line="25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79"/>
        <w:spacing w:after="0" w:line="235"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ind w:left="1080" w:right="160" w:hanging="586"/>
        <w:spacing w:after="0" w:line="224"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62" w:lineRule="exact"/>
        <w:rPr>
          <w:rFonts w:ascii="Arial" w:cs="Arial" w:eastAsia="Arial" w:hAnsi="Arial"/>
          <w:sz w:val="18"/>
          <w:szCs w:val="18"/>
          <w:color w:val="auto"/>
        </w:rPr>
      </w:pPr>
    </w:p>
    <w:p>
      <w:pPr>
        <w:ind w:left="1080" w:hanging="586"/>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jc w:val="both"/>
        <w:ind w:left="1080" w:right="440" w:hanging="586"/>
        <w:spacing w:after="0" w:line="289" w:lineRule="auto"/>
        <w:tabs>
          <w:tab w:leader="none" w:pos="10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86"/>
        <w:spacing w:after="0" w:line="224"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500" w:right="160" w:hanging="479"/>
        <w:spacing w:after="0" w:line="25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680" w:hanging="586"/>
        <w:spacing w:after="0" w:line="289" w:lineRule="auto"/>
        <w:tabs>
          <w:tab w:leader="none" w:pos="10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80" w:right="380" w:hanging="586"/>
        <w:spacing w:after="0" w:line="235"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ind w:left="5740"/>
        <w:spacing w:after="0" w:line="219" w:lineRule="auto"/>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-635</wp:posOffset>
            </wp:positionV>
            <wp:extent cx="32918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40"/>
        <w:spacing w:after="0" w:line="219" w:lineRule="auto"/>
        <w:rPr>
          <w:sz w:val="20"/>
          <w:szCs w:val="20"/>
          <w:color w:val="auto"/>
        </w:rPr>
      </w:pPr>
      <w:r>
        <w:rPr>
          <w:rFonts w:ascii="Arial" w:cs="Arial" w:eastAsia="Arial" w:hAnsi="Arial"/>
          <w:sz w:val="18"/>
          <w:szCs w:val="18"/>
          <w:b w:val="1"/>
          <w:bCs w:val="1"/>
          <w:color w:val="auto"/>
        </w:rPr>
        <w:t>Ron Kurtz, M.D.</w:t>
      </w:r>
    </w:p>
    <w:p>
      <w:pPr>
        <w:jc w:val="center"/>
        <w:ind w:left="6040"/>
        <w:spacing w:after="0" w:line="219" w:lineRule="auto"/>
        <w:rPr>
          <w:sz w:val="20"/>
          <w:szCs w:val="20"/>
          <w:color w:val="auto"/>
        </w:rPr>
      </w:pPr>
      <w:r>
        <w:rPr>
          <w:rFonts w:ascii="Arial" w:cs="Arial" w:eastAsia="Arial" w:hAnsi="Arial"/>
          <w:sz w:val="18"/>
          <w:szCs w:val="18"/>
          <w:b w:val="1"/>
          <w:bCs w:val="1"/>
          <w:color w:val="auto"/>
        </w:rPr>
        <w:t>Chief Executive Officer</w:t>
      </w:r>
    </w:p>
    <w:p>
      <w:pPr>
        <w:jc w:val="center"/>
        <w:ind w:left="60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Shelley Thunen, certify that:</w:t>
      </w:r>
    </w:p>
    <w:p>
      <w:pPr>
        <w:spacing w:after="0" w:line="185" w:lineRule="exact"/>
        <w:rPr>
          <w:sz w:val="20"/>
          <w:szCs w:val="20"/>
          <w:color w:val="auto"/>
        </w:rPr>
      </w:pPr>
    </w:p>
    <w:p>
      <w:pPr>
        <w:ind w:left="500" w:hanging="47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184" w:lineRule="exact"/>
        <w:rPr>
          <w:rFonts w:ascii="Arial" w:cs="Arial" w:eastAsia="Arial" w:hAnsi="Arial"/>
          <w:sz w:val="18"/>
          <w:szCs w:val="18"/>
          <w:color w:val="auto"/>
        </w:rPr>
      </w:pPr>
    </w:p>
    <w:p>
      <w:pPr>
        <w:jc w:val="both"/>
        <w:ind w:left="500" w:right="280" w:hanging="479"/>
        <w:spacing w:after="0" w:line="22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79"/>
        <w:spacing w:after="0" w:line="25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79"/>
        <w:spacing w:after="0" w:line="235"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ind w:left="1080" w:right="160" w:hanging="586"/>
        <w:spacing w:after="0" w:line="224"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62" w:lineRule="exact"/>
        <w:rPr>
          <w:rFonts w:ascii="Arial" w:cs="Arial" w:eastAsia="Arial" w:hAnsi="Arial"/>
          <w:sz w:val="18"/>
          <w:szCs w:val="18"/>
          <w:color w:val="auto"/>
        </w:rPr>
      </w:pPr>
    </w:p>
    <w:p>
      <w:pPr>
        <w:ind w:left="1080" w:hanging="586"/>
        <w:spacing w:after="0"/>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jc w:val="both"/>
        <w:ind w:left="1080" w:right="440" w:hanging="586"/>
        <w:spacing w:after="0" w:line="289" w:lineRule="auto"/>
        <w:tabs>
          <w:tab w:leader="none" w:pos="10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86"/>
        <w:spacing w:after="0" w:line="224"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500" w:right="160" w:hanging="479"/>
        <w:spacing w:after="0" w:line="25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680" w:hanging="586"/>
        <w:spacing w:after="0" w:line="289" w:lineRule="auto"/>
        <w:tabs>
          <w:tab w:leader="none" w:pos="10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80" w:right="380" w:hanging="586"/>
        <w:spacing w:after="0" w:line="235"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ind w:left="5740"/>
        <w:spacing w:after="0" w:line="219" w:lineRule="auto"/>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-635</wp:posOffset>
            </wp:positionV>
            <wp:extent cx="32918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40"/>
        <w:spacing w:after="0" w:line="219" w:lineRule="auto"/>
        <w:rPr>
          <w:sz w:val="20"/>
          <w:szCs w:val="20"/>
          <w:color w:val="auto"/>
        </w:rPr>
      </w:pPr>
      <w:r>
        <w:rPr>
          <w:rFonts w:ascii="Arial" w:cs="Arial" w:eastAsia="Arial" w:hAnsi="Arial"/>
          <w:sz w:val="18"/>
          <w:szCs w:val="18"/>
          <w:b w:val="1"/>
          <w:bCs w:val="1"/>
          <w:color w:val="auto"/>
        </w:rPr>
        <w:t>Shelley Thunen</w:t>
      </w:r>
    </w:p>
    <w:p>
      <w:pPr>
        <w:jc w:val="center"/>
        <w:ind w:left="6040"/>
        <w:spacing w:after="0" w:line="219" w:lineRule="auto"/>
        <w:rPr>
          <w:sz w:val="20"/>
          <w:szCs w:val="20"/>
          <w:color w:val="auto"/>
        </w:rPr>
      </w:pPr>
      <w:r>
        <w:rPr>
          <w:rFonts w:ascii="Arial" w:cs="Arial" w:eastAsia="Arial" w:hAnsi="Arial"/>
          <w:sz w:val="18"/>
          <w:szCs w:val="18"/>
          <w:b w:val="1"/>
          <w:bCs w:val="1"/>
          <w:color w:val="auto"/>
        </w:rPr>
        <w:t>Chief Financial Officer</w:t>
      </w:r>
    </w:p>
    <w:p>
      <w:pPr>
        <w:jc w:val="center"/>
        <w:ind w:left="60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June 30, 2022, as filed with the Securities and Exchange Commission (the “Report”), I, Ron Kurtz, M.D., Chief Executive Officer of the Company, certify, pursuant to 18 U.S.C. §1350, as adopted pursuant to §906 of the Sarbanes-Oxley Act of 2002, that, to my knowledge:</w:t>
      </w:r>
    </w:p>
    <w:p>
      <w:pPr>
        <w:spacing w:after="0" w:line="357" w:lineRule="exact"/>
        <w:rPr>
          <w:sz w:val="20"/>
          <w:szCs w:val="20"/>
          <w:color w:val="auto"/>
        </w:rPr>
      </w:pPr>
    </w:p>
    <w:p>
      <w:pPr>
        <w:ind w:left="1080" w:hanging="586"/>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040" w:right="540" w:hanging="560"/>
        <w:spacing w:after="0" w:line="235"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Ron Kurtz, M.D.</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Ron Kurtz, M.D.</w:t>
            </w:r>
          </w:p>
        </w:tc>
      </w:tr>
      <w:tr>
        <w:trPr>
          <w:trHeight w:val="189"/>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06"/>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June 30, 2022, as filed with the Securities and Exchange Commission (the “Report”), I, Shelley Thunen, Chief Financial Officer of the Company, certify, pursuant to 18 U.S.C. §1350, as adopted pursuant to §906 of the Sarbanes-Oxley Act of 2002, that, to my knowledge:</w:t>
      </w:r>
    </w:p>
    <w:p>
      <w:pPr>
        <w:spacing w:after="0" w:line="155" w:lineRule="exact"/>
        <w:rPr>
          <w:sz w:val="20"/>
          <w:szCs w:val="20"/>
          <w:color w:val="auto"/>
        </w:rPr>
      </w:pPr>
    </w:p>
    <w:p>
      <w:pPr>
        <w:ind w:left="1080" w:hanging="586"/>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080" w:right="500" w:hanging="586"/>
        <w:spacing w:after="0" w:line="23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Shelley Thunen</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5"/>
              </w:rPr>
              <w:t>Shelley Thunen</w:t>
            </w:r>
          </w:p>
        </w:tc>
      </w:tr>
      <w:tr>
        <w:trPr>
          <w:trHeight w:val="189"/>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1127"/>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lowerRoman"/>
      <w:start w:val="4"/>
    </w:lvl>
  </w:abstractNum>
  <w:abstractNum w:abstractNumId="6">
    <w:nsid w:val="614FD4A1"/>
    <w:multiLevelType w:val="hybridMultilevel"/>
    <w:lvl w:ilvl="0">
      <w:lvlJc w:val="left"/>
      <w:lvlText w:val="(%1)"/>
      <w:numFmt w:val="lowerRoman"/>
      <w:start w:val="4"/>
    </w:lvl>
  </w:abstractNum>
  <w:abstractNum w:abstractNumId="7">
    <w:nsid w:val="419AC241"/>
    <w:multiLevelType w:val="hybridMultilevel"/>
    <w:lvl w:ilvl="0">
      <w:lvlJc w:val="left"/>
      <w:lvlText w:val="(%1)"/>
      <w:numFmt w:val="decimal"/>
      <w:start w:val="3"/>
    </w:lvl>
  </w:abstractNum>
  <w:abstractNum w:abstractNumId="8">
    <w:nsid w:val="5577F8E1"/>
    <w:multiLevelType w:val="hybridMultilevel"/>
    <w:lvl w:ilvl="0">
      <w:lvlJc w:val="left"/>
      <w:lvlText w:val="(%1)"/>
      <w:numFmt w:val="lowerLetter"/>
      <w:start w:val="3"/>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2"/>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3"/>
    </w:lvl>
  </w:abstractNum>
  <w:abstractNum w:abstractNumId="51">
    <w:nsid w:val="39386575"/>
    <w:multiLevelType w:val="hybridMultilevel"/>
    <w:lvl w:ilvl="0">
      <w:lvlJc w:val="left"/>
      <w:lvlText w:val="*"/>
      <w:numFmt w:val="bullet"/>
      <w:start w:val="1"/>
    </w:lvl>
    <w:lvl w:ilvl="1">
      <w:lvlJc w:val="left"/>
      <w:lvlText w:val="%2"/>
      <w:numFmt w:val="decimal"/>
      <w:start w:val="104"/>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decimal"/>
      <w:start w:val="1"/>
    </w:lvl>
  </w:abstractNum>
  <w:abstractNum w:abstractNumId="59">
    <w:nsid w:val="D34B6A8"/>
    <w:multiLevelType w:val="hybridMultilevel"/>
    <w:lvl w:ilvl="0">
      <w:lvlJc w:val="left"/>
      <w:lvlText w:val="%1."/>
      <w:numFmt w:val="decimal"/>
      <w:start w:val="2"/>
    </w:lvl>
    <w:lvl w:ilvl="1">
      <w:lvlJc w:val="left"/>
      <w:lvlText w:val="%2"/>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18" Type="http://schemas.openxmlformats.org/officeDocument/2006/relationships/hyperlink" Target="https://www.sec.gov/Archives/edgar/data/1111485/000095017022007878/rxst-ex10_1.htm" TargetMode="External"/><Relationship Id="rId419" Type="http://schemas.openxmlformats.org/officeDocument/2006/relationships/hyperlink" Target="https://www.sec.gov/Archives/edgar/data/1111485/000095017022007878/rxst-ex10_2.htm" TargetMode="External"/><Relationship Id="rId420" Type="http://schemas.openxmlformats.org/officeDocument/2006/relationships/hyperlink" Target="https://www.sec.gov/Archives/edgar/data/1111485/000095017022007878/rxst-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2022-08-09T02:54:55Z</dcterms:created>
  <dcterms:modified xsi:type="dcterms:W3CDTF">2022-08-09T02:54:55Z</dcterms:modified>
</cp:coreProperties>
</file>